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0" w:rsidRPr="00441399" w:rsidRDefault="00560130" w:rsidP="00560130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4"/>
          <w:szCs w:val="57"/>
        </w:rPr>
      </w:pPr>
      <w:r w:rsidRPr="00441399">
        <w:rPr>
          <w:rFonts w:ascii="微软雅黑" w:eastAsia="微软雅黑" w:hAnsi="微软雅黑" w:cs="宋体" w:hint="eastAsia"/>
          <w:color w:val="333333"/>
          <w:kern w:val="36"/>
          <w:sz w:val="44"/>
          <w:szCs w:val="57"/>
        </w:rPr>
        <w:t>国家医疗保障局关于将17种抗癌药纳入国家基本医疗保险、工伤保险和生育保险药品目录乙类范围的通知</w:t>
      </w:r>
    </w:p>
    <w:p w:rsidR="00560130" w:rsidRPr="00441399" w:rsidRDefault="00560130" w:rsidP="00560130">
      <w:pPr>
        <w:widowControl/>
        <w:shd w:val="clear" w:color="auto" w:fill="FFFFFF"/>
        <w:jc w:val="left"/>
        <w:rPr>
          <w:rFonts w:ascii="宋体" w:eastAsia="宋体" w:hAnsi="宋体" w:cs="宋体"/>
          <w:color w:val="666666"/>
          <w:kern w:val="0"/>
          <w:sz w:val="18"/>
          <w:szCs w:val="21"/>
        </w:rPr>
      </w:pPr>
      <w:r w:rsidRPr="00441399">
        <w:rPr>
          <w:rFonts w:ascii="宋体" w:eastAsia="宋体" w:hAnsi="宋体" w:cs="宋体" w:hint="eastAsia"/>
          <w:color w:val="666666"/>
          <w:kern w:val="0"/>
          <w:sz w:val="18"/>
          <w:szCs w:val="21"/>
        </w:rPr>
        <w:t>2018-10-10 06:30 来源： 国家医疗保障局</w:t>
      </w:r>
    </w:p>
    <w:p w:rsidR="00560130" w:rsidRPr="00441399" w:rsidRDefault="00BE36E9" w:rsidP="00560130">
      <w:pPr>
        <w:widowControl/>
        <w:shd w:val="clear" w:color="auto" w:fill="FFFFFF"/>
        <w:jc w:val="center"/>
        <w:rPr>
          <w:rFonts w:ascii="宋体" w:eastAsia="宋体" w:hAnsi="宋体" w:cs="宋体"/>
          <w:color w:val="898989"/>
          <w:kern w:val="0"/>
          <w:sz w:val="18"/>
          <w:szCs w:val="21"/>
        </w:rPr>
      </w:pPr>
      <w:hyperlink r:id="rId5" w:tooltip="微信" w:history="1">
        <w:r w:rsidR="00560130" w:rsidRPr="00441399">
          <w:rPr>
            <w:rFonts w:ascii="宋体" w:eastAsia="宋体" w:hAnsi="宋体" w:cs="宋体" w:hint="eastAsia"/>
            <w:color w:val="000000"/>
            <w:kern w:val="0"/>
            <w:sz w:val="18"/>
            <w:szCs w:val="21"/>
          </w:rPr>
          <w:t> </w:t>
        </w:r>
      </w:hyperlink>
      <w:hyperlink r:id="rId6" w:tooltip="新浪微博" w:history="1">
        <w:r w:rsidR="00560130" w:rsidRPr="00441399">
          <w:rPr>
            <w:rFonts w:ascii="宋体" w:eastAsia="宋体" w:hAnsi="宋体" w:cs="宋体" w:hint="eastAsia"/>
            <w:color w:val="000000"/>
            <w:kern w:val="0"/>
            <w:sz w:val="18"/>
            <w:szCs w:val="21"/>
          </w:rPr>
          <w:t> </w:t>
        </w:r>
      </w:hyperlink>
      <w:r w:rsidR="00560130" w:rsidRPr="00441399">
        <w:rPr>
          <w:rFonts w:ascii="宋体" w:eastAsia="宋体" w:hAnsi="宋体" w:cs="宋体" w:hint="eastAsia"/>
          <w:color w:val="898989"/>
          <w:kern w:val="0"/>
          <w:sz w:val="18"/>
          <w:szCs w:val="21"/>
        </w:rPr>
        <w:t> </w:t>
      </w:r>
    </w:p>
    <w:p w:rsidR="00560130" w:rsidRPr="00441399" w:rsidRDefault="00560130" w:rsidP="00560130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b/>
          <w:bCs/>
          <w:color w:val="333399"/>
          <w:kern w:val="0"/>
          <w:szCs w:val="24"/>
        </w:rPr>
        <w:t>国家医疗保障局关于将17种抗癌药纳入国家基本医疗保险、工伤保险和生育保险药品目录乙类范围的通知</w:t>
      </w:r>
      <w:r w:rsidRPr="00441399">
        <w:rPr>
          <w:rFonts w:ascii="宋体" w:eastAsia="宋体" w:hAnsi="宋体" w:cs="宋体" w:hint="eastAsia"/>
          <w:b/>
          <w:bCs/>
          <w:color w:val="333399"/>
          <w:kern w:val="0"/>
          <w:szCs w:val="24"/>
        </w:rPr>
        <w:br/>
      </w:r>
      <w:proofErr w:type="gramStart"/>
      <w:r w:rsidRPr="00441399">
        <w:rPr>
          <w:rFonts w:ascii="楷体" w:eastAsia="楷体" w:hAnsi="楷体" w:cs="宋体" w:hint="eastAsia"/>
          <w:color w:val="333399"/>
          <w:kern w:val="0"/>
          <w:szCs w:val="24"/>
        </w:rPr>
        <w:t>医</w:t>
      </w:r>
      <w:proofErr w:type="gramEnd"/>
      <w:r w:rsidRPr="00441399">
        <w:rPr>
          <w:rFonts w:ascii="楷体" w:eastAsia="楷体" w:hAnsi="楷体" w:cs="宋体" w:hint="eastAsia"/>
          <w:color w:val="333399"/>
          <w:kern w:val="0"/>
          <w:szCs w:val="24"/>
        </w:rPr>
        <w:t>保发</w:t>
      </w:r>
      <w:bookmarkStart w:id="0" w:name="_GoBack"/>
      <w:bookmarkEnd w:id="0"/>
      <w:r w:rsidRPr="00441399">
        <w:rPr>
          <w:rFonts w:ascii="楷体" w:eastAsia="楷体" w:hAnsi="楷体" w:cs="宋体" w:hint="eastAsia"/>
          <w:color w:val="333399"/>
          <w:kern w:val="0"/>
          <w:szCs w:val="24"/>
        </w:rPr>
        <w:t>〔2018〕17号</w:t>
      </w:r>
    </w:p>
    <w:p w:rsidR="00560130" w:rsidRPr="00441399" w:rsidRDefault="00560130" w:rsidP="00560130">
      <w:pPr>
        <w:widowControl/>
        <w:shd w:val="clear" w:color="auto" w:fill="FFFFFF"/>
        <w:spacing w:before="225" w:line="450" w:lineRule="atLeast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各省、自治区、直辖市、新疆生产建设兵团医保局（办）、人力资源社会保障厅（局），卫生计生委:</w:t>
      </w:r>
    </w:p>
    <w:p w:rsidR="00560130" w:rsidRPr="00441399" w:rsidRDefault="00560130" w:rsidP="00560130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党中央、国务院高度重视减轻人民群众用药负担问题，习近平总书记多次强调让改革发展成果更多更公平惠及全体人民。李克强总理就抗癌药降价问题多次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作出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重要批示，并召开国务院常务会议进行部署。为落实好国家抗癌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药税收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政策调整工作部署，切实降低患者用药负担，经商人力资源社会保障部、国家卫生健康委等部门，现将有关事项通知如下：</w:t>
      </w:r>
    </w:p>
    <w:p w:rsidR="00560130" w:rsidRPr="00441399" w:rsidRDefault="00560130" w:rsidP="00560130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一、通过谈判将抗癌药纳入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保支付范围是落实党中央、国务院要求的重要举措，各地要统一思想，提高认识，确保把好事办好。特别是在机构改革期间，要加强统筹协调，按规定时限落实，让群众尽早得到实惠。</w:t>
      </w:r>
    </w:p>
    <w:p w:rsidR="00560130" w:rsidRPr="00441399" w:rsidRDefault="00560130" w:rsidP="00560130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二、我局组织专家按程序与部分抗癌药品进行谈判，将阿扎胞苷等17种药品（以下统称“谈判药品”）纳入《国家基本医疗保险、工伤保险和生育保险药品目录（2017年版）》（以下简称药品目录）乙类范围，并确定了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保支付标准（名单附后）。各省（区、市）医疗保险主管部门不得将谈判药品调出目录，也不得调整限定支付范围。目前未实现城乡居民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保整合的统筹地区，也要按规定及时将这些药品纳入新型农村合作医疗支付范围。</w:t>
      </w:r>
    </w:p>
    <w:p w:rsidR="00560130" w:rsidRPr="00441399" w:rsidRDefault="00560130" w:rsidP="00560130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三、附表“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保支付标准”一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栏规定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的支付标准包括基本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保基金和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参保人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员共同支付的全部费用，基本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保基金和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参保人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员分担比例由各统筹地区确定。规定的支付标准有效期截至2020年11月30日，有效期满后按照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保支付标准有关规定进行调整。有效期内，</w:t>
      </w: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lastRenderedPageBreak/>
        <w:t>如有通用名称药物（仿制药）上市，我局将根据仿制药价格水平调整该药品的支付标准并另行通知。如出现药品市场实际价格明显低于现行支付标准的，我局将与企业协商重新制定支付标准并另行通知。</w:t>
      </w:r>
    </w:p>
    <w:p w:rsidR="00560130" w:rsidRPr="00441399" w:rsidRDefault="00560130" w:rsidP="00560130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四、各省（区、市）药品集中采购机构要在2018年10月底前将谈判药品按支付标准在省级药品集中采购平台上公开挂网。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保经办部门要及时更新信息系统，确保11月底前开始执行。</w:t>
      </w:r>
    </w:p>
    <w:p w:rsidR="00560130" w:rsidRPr="00441399" w:rsidRDefault="00560130" w:rsidP="00560130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五、各统筹地区要采取有效措施保障谈判药品的供应和合理使用。因谈判药品纳入目录等政策原因导致医疗机构2018年实际发生费用超出总额控制指标的，年底清算时要给予合理补偿，并在制定2019年总额控制指标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时综合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考虑谈判药品合理使用的因素。同时，要严格执行谈判药品限定支付范围，加强使用管理，对费用高、用量大的药品要进行重点监控和分析，确保</w:t>
      </w:r>
      <w:proofErr w:type="gramStart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医</w:t>
      </w:r>
      <w:proofErr w:type="gramEnd"/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保基金安全。执行中遇有重大问题，要及时反馈我局。</w:t>
      </w:r>
    </w:p>
    <w:p w:rsidR="00560130" w:rsidRPr="00441399" w:rsidRDefault="00560130" w:rsidP="00560130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b/>
          <w:bCs/>
          <w:color w:val="333333"/>
          <w:kern w:val="0"/>
          <w:szCs w:val="24"/>
        </w:rPr>
        <w:t>附件：</w:t>
      </w:r>
      <w:hyperlink r:id="rId7" w:tgtFrame="_blank" w:history="1">
        <w:r w:rsidRPr="00441399">
          <w:rPr>
            <w:rFonts w:ascii="宋体" w:eastAsia="宋体" w:hAnsi="宋体" w:cs="宋体" w:hint="eastAsia"/>
            <w:color w:val="0000FF"/>
            <w:kern w:val="0"/>
            <w:szCs w:val="24"/>
          </w:rPr>
          <w:t>阿扎胞苷等17种抗癌药名单</w:t>
        </w:r>
      </w:hyperlink>
    </w:p>
    <w:p w:rsidR="00560130" w:rsidRPr="00441399" w:rsidRDefault="00560130" w:rsidP="00560130">
      <w:pPr>
        <w:widowControl/>
        <w:shd w:val="clear" w:color="auto" w:fill="FFFFFF"/>
        <w:spacing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Cs w:val="24"/>
        </w:rPr>
      </w:pP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t>国家医疗保障局</w:t>
      </w:r>
      <w:r w:rsidRPr="00441399">
        <w:rPr>
          <w:rFonts w:ascii="宋体" w:eastAsia="宋体" w:hAnsi="宋体" w:cs="宋体" w:hint="eastAsia"/>
          <w:color w:val="333333"/>
          <w:kern w:val="0"/>
          <w:szCs w:val="24"/>
        </w:rPr>
        <w:br/>
        <w:t>2018年9月30日</w:t>
      </w:r>
    </w:p>
    <w:p w:rsidR="00833484" w:rsidRPr="00441399" w:rsidRDefault="00530E79">
      <w:pPr>
        <w:rPr>
          <w:sz w:val="18"/>
        </w:rPr>
      </w:pPr>
      <w:r w:rsidRPr="00441399">
        <w:rPr>
          <w:noProof/>
          <w:sz w:val="18"/>
        </w:rPr>
        <w:lastRenderedPageBreak/>
        <w:drawing>
          <wp:inline distT="0" distB="0" distL="0" distR="0" wp14:anchorId="7B2C1BEE" wp14:editId="66386B33">
            <wp:extent cx="5286375" cy="8801100"/>
            <wp:effectExtent l="0" t="0" r="9525" b="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2" r="14619" b="4847"/>
                    <a:stretch/>
                  </pic:blipFill>
                  <pic:spPr bwMode="auto">
                    <a:xfrm>
                      <a:off x="0" y="0"/>
                      <a:ext cx="5283908" cy="879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3484" w:rsidRPr="0044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51"/>
    <w:rsid w:val="00441399"/>
    <w:rsid w:val="00530E79"/>
    <w:rsid w:val="00560130"/>
    <w:rsid w:val="007A3D16"/>
    <w:rsid w:val="00972D51"/>
    <w:rsid w:val="00A97E7C"/>
    <w:rsid w:val="00BE36E9"/>
    <w:rsid w:val="00D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01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01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60130"/>
  </w:style>
  <w:style w:type="character" w:customStyle="1" w:styleId="font">
    <w:name w:val="font"/>
    <w:basedOn w:val="a0"/>
    <w:rsid w:val="00560130"/>
  </w:style>
  <w:style w:type="character" w:customStyle="1" w:styleId="bigger">
    <w:name w:val="bigger"/>
    <w:basedOn w:val="a0"/>
    <w:rsid w:val="00560130"/>
  </w:style>
  <w:style w:type="character" w:customStyle="1" w:styleId="medium">
    <w:name w:val="medium"/>
    <w:basedOn w:val="a0"/>
    <w:rsid w:val="00560130"/>
  </w:style>
  <w:style w:type="character" w:customStyle="1" w:styleId="smaller">
    <w:name w:val="smaller"/>
    <w:basedOn w:val="a0"/>
    <w:rsid w:val="00560130"/>
  </w:style>
  <w:style w:type="character" w:styleId="a3">
    <w:name w:val="Hyperlink"/>
    <w:basedOn w:val="a0"/>
    <w:uiPriority w:val="99"/>
    <w:semiHidden/>
    <w:unhideWhenUsed/>
    <w:rsid w:val="00560130"/>
    <w:rPr>
      <w:color w:val="0000FF"/>
      <w:u w:val="single"/>
    </w:rPr>
  </w:style>
  <w:style w:type="character" w:customStyle="1" w:styleId="gwdsmore">
    <w:name w:val="gwds_more"/>
    <w:basedOn w:val="a0"/>
    <w:rsid w:val="00560130"/>
  </w:style>
  <w:style w:type="paragraph" w:styleId="a4">
    <w:name w:val="Normal (Web)"/>
    <w:basedOn w:val="a"/>
    <w:uiPriority w:val="99"/>
    <w:semiHidden/>
    <w:unhideWhenUsed/>
    <w:rsid w:val="0056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30E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0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01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01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60130"/>
  </w:style>
  <w:style w:type="character" w:customStyle="1" w:styleId="font">
    <w:name w:val="font"/>
    <w:basedOn w:val="a0"/>
    <w:rsid w:val="00560130"/>
  </w:style>
  <w:style w:type="character" w:customStyle="1" w:styleId="bigger">
    <w:name w:val="bigger"/>
    <w:basedOn w:val="a0"/>
    <w:rsid w:val="00560130"/>
  </w:style>
  <w:style w:type="character" w:customStyle="1" w:styleId="medium">
    <w:name w:val="medium"/>
    <w:basedOn w:val="a0"/>
    <w:rsid w:val="00560130"/>
  </w:style>
  <w:style w:type="character" w:customStyle="1" w:styleId="smaller">
    <w:name w:val="smaller"/>
    <w:basedOn w:val="a0"/>
    <w:rsid w:val="00560130"/>
  </w:style>
  <w:style w:type="character" w:styleId="a3">
    <w:name w:val="Hyperlink"/>
    <w:basedOn w:val="a0"/>
    <w:uiPriority w:val="99"/>
    <w:semiHidden/>
    <w:unhideWhenUsed/>
    <w:rsid w:val="00560130"/>
    <w:rPr>
      <w:color w:val="0000FF"/>
      <w:u w:val="single"/>
    </w:rPr>
  </w:style>
  <w:style w:type="character" w:customStyle="1" w:styleId="gwdsmore">
    <w:name w:val="gwds_more"/>
    <w:basedOn w:val="a0"/>
    <w:rsid w:val="00560130"/>
  </w:style>
  <w:style w:type="paragraph" w:styleId="a4">
    <w:name w:val="Normal (Web)"/>
    <w:basedOn w:val="a"/>
    <w:uiPriority w:val="99"/>
    <w:semiHidden/>
    <w:unhideWhenUsed/>
    <w:rsid w:val="0056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30E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0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3224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8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v.cn/xinwen/2018-10/10/5328891/files/718eeabe6cd94230a322fc59d1d9e672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cn/xinwen/2018-10/10/content_5328891.htm" TargetMode="External"/><Relationship Id="rId5" Type="http://schemas.openxmlformats.org/officeDocument/2006/relationships/hyperlink" Target="http://www.gov.cn/xinwen/2018-10/10/content_532889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214</Words>
  <Characters>1223</Characters>
  <Application>Microsoft Office Word</Application>
  <DocSecurity>0</DocSecurity>
  <Lines>10</Lines>
  <Paragraphs>2</Paragraphs>
  <ScaleCrop>false</ScaleCrop>
  <Company>WORKGROUP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2018-11-21T03:52:00Z</cp:lastPrinted>
  <dcterms:created xsi:type="dcterms:W3CDTF">2018-11-21T03:14:00Z</dcterms:created>
  <dcterms:modified xsi:type="dcterms:W3CDTF">2018-11-21T07:47:00Z</dcterms:modified>
</cp:coreProperties>
</file>