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Pr="00774DFA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Pr="00774DFA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Pr="00774DFA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Pr="00774DFA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Pr="00774DFA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7366D3" w:rsidRPr="00774DFA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442C79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442C79" w:rsidRDefault="00442C79" w:rsidP="0044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79" w:rsidRPr="00774DFA" w:rsidRDefault="00442C79" w:rsidP="00442C7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442C79" w:rsidRPr="00774DFA" w:rsidRDefault="00CA6622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774DFA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442C79" w:rsidRPr="00774DFA" w:rsidRDefault="00442C79" w:rsidP="00442C7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CA6622" w:rsidRDefault="00CA6622" w:rsidP="00CA66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2.20</w:t>
            </w:r>
          </w:p>
        </w:tc>
        <w:tc>
          <w:tcPr>
            <w:tcW w:w="2641" w:type="dxa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2.26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CA6622" w:rsidRDefault="00CA6622" w:rsidP="00CA66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  <w:tc>
          <w:tcPr>
            <w:tcW w:w="2641" w:type="dxa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1:0.61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DD665E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391.09</w:t>
            </w:r>
          </w:p>
        </w:tc>
        <w:tc>
          <w:tcPr>
            <w:tcW w:w="2641" w:type="dxa"/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288.10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D665E" w:rsidRDefault="00DD665E" w:rsidP="00DD665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18233.09</w:t>
            </w:r>
          </w:p>
        </w:tc>
        <w:tc>
          <w:tcPr>
            <w:tcW w:w="2641" w:type="dxa"/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18162.80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Pr="00774DFA" w:rsidRDefault="007366D3" w:rsidP="00C612FC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  <w:r w:rsidR="00A76FE8"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D665E" w:rsidRDefault="00DD665E" w:rsidP="00DD665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67.51%</w:t>
            </w:r>
          </w:p>
        </w:tc>
        <w:tc>
          <w:tcPr>
            <w:tcW w:w="2641" w:type="dxa"/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67.01%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DD665E" w:rsidRDefault="00DD665E" w:rsidP="00DD665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66.29%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63.60%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Default="00DD665E" w:rsidP="00DD66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97.5%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98.3%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Default="00DD665E" w:rsidP="00DD66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98.7%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98.4%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Default="00DD665E" w:rsidP="00DD66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95.3%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98.1%</w:t>
            </w:r>
          </w:p>
        </w:tc>
      </w:tr>
      <w:tr w:rsidR="00DD665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Default="00DD665E" w:rsidP="00DD66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33.66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5E" w:rsidRPr="00774DFA" w:rsidRDefault="00DD665E" w:rsidP="00DD665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32.25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DDD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Default="00CA6622" w:rsidP="00CA66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B87419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1.4%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1.1%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Default="00CA6622" w:rsidP="00CA66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0.09%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.02</w:t>
            </w: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%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Default="00CA6622" w:rsidP="00CA66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0.0240%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0.0181%</w:t>
            </w:r>
          </w:p>
        </w:tc>
      </w:tr>
      <w:tr w:rsidR="00774DFA" w:rsidRPr="00AA59B8" w:rsidTr="00162BDF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Default="00774DFA" w:rsidP="00774D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Pr="00774DFA" w:rsidRDefault="00774DFA" w:rsidP="00774DF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FA" w:rsidRPr="00774DFA" w:rsidRDefault="00774DFA" w:rsidP="00774DF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40.44%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42.22%</w:t>
            </w:r>
          </w:p>
        </w:tc>
      </w:tr>
      <w:tr w:rsidR="00774DFA" w:rsidRPr="00AA59B8" w:rsidTr="00162BDF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Default="00774DFA" w:rsidP="00774D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Pr="00774DFA" w:rsidRDefault="00774DFA" w:rsidP="00774DF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FA" w:rsidRPr="00774DFA" w:rsidRDefault="00774DFA" w:rsidP="00774DF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0.04%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51.8%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51.3%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CA6622" w:rsidRDefault="00CA6622" w:rsidP="00CA6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CA6622" w:rsidRPr="00774DFA" w:rsidRDefault="00DD665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2641" w:type="dxa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</w:tr>
      <w:tr w:rsidR="00774DFA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74DFA" w:rsidRDefault="00774DFA" w:rsidP="0077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2.08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1.99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74DFA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74DFA" w:rsidRDefault="00774DFA" w:rsidP="0077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74DFA" w:rsidRPr="00774DFA" w:rsidRDefault="00774DFA" w:rsidP="00774DF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2.24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2.19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74DFA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74DFA" w:rsidRDefault="00774DFA" w:rsidP="0077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74DFA" w:rsidRPr="00774DFA" w:rsidRDefault="00774DFA" w:rsidP="00774DF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3.64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74DFA" w:rsidRPr="00774DFA" w:rsidRDefault="00774DFA" w:rsidP="00774DFA">
            <w:pPr>
              <w:jc w:val="center"/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3.55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74DFA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74DFA" w:rsidRDefault="00774DFA" w:rsidP="0077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85.5%</w:t>
            </w:r>
          </w:p>
        </w:tc>
        <w:tc>
          <w:tcPr>
            <w:tcW w:w="2641" w:type="dxa"/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102.5%</w:t>
            </w:r>
          </w:p>
        </w:tc>
      </w:tr>
      <w:tr w:rsidR="00774DFA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74DFA" w:rsidRDefault="00774DFA" w:rsidP="0077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74DFA" w:rsidRPr="00774DFA" w:rsidRDefault="00774DFA" w:rsidP="00774DF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6.75</w:t>
            </w: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774DFA" w:rsidRPr="00774DFA" w:rsidRDefault="00774DFA" w:rsidP="00774DF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6.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49</w:t>
            </w: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CA6622" w:rsidRDefault="00CA6622" w:rsidP="00CA6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CA6622" w:rsidRPr="00774DFA" w:rsidRDefault="00E12081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E12081">
              <w:rPr>
                <w:rFonts w:ascii="仿宋" w:eastAsia="仿宋" w:hAnsi="仿宋" w:cs="宋体"/>
                <w:kern w:val="0"/>
                <w:sz w:val="24"/>
              </w:rPr>
              <w:t>1089502</w:t>
            </w:r>
          </w:p>
        </w:tc>
        <w:tc>
          <w:tcPr>
            <w:tcW w:w="2641" w:type="dxa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1491852</w:t>
            </w:r>
          </w:p>
        </w:tc>
      </w:tr>
      <w:tr w:rsidR="00CA6622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CA6622" w:rsidRDefault="00CA6622" w:rsidP="00CA66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CA6622" w:rsidRPr="00774DFA" w:rsidRDefault="00AC338A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56026</w:t>
            </w:r>
          </w:p>
        </w:tc>
        <w:tc>
          <w:tcPr>
            <w:tcW w:w="2641" w:type="dxa"/>
            <w:vAlign w:val="center"/>
          </w:tcPr>
          <w:p w:rsidR="00CA6622" w:rsidRPr="00774DFA" w:rsidRDefault="00774DFA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69590</w:t>
            </w:r>
          </w:p>
        </w:tc>
      </w:tr>
      <w:tr w:rsidR="00CA6622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A6622" w:rsidRPr="00774DFA" w:rsidRDefault="00AC338A" w:rsidP="00AC33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98.1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98.3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98.3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CA6622" w:rsidRPr="00774DFA" w:rsidRDefault="00CA6622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99.0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99.2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98.9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E12081">
        <w:trPr>
          <w:trHeight w:hRule="exact" w:val="757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2539"/>
        <w:gridCol w:w="1843"/>
        <w:gridCol w:w="1958"/>
      </w:tblGrid>
      <w:tr w:rsidR="00A76FE8" w:rsidTr="00C612FC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A76FE8" w:rsidTr="00C612FC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Z51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其他医疗照顾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12000.76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11101.32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I63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脑梗死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18127.73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16177.9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C73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甲状腺恶性肿瘤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15264.15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14534.11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C34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支气管和肺恶性肿瘤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29816.74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29294.86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H25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老年性白内障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8308.69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7930.35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J98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其他呼吸性疾患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15006.41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14982.26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K80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胆石症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12581.8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11890.96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E11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非胰岛素依赖型糖尿病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9541.6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9050.15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J18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肺炎</w:t>
            </w:r>
            <w:r w:rsidRPr="007E6C92">
              <w:rPr>
                <w:rFonts w:hint="eastAsia"/>
              </w:rPr>
              <w:t>,</w:t>
            </w:r>
            <w:r w:rsidRPr="007E6C92">
              <w:rPr>
                <w:rFonts w:hint="eastAsia"/>
              </w:rPr>
              <w:t>病原体未特指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11143.19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7829.74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M17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膝关节病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27529.31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27475.5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I67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其他脑血管病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31473.59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31864.41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I20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心绞痛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32242.13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29705.52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I25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慢性缺血性心脏病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29614.07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27338.2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K63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肠的其他疾病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6755.31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6523.77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I50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心力衰竭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13181.46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15733.85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H35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其他视网膜疾患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6053.32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5835.11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M51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其他椎间盘疾患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19696.99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22672.2</w:t>
            </w:r>
          </w:p>
        </w:tc>
      </w:tr>
      <w:tr w:rsidR="00C612FC" w:rsidTr="00C612FC">
        <w:trPr>
          <w:trHeight w:hRule="exact" w:val="862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O34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为已知或可疑盆腔器官异常给予的孕产妇医疗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8956.09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9426.56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C16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胃恶性肿瘤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37999.4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32353.33</w:t>
            </w:r>
          </w:p>
        </w:tc>
      </w:tr>
      <w:tr w:rsidR="00C612FC" w:rsidTr="00C612FC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N18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慢性肾病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7E6C92" w:rsidRDefault="00C612FC" w:rsidP="00C612FC">
            <w:pPr>
              <w:jc w:val="center"/>
            </w:pPr>
            <w:r w:rsidRPr="007E6C92">
              <w:rPr>
                <w:rFonts w:hint="eastAsia"/>
              </w:rPr>
              <w:t>27046.81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jc w:val="center"/>
            </w:pPr>
            <w:r w:rsidRPr="007E6C92">
              <w:rPr>
                <w:rFonts w:hint="eastAsia"/>
              </w:rPr>
              <w:t>20757.15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2501"/>
        <w:gridCol w:w="1843"/>
        <w:gridCol w:w="1842"/>
      </w:tblGrid>
      <w:tr w:rsidR="00A76FE8" w:rsidTr="00C612FC">
        <w:trPr>
          <w:trHeight w:val="454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A76FE8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C612FC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Z51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其他医疗照顾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12000.76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11101.32</w:t>
            </w:r>
          </w:p>
        </w:tc>
      </w:tr>
      <w:tr w:rsidR="00C612FC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I63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脑梗死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18127.73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16177.9</w:t>
            </w:r>
          </w:p>
        </w:tc>
      </w:tr>
      <w:tr w:rsidR="00C612FC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C73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甲状腺恶性肿瘤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15264.15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14534.11</w:t>
            </w:r>
          </w:p>
        </w:tc>
      </w:tr>
      <w:tr w:rsidR="00C612FC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C34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支气管和肺恶性肿瘤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29816.74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29294.86</w:t>
            </w:r>
          </w:p>
        </w:tc>
      </w:tr>
      <w:tr w:rsidR="00C612FC" w:rsidTr="00C612FC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H25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老年性白内障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Pr="00550615" w:rsidRDefault="00C612FC" w:rsidP="00C612FC">
            <w:r w:rsidRPr="00550615">
              <w:rPr>
                <w:rFonts w:hint="eastAsia"/>
              </w:rPr>
              <w:t>8308.69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FC" w:rsidRDefault="00C612FC" w:rsidP="00C612FC">
            <w:r w:rsidRPr="00550615">
              <w:rPr>
                <w:rFonts w:hint="eastAsia"/>
              </w:rPr>
              <w:t>7930.35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8C" w:rsidRDefault="00A64E8C" w:rsidP="00344921">
      <w:r>
        <w:separator/>
      </w:r>
    </w:p>
  </w:endnote>
  <w:endnote w:type="continuationSeparator" w:id="0">
    <w:p w:rsidR="00A64E8C" w:rsidRDefault="00A64E8C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iLiHei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8C" w:rsidRDefault="00A64E8C" w:rsidP="00344921">
      <w:r>
        <w:separator/>
      </w:r>
    </w:p>
  </w:footnote>
  <w:footnote w:type="continuationSeparator" w:id="0">
    <w:p w:rsidR="00A64E8C" w:rsidRDefault="00A64E8C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160F53"/>
    <w:rsid w:val="001921D2"/>
    <w:rsid w:val="001C3BE3"/>
    <w:rsid w:val="001E51D1"/>
    <w:rsid w:val="001E6972"/>
    <w:rsid w:val="001F25ED"/>
    <w:rsid w:val="00295119"/>
    <w:rsid w:val="0030405E"/>
    <w:rsid w:val="00344921"/>
    <w:rsid w:val="003A72F9"/>
    <w:rsid w:val="003F7479"/>
    <w:rsid w:val="00442C79"/>
    <w:rsid w:val="00495562"/>
    <w:rsid w:val="004D0833"/>
    <w:rsid w:val="004D2177"/>
    <w:rsid w:val="004F218D"/>
    <w:rsid w:val="00575DEB"/>
    <w:rsid w:val="00577B86"/>
    <w:rsid w:val="00580308"/>
    <w:rsid w:val="0059053D"/>
    <w:rsid w:val="005A573D"/>
    <w:rsid w:val="005E1583"/>
    <w:rsid w:val="006F12A5"/>
    <w:rsid w:val="00701024"/>
    <w:rsid w:val="007366D3"/>
    <w:rsid w:val="007454B3"/>
    <w:rsid w:val="00751D78"/>
    <w:rsid w:val="00774DFA"/>
    <w:rsid w:val="00866ACB"/>
    <w:rsid w:val="008914FD"/>
    <w:rsid w:val="008B4031"/>
    <w:rsid w:val="008B4AE8"/>
    <w:rsid w:val="008C4650"/>
    <w:rsid w:val="008C5687"/>
    <w:rsid w:val="008D017A"/>
    <w:rsid w:val="0099122E"/>
    <w:rsid w:val="009C433A"/>
    <w:rsid w:val="00A3184B"/>
    <w:rsid w:val="00A60D5F"/>
    <w:rsid w:val="00A62E62"/>
    <w:rsid w:val="00A64E8C"/>
    <w:rsid w:val="00A76FE8"/>
    <w:rsid w:val="00A875A0"/>
    <w:rsid w:val="00A9693F"/>
    <w:rsid w:val="00AA59B8"/>
    <w:rsid w:val="00AC338A"/>
    <w:rsid w:val="00AD4CB2"/>
    <w:rsid w:val="00AD4DE9"/>
    <w:rsid w:val="00AD6D8C"/>
    <w:rsid w:val="00B25B85"/>
    <w:rsid w:val="00B65D13"/>
    <w:rsid w:val="00B72FDD"/>
    <w:rsid w:val="00B87419"/>
    <w:rsid w:val="00BA3FF0"/>
    <w:rsid w:val="00BD0CBD"/>
    <w:rsid w:val="00C07D3D"/>
    <w:rsid w:val="00C36F5E"/>
    <w:rsid w:val="00C471BD"/>
    <w:rsid w:val="00C612FC"/>
    <w:rsid w:val="00C61DBE"/>
    <w:rsid w:val="00CA6622"/>
    <w:rsid w:val="00CF79AE"/>
    <w:rsid w:val="00D3026E"/>
    <w:rsid w:val="00D504B6"/>
    <w:rsid w:val="00DC1285"/>
    <w:rsid w:val="00DD665E"/>
    <w:rsid w:val="00E12081"/>
    <w:rsid w:val="00E134DB"/>
    <w:rsid w:val="00E70E23"/>
    <w:rsid w:val="00EE7998"/>
    <w:rsid w:val="00F009FA"/>
    <w:rsid w:val="00F10EAB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FBDC-9441-4D6E-A883-9545439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2023-01-04T09:39:00Z</dcterms:created>
  <dcterms:modified xsi:type="dcterms:W3CDTF">2023-01-10T07:23:00Z</dcterms:modified>
</cp:coreProperties>
</file>