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ascii="仿宋" w:hAnsi="仿宋" w:eastAsia="仿宋" w:cs="仿宋"/>
          <w:b w:val="0"/>
          <w:i w:val="0"/>
          <w:caps w:val="0"/>
          <w:color w:val="484848"/>
          <w:spacing w:val="0"/>
          <w:sz w:val="32"/>
          <w:szCs w:val="32"/>
          <w:u w:val="none"/>
        </w:rPr>
      </w:pPr>
      <w:bookmarkStart w:id="0" w:name="_GoBack"/>
      <w:r>
        <w:rPr>
          <w:rStyle w:val="4"/>
          <w:rFonts w:ascii="微软雅黑" w:hAnsi="微软雅黑" w:eastAsia="微软雅黑" w:cs="微软雅黑"/>
          <w:i w:val="0"/>
          <w:caps w:val="0"/>
          <w:color w:val="484848"/>
          <w:spacing w:val="0"/>
          <w:sz w:val="44"/>
          <w:szCs w:val="44"/>
          <w:u w:val="none"/>
          <w:bdr w:val="none" w:color="auto" w:sz="0" w:space="0"/>
        </w:rPr>
        <w:t>2020年度卫生健康标准项目目录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default" w:ascii="仿宋" w:hAnsi="仿宋" w:eastAsia="仿宋" w:cs="仿宋"/>
          <w:b w:val="0"/>
          <w:i w:val="0"/>
          <w:caps w:val="0"/>
          <w:color w:val="484848"/>
          <w:spacing w:val="0"/>
          <w:sz w:val="32"/>
          <w:szCs w:val="32"/>
          <w:u w:val="none"/>
        </w:rPr>
      </w:pPr>
      <w:r>
        <w:rPr>
          <w:rFonts w:hint="default" w:ascii="仿宋" w:hAnsi="仿宋" w:eastAsia="仿宋" w:cs="仿宋"/>
          <w:b w:val="0"/>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default" w:ascii="仿宋" w:hAnsi="仿宋" w:eastAsia="仿宋" w:cs="仿宋"/>
          <w:b w:val="0"/>
          <w:i w:val="0"/>
          <w:caps w:val="0"/>
          <w:color w:val="484848"/>
          <w:spacing w:val="0"/>
          <w:sz w:val="32"/>
          <w:szCs w:val="32"/>
          <w:u w:val="none"/>
        </w:rPr>
      </w:pPr>
      <w:r>
        <w:rPr>
          <w:rFonts w:ascii="黑体" w:hAnsi="宋体" w:eastAsia="黑体" w:cs="黑体"/>
          <w:b w:val="0"/>
          <w:i w:val="0"/>
          <w:caps w:val="0"/>
          <w:color w:val="484848"/>
          <w:spacing w:val="0"/>
          <w:sz w:val="32"/>
          <w:szCs w:val="32"/>
          <w:u w:val="none"/>
          <w:bdr w:val="none" w:color="auto" w:sz="0" w:space="0"/>
        </w:rPr>
        <w:t>　　一、标准制修订项目</w:t>
      </w:r>
    </w:p>
    <w:tbl>
      <w:tblPr>
        <w:tblW w:w="14174" w:type="dxa"/>
        <w:tblInd w:w="0" w:type="dxa"/>
        <w:shd w:val="clear"/>
        <w:tblLayout w:type="autofit"/>
        <w:tblCellMar>
          <w:top w:w="0" w:type="dxa"/>
          <w:left w:w="0" w:type="dxa"/>
          <w:bottom w:w="0" w:type="dxa"/>
          <w:right w:w="0" w:type="dxa"/>
        </w:tblCellMar>
      </w:tblPr>
      <w:tblGrid>
        <w:gridCol w:w="908"/>
        <w:gridCol w:w="794"/>
        <w:gridCol w:w="2759"/>
        <w:gridCol w:w="854"/>
        <w:gridCol w:w="864"/>
        <w:gridCol w:w="6825"/>
        <w:gridCol w:w="1170"/>
      </w:tblGrid>
      <w:tr>
        <w:tblPrEx>
          <w:shd w:val="clear"/>
        </w:tblPrEx>
        <w:tc>
          <w:tcPr>
            <w:tcW w:w="69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kern w:val="0"/>
                <w:sz w:val="24"/>
                <w:szCs w:val="24"/>
                <w:u w:val="none"/>
                <w:bdr w:val="none" w:color="auto" w:sz="0" w:space="0"/>
                <w:lang w:val="en-US" w:eastAsia="zh-CN" w:bidi="ar"/>
              </w:rPr>
              <w:t>序号</w:t>
            </w:r>
          </w:p>
        </w:tc>
        <w:tc>
          <w:tcPr>
            <w:tcW w:w="80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kern w:val="0"/>
                <w:sz w:val="24"/>
                <w:szCs w:val="24"/>
                <w:u w:val="none"/>
                <w:bdr w:val="none" w:color="auto" w:sz="0" w:space="0"/>
                <w:lang w:val="en-US" w:eastAsia="zh-CN" w:bidi="ar"/>
              </w:rPr>
              <w:t>专业</w:t>
            </w:r>
          </w:p>
        </w:tc>
        <w:tc>
          <w:tcPr>
            <w:tcW w:w="2796"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kern w:val="0"/>
                <w:sz w:val="24"/>
                <w:szCs w:val="24"/>
                <w:u w:val="none"/>
                <w:bdr w:val="none" w:color="auto" w:sz="0" w:space="0"/>
                <w:lang w:val="en-US" w:eastAsia="zh-CN" w:bidi="ar"/>
              </w:rPr>
              <w:t>项目名称</w:t>
            </w:r>
          </w:p>
        </w:tc>
        <w:tc>
          <w:tcPr>
            <w:tcW w:w="86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kern w:val="0"/>
                <w:sz w:val="24"/>
                <w:szCs w:val="24"/>
                <w:u w:val="none"/>
                <w:bdr w:val="none" w:color="auto" w:sz="0" w:space="0"/>
                <w:lang w:val="en-US" w:eastAsia="zh-CN" w:bidi="ar"/>
              </w:rPr>
              <w:t>项目类别</w:t>
            </w:r>
          </w:p>
        </w:tc>
        <w:tc>
          <w:tcPr>
            <w:tcW w:w="86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kern w:val="0"/>
                <w:sz w:val="24"/>
                <w:szCs w:val="24"/>
                <w:u w:val="none"/>
                <w:bdr w:val="none" w:color="auto" w:sz="0" w:space="0"/>
                <w:lang w:val="en-US" w:eastAsia="zh-CN" w:bidi="ar"/>
              </w:rPr>
              <w:t>标准类别</w:t>
            </w:r>
          </w:p>
        </w:tc>
        <w:tc>
          <w:tcPr>
            <w:tcW w:w="6960"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kern w:val="0"/>
                <w:sz w:val="24"/>
                <w:szCs w:val="24"/>
                <w:u w:val="none"/>
                <w:bdr w:val="none" w:color="auto" w:sz="0" w:space="0"/>
                <w:lang w:val="en-US" w:eastAsia="zh-CN" w:bidi="ar"/>
              </w:rPr>
              <w:t>项目主要内容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kern w:val="0"/>
                <w:sz w:val="24"/>
                <w:szCs w:val="24"/>
                <w:u w:val="none"/>
                <w:bdr w:val="none" w:color="auto" w:sz="0" w:space="0"/>
                <w:lang w:val="en-US" w:eastAsia="zh-CN" w:bidi="ar"/>
              </w:rPr>
              <w:t> </w:t>
            </w:r>
          </w:p>
        </w:tc>
        <w:tc>
          <w:tcPr>
            <w:tcW w:w="1189"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kern w:val="0"/>
                <w:sz w:val="24"/>
                <w:szCs w:val="24"/>
                <w:u w:val="none"/>
                <w:bdr w:val="none" w:color="auto" w:sz="0" w:space="0"/>
                <w:lang w:val="en-US" w:eastAsia="zh-CN" w:bidi="ar"/>
              </w:rPr>
              <w:t>完成时限</w:t>
            </w:r>
          </w:p>
        </w:tc>
      </w:tr>
      <w:tr>
        <w:tblPrEx>
          <w:shd w:val="clear"/>
        </w:tblPrEx>
        <w:trPr>
          <w:trHeight w:val="1361"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卫生健康信息</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健康码基本功能规范</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根据现有健康码的功能，适当延伸其在预约、就诊、健康管理等方面的应用，制定健康码基本功能规范，包括基本信息管理功能规范、诊疗信息管理功能规范、健康信息管理功能规范等，为进一步规范健康码应用发展提供标准支撑。</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361"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2 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卫生健康信息</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新冠肺炎基本数据集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分为门诊、住院、随访、康复、中医、临床科研、监测等7个部分，提供一套口径统一、语义明确、结构规范的门诊数据集，包括数据集元数据、数据元属性、值域代码等方面，约定新冠肺炎专病数据结构。</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6个月</w:t>
            </w:r>
          </w:p>
        </w:tc>
      </w:tr>
      <w:tr>
        <w:tblPrEx>
          <w:shd w:val="clear"/>
        </w:tblPrEx>
        <w:trPr>
          <w:trHeight w:val="662"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3 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卫生健康信息</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基层医疗卫生机构对治愈出院后新冠肺炎患者随访和健康管理信息系统功能与技术规范</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根据基层医疗卫生机构对新冠肺炎出院患者健康管理、随访服务、健康监测、康复指导等内容和业务流程特点，制定信息系统建设规范，包括支撑相关业务功能模块标准、数据采集标准、数据接口标准等。</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6个月</w:t>
            </w:r>
          </w:p>
        </w:tc>
      </w:tr>
      <w:tr>
        <w:tblPrEx>
          <w:shd w:val="clear"/>
        </w:tblPrEx>
        <w:trPr>
          <w:trHeight w:val="540"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4 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卫生健康信息</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发热门诊信息系统功能与技术规范</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根据发热门诊（高风险区域）的业务流程特点，制定信息系统建设规范，包括临床诊疗业务功能模块标准，数据采集标准，数据接口标准等,可为各级医院发热门诊信息化建设进行指导。</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562"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5 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卫生健康信息</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重大疾病监测业务协同交换接口规范</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在《重大疾病监测业务协同数据集》的基础上，根据各省疾控信息平台，以及各级各类医疗机构电子病历建设情况，结合法定传染病、重点慢性病、精神障碍等疾控管理的业务活动，进行分析、规范和定义各业务数据交换文档的内容、格式、逻辑关系、组织构架，形成满足业务工作流程及共享需求的数据交换接口规范。</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233"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6 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卫生健康信息</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疾病控制基本数据集：麻风病登记报告</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麻风病例登记信息、状态信息和管理者工作信息等，明确数据集元数据属性、数据元属性等。</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244"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7 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医疗卫生建设装备</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应急发热门诊及肠道门诊建筑设计标准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规范综合医院感染性疾病门诊建筑设计，明确感染性疾病门诊建设选址、功能要求、平面布局、工艺流程相关要求及水电暖通等技术要求，满足感染性疾病的筛查、预警和防控的使用要求。</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244"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8 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医疗卫生建设装备</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公共设施临时应急救治改造标准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规范应急状态下依托展览馆、会议中心等公共设施的临时应急救治基地建设，明确建筑布局、机电暖通、给排水、信息化通讯和基本医疗设备等相关技术要求。</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361"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9 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医疗卫生建设装备</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手术室医学装备配置标准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在保障患者安全的前提下，根据手术室功能定位和临床需求，提出各类型手术室医学装备配置标准。</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31"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10 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传染病</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新冠肺炎诊断标准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确定新冠肺炎的诊断标准（包括疑似病例、临床诊断病例和实验室诊断病例）；确定新冠肺炎实验室诊断方法及结果判定标准（包括分子诊断和血清免疫学诊断）。</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6个月</w:t>
            </w:r>
          </w:p>
        </w:tc>
      </w:tr>
      <w:tr>
        <w:tblPrEx>
          <w:shd w:val="clear"/>
        </w:tblPrEx>
        <w:trPr>
          <w:trHeight w:val="874"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11 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传染病</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百日咳诊断标准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标准修订</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修订WS 274，增加诊断依据、鉴别诊断、核酸检测，修订病原学、流行病学、病原体分离鉴定和百日咳凝集抗体测定。</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0"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12 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传染病</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结核病诊断标准 </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标准修订</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修订WS 288，增加各种类型的耐药结核病术语和定义，诊断依据，诊断原则，诊断和鉴别诊断程序。</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31"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13 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寄生虫病</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疟原虫检测 虫种核酸鉴定法</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规范疟疾PCR检测方法的生物安全要求,标本的采集、运输和保存,主要仪器和试剂，操作流程，质量控制以及结果分析和判定。</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0"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14 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地方病</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地方性甲状腺肿诊断标准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标准修订</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修订WS 276，通过问卷、调研、国际标准比较以及现场调查等方式对标准修订。</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31"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15 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地方病</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水源性高碘病区控制标准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建立针对水源性高碘病区控制状况的评价指标，制定针对不同级别行政区划的病区控制指标与判定办法。</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31"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16 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营养</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人群维生素E筛查方法</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建立测定血液维生素E的高压液相和液质两种检测方法，适用于中国人群的维生素E筛查指标。</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254"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17 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环境健康</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新冠肺炎防控社区环境卫生管理规范</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研制新冠肺炎疫情期间社区楼道、电梯、楼宇门厅等公共场所消杀、通风换气等基本要求；安装集中空调社区对集中通风系统的合理应用；生活垃圾规范处理以及规范社区内宠物饲养的行为等。</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6个月</w:t>
            </w:r>
          </w:p>
        </w:tc>
      </w:tr>
      <w:tr>
        <w:tblPrEx>
          <w:shd w:val="clear"/>
        </w:tblPrEx>
        <w:trPr>
          <w:trHeight w:val="90"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18 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环境健康</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二次供水设施卫生规范</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标准修订</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GB</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修订GB 17051，修改并增加无负压变频设备等新型二次供水设施的卫生要求，调整水质卫生要求中的部分指标及名称，增加对水箱清洗消毒单位的要求等。</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471"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19 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学校卫生</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传染病流行期学生健康监测感染控制技术指南</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GB/T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主要规范传染病流行期间学生常见病监测的防控工作，包括：健康监测（体检）机构针对传染病的知识与技能培训、防护用品的准备、监测现场的准备；在监测过程中的防护，包括学生防护、监测重点岗位防护等；消毒要求，包括监测前、监测中及监测结束后的终末消毒，覆盖监测仪器以及监测人员、学生个人消毒要求。</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79"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20 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学校卫生</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中小学校教室采光和照明卫生标准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 </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GB</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修订GB 7793，修订学校教室采光要求（如采光系数、窗地面积比、眩光、各表面反射比等；）和照明要求。</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78"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21 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学校卫生</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儿童青少年视力健康管理技术服务指南 </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制定视力健康教育与咨询、近视风险监测预警、检查评估、综合干预与动态管理等全周期、全过程的服务流程和效果评价标准。</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471"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22 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卫生有害生物防制</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蝇类抗药性检测方法 家蝇生物测定法</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标准修订</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GB/T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修订GB/T 26349，补充灭蝇饵剂的抗药性测定方法；进一步完善常见杀虫药剂对敏感家蝇种群的诊断剂量。</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471"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23 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卫生有害生物防制</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病媒生物综合管理技术规范 化学防治 蚊虫</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主要规定病媒生物综合管理中使用卫生杀虫剂对各类场所蚊虫实施化学防治的技术要求与方法。</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659"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24 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医疗机构管理</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医院供热系统运行管理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 </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标准修订</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修订WS 437，依据新发布的法规规范，修订质量安全、环保、管理等相关内容，加强医院对有供热需求的灭菌消毒、卫生热水、洗浆、空调、食堂、制剂等供热系统的运行管理。</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23"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25 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医疗服务</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患者身份识别管理规范</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适用于全国各级各类医务人员对患者进行正确身份识别，规定身份识别的重点环节、基本原则、技术内容与要求。 </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361"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26 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医院感染控制</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医疗机构消毒技术规范</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标准修订</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修订WS/T 367，对医疗机构的消毒管理要求，消毒与灭菌的基本原则，常用清洁、消毒与灭菌方法和医院消毒灭菌的效果监测等方面进行修订。</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361"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27 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医院感染控制</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产房医院感染预防与控制规范</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规定产房的布局流程及功能设置、人员与物品管理、环境清洁与消毒、手卫生、无菌操作、医疗废物的管理、职业防护等。</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0"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28 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护理</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静脉治疗护理技术操作规范</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标准修订</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修订WS/T 433，对静脉治疗护理技术操作部分内部进行修改。</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64"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29 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临床检验</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临床微生物培养、鉴定和药敏检测系统的性能验证</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包括细菌、真菌形态学检查试剂、分离培养系统、手工和自动化鉴定系统、药敏系统的验证以及风险评估等。</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64"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30 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血液</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血液运输标准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标准修订</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修订WS/T 400，对临床输注用血和血液标本运输提出技术要求。</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64"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31 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血液</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血站评价指南</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建立评价血站采供血能力、献血服务水平、血液质量安全和信息化建设的操作指南。</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486"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32 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000000"/>
                <w:spacing w:val="0"/>
                <w:kern w:val="0"/>
                <w:sz w:val="24"/>
                <w:szCs w:val="24"/>
                <w:u w:val="none"/>
                <w:bdr w:val="none" w:color="auto" w:sz="0" w:space="0"/>
                <w:lang w:val="en-US" w:eastAsia="zh-CN" w:bidi="ar"/>
              </w:rPr>
              <w:t>基层卫生健康</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000000"/>
                <w:spacing w:val="0"/>
                <w:kern w:val="0"/>
                <w:sz w:val="24"/>
                <w:szCs w:val="24"/>
                <w:u w:val="none"/>
                <w:bdr w:val="none" w:color="auto" w:sz="0" w:space="0"/>
                <w:lang w:val="en-US" w:eastAsia="zh-CN" w:bidi="ar"/>
              </w:rPr>
              <w:t>基层医疗卫生机构发热哨点诊室设置标准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000000"/>
                <w:spacing w:val="0"/>
                <w:kern w:val="0"/>
                <w:sz w:val="24"/>
                <w:szCs w:val="24"/>
                <w:u w:val="none"/>
                <w:bdr w:val="none" w:color="auto" w:sz="0" w:space="0"/>
                <w:lang w:val="en-US" w:eastAsia="zh-CN" w:bidi="ar"/>
              </w:rPr>
              <w:t>根据新冠肺炎疫情常态化防控需要，按照社区卫生服务中心和乡镇卫生院功能定位，通过在基层医疗卫生机构设置具备应急隔离条件的发热哨点诊室，加强基层防护和规范服务流程，提升基层应对突发公共卫生事件和重大传染病处置能力，有效落实“四早”防控措施。</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304"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33 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基层卫生健康</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基层医疗卫生服务机构质量管理规范</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基于基层医疗卫生机构功能定位的核心内容的相关质量管理和控制标准。</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510"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34 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消毒</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消毒剂与抗（抑）菌剂中激素的评价规范及检验方法</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建立消毒剂与抗（抑）菌剂中激素的检验方法和评价指标</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518"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35 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消毒</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抗抑菌剂有效成分清单</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GB</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规定抗抑菌剂有效成分清单目录</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129"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36 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老年健康</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中国健康老年人标准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从老年人生理健康、心理健康及良好的社会适应能力等方面制定中国健康老年人标准。</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13"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37 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老年健康</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居家、社区老年医疗护理员服务标准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研究和制定适合我国老年人群的居家、社区老年医疗护理员服务标准。</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893"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38 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妇幼健康</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幼儿园卫生保健工作评估标准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建立全国幼儿园卫生保健工作评价指标体系及评分常模，对全国幼儿园卫生保健工作质量进行统一评估。</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2239"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39 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职业健康</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尿中1,3-丁二烯代谢产物1,2-双羟基-4-（N-乙酰半胱氨酸)-丁烷 （DHBMA)和1-（N-乙酰半胱氨酸)-2-羟基-3-丁烯（MHBMA)的高效液相色谱-质谱/质谱测定方法</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GBZ/T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通过研究和方法验证，制定尿中1,3-丁二烯的检测方法和相应的限值。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 </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616"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40 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职业健康</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工作场所空气中乙草胺的职业接触限值和检测方法</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限值GBZ</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GBZ/T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通过现场检测和实验室研究，制定工作场所空气中乙草胺的职业接触限值和检测方法。</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75"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41 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职业健康</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职业卫生技术服务工作规范</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GBZ</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对职业卫生技术服务工作的内容、程序、质量控制、过程管理等做出规定，以规范技术服务全要素全流程，保证技术服务质量。</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417"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42 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职业健康</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建设项目职业病危害预评价技术导则</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标准修订</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GBZ/T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修订GBZ/T 196，通过修订相关内容，提高标准的可操作性。</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931"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43 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职业健康</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职业性慢性化学物中毒的诊断 总则</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GBZ</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《职业病分类和目录》修订后，慢性中毒的诊断为开放性条款，制定总则以满足诊断需求。</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264"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44 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职业健康</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职业性刺激性化学物致慢性阻塞性肺疾病的诊断标准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标准修订</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GBZ</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修订GBZ/T 237，增加标准的可操作性。</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338"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45 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放射卫生</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X射线衍射仪及低能射线装置放射卫生防护标准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标准修订</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GBZ</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修订GBZ 115，并增加能量在5kev-1Mev的离子注入装置、电子束焊机等其他各类小型非医用射线装置防护要求及相应检测方法。</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000"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46 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放射卫生</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正电子发射断层成像设备（PET）质量控制检测规范</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正电子发射断层成像设备（PET）质量控制检测的要求、检测项目、检测周期和检测方法等。</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134"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47 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放射卫生</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锥形束X射线CT（CBCT）设备质量控制检测规范</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锥形束X射线CT（CBCT）设备质量控制检测的要求、检测项目、检测周期和检测方法等。</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504"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48 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放射卫生</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放射工作人员职业健康检查外周血淋巴细胞微核检测与应急剂量估算方法</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标准修订</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GBZ/T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修订WS/T 187，提高标准科学性和可操作性。</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rPr>
          <w:trHeight w:val="1134" w:hRule="atLeast"/>
        </w:trPr>
        <w:tc>
          <w:tcPr>
            <w:tcW w:w="697"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745" w:right="0" w:hanging="425"/>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49 </w:t>
            </w:r>
          </w:p>
        </w:tc>
        <w:tc>
          <w:tcPr>
            <w:tcW w:w="80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其他</w:t>
            </w:r>
          </w:p>
        </w:tc>
        <w:tc>
          <w:tcPr>
            <w:tcW w:w="279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托育机构质量评估标准</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标准制定</w:t>
            </w:r>
          </w:p>
        </w:tc>
        <w:tc>
          <w:tcPr>
            <w:tcW w:w="8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WS/T</w:t>
            </w:r>
          </w:p>
        </w:tc>
        <w:tc>
          <w:tcPr>
            <w:tcW w:w="696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建立完善托育机构标准规范体系，促进我国婴幼儿照护服务专业化、规范化发展</w:t>
            </w:r>
          </w:p>
        </w:tc>
        <w:tc>
          <w:tcPr>
            <w:tcW w:w="118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default" w:ascii="仿宋" w:hAnsi="仿宋" w:eastAsia="仿宋" w:cs="仿宋"/>
          <w:b w:val="0"/>
          <w:i w:val="0"/>
          <w:caps w:val="0"/>
          <w:color w:val="484848"/>
          <w:spacing w:val="0"/>
          <w:sz w:val="32"/>
          <w:szCs w:val="32"/>
          <w:u w:val="none"/>
        </w:rPr>
      </w:pPr>
      <w:r>
        <w:rPr>
          <w:rFonts w:hint="default" w:ascii="仿宋" w:hAnsi="仿宋" w:eastAsia="仿宋" w:cs="仿宋"/>
          <w:b w:val="0"/>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default" w:ascii="仿宋" w:hAnsi="仿宋" w:eastAsia="仿宋" w:cs="仿宋"/>
          <w:b w:val="0"/>
          <w:i w:val="0"/>
          <w:caps w:val="0"/>
          <w:color w:val="484848"/>
          <w:spacing w:val="0"/>
          <w:sz w:val="32"/>
          <w:szCs w:val="32"/>
          <w:u w:val="none"/>
        </w:rPr>
      </w:pPr>
      <w:r>
        <w:rPr>
          <w:rFonts w:hint="default" w:ascii="黑体" w:hAnsi="宋体" w:eastAsia="黑体" w:cs="黑体"/>
          <w:b w:val="0"/>
          <w:i w:val="0"/>
          <w:caps w:val="0"/>
          <w:color w:val="484848"/>
          <w:spacing w:val="0"/>
          <w:sz w:val="32"/>
          <w:szCs w:val="32"/>
          <w:u w:val="none"/>
          <w:bdr w:val="none" w:color="auto" w:sz="0" w:space="0"/>
        </w:rPr>
        <w:t>　　二、标准研究项目</w:t>
      </w:r>
    </w:p>
    <w:tbl>
      <w:tblPr>
        <w:tblW w:w="14127" w:type="dxa"/>
        <w:tblInd w:w="0" w:type="dxa"/>
        <w:shd w:val="clear"/>
        <w:tblLayout w:type="autofit"/>
        <w:tblCellMar>
          <w:top w:w="0" w:type="dxa"/>
          <w:left w:w="0" w:type="dxa"/>
          <w:bottom w:w="0" w:type="dxa"/>
          <w:right w:w="0" w:type="dxa"/>
        </w:tblCellMar>
      </w:tblPr>
      <w:tblGrid>
        <w:gridCol w:w="795"/>
        <w:gridCol w:w="1106"/>
        <w:gridCol w:w="2805"/>
        <w:gridCol w:w="726"/>
        <w:gridCol w:w="7306"/>
        <w:gridCol w:w="1389"/>
      </w:tblGrid>
      <w:tr>
        <w:tc>
          <w:tcPr>
            <w:tcW w:w="60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kern w:val="0"/>
                <w:sz w:val="24"/>
                <w:szCs w:val="24"/>
                <w:u w:val="none"/>
                <w:bdr w:val="none" w:color="auto" w:sz="0" w:space="0"/>
                <w:lang w:val="en-US" w:eastAsia="zh-CN" w:bidi="ar"/>
              </w:rPr>
              <w:t>序号</w:t>
            </w:r>
          </w:p>
        </w:tc>
        <w:tc>
          <w:tcPr>
            <w:tcW w:w="1118"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kern w:val="0"/>
                <w:sz w:val="24"/>
                <w:szCs w:val="24"/>
                <w:u w:val="none"/>
                <w:bdr w:val="none" w:color="auto" w:sz="0" w:space="0"/>
                <w:lang w:val="en-US" w:eastAsia="zh-CN" w:bidi="ar"/>
              </w:rPr>
              <w:t>专业</w:t>
            </w:r>
          </w:p>
        </w:tc>
        <w:tc>
          <w:tcPr>
            <w:tcW w:w="2843"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kern w:val="0"/>
                <w:sz w:val="24"/>
                <w:szCs w:val="24"/>
                <w:u w:val="none"/>
                <w:bdr w:val="none" w:color="auto" w:sz="0" w:space="0"/>
                <w:lang w:val="en-US" w:eastAsia="zh-CN" w:bidi="ar"/>
              </w:rPr>
              <w:t>项目名称</w:t>
            </w:r>
          </w:p>
        </w:tc>
        <w:tc>
          <w:tcPr>
            <w:tcW w:w="731"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kern w:val="0"/>
                <w:sz w:val="24"/>
                <w:szCs w:val="24"/>
                <w:u w:val="none"/>
                <w:bdr w:val="none" w:color="auto" w:sz="0" w:space="0"/>
                <w:lang w:val="en-US" w:eastAsia="zh-CN" w:bidi="ar"/>
              </w:rPr>
              <w:t>项目类别</w:t>
            </w:r>
          </w:p>
        </w:tc>
        <w:tc>
          <w:tcPr>
            <w:tcW w:w="7426"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kern w:val="0"/>
                <w:sz w:val="24"/>
                <w:szCs w:val="24"/>
                <w:u w:val="none"/>
                <w:bdr w:val="none" w:color="auto" w:sz="0" w:space="0"/>
                <w:lang w:val="en-US" w:eastAsia="zh-CN" w:bidi="ar"/>
              </w:rPr>
              <w:t>项目主要内容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32"/>
                <w:szCs w:val="32"/>
                <w:u w:val="none"/>
                <w:bdr w:val="none" w:color="auto" w:sz="0" w:space="0"/>
                <w:lang w:val="en-US" w:eastAsia="zh-CN" w:bidi="ar"/>
              </w:rPr>
              <w:t> </w:t>
            </w:r>
          </w:p>
        </w:tc>
        <w:tc>
          <w:tcPr>
            <w:tcW w:w="1406"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kern w:val="0"/>
                <w:sz w:val="24"/>
                <w:szCs w:val="24"/>
                <w:u w:val="none"/>
                <w:bdr w:val="none" w:color="auto" w:sz="0" w:space="0"/>
                <w:lang w:val="en-US" w:eastAsia="zh-CN" w:bidi="ar"/>
              </w:rPr>
              <w:t>完成年限</w:t>
            </w:r>
          </w:p>
        </w:tc>
      </w:tr>
      <w:tr>
        <w:tblPrEx>
          <w:shd w:val="clear"/>
        </w:tblPrEx>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425" w:right="153" w:hanging="425"/>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sz w:val="28"/>
                <w:szCs w:val="28"/>
                <w:u w:val="none"/>
                <w:bdr w:val="none" w:color="auto" w:sz="0" w:space="0"/>
              </w:rPr>
              <w:t>50 </w:t>
            </w:r>
          </w:p>
        </w:tc>
        <w:tc>
          <w:tcPr>
            <w:tcW w:w="111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卫生健康信息</w:t>
            </w:r>
          </w:p>
        </w:tc>
        <w:tc>
          <w:tcPr>
            <w:tcW w:w="284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5G、区块链技术在医疗卫生行业应用的标准需求研究</w:t>
            </w:r>
          </w:p>
        </w:tc>
        <w:tc>
          <w:tcPr>
            <w:tcW w:w="7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研究</w:t>
            </w:r>
          </w:p>
        </w:tc>
        <w:tc>
          <w:tcPr>
            <w:tcW w:w="742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研究5G、区块链等新技术在医疗行业的应用情况及前景，从技术要求、管理要求及评测方法、创新监管、质量和数据安全等角度分析标准需求，提出标准体系框架建议。</w:t>
            </w:r>
          </w:p>
        </w:tc>
        <w:tc>
          <w:tcPr>
            <w:tcW w:w="140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425" w:right="153" w:hanging="425"/>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sz w:val="28"/>
                <w:szCs w:val="28"/>
                <w:u w:val="none"/>
                <w:bdr w:val="none" w:color="auto" w:sz="0" w:space="0"/>
              </w:rPr>
              <w:t>51 </w:t>
            </w:r>
          </w:p>
        </w:tc>
        <w:tc>
          <w:tcPr>
            <w:tcW w:w="111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其他</w:t>
            </w:r>
          </w:p>
        </w:tc>
        <w:tc>
          <w:tcPr>
            <w:tcW w:w="284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儿童青少年心理危机与冲突的系统式干预指南标准前期研究</w:t>
            </w:r>
          </w:p>
        </w:tc>
        <w:tc>
          <w:tcPr>
            <w:tcW w:w="7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研究</w:t>
            </w:r>
          </w:p>
        </w:tc>
        <w:tc>
          <w:tcPr>
            <w:tcW w:w="742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通过项目研究提出儿童青少年心理危机与冲突的系统式心理健康服务的原则和方法，为家庭、学校、医疗卫生机构等开展儿童青少年心理健康服务提供标准化指导方案。</w:t>
            </w:r>
          </w:p>
        </w:tc>
        <w:tc>
          <w:tcPr>
            <w:tcW w:w="140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425" w:right="153" w:hanging="425"/>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sz w:val="28"/>
                <w:szCs w:val="28"/>
                <w:u w:val="none"/>
                <w:bdr w:val="none" w:color="auto" w:sz="0" w:space="0"/>
              </w:rPr>
              <w:t>52 </w:t>
            </w:r>
          </w:p>
        </w:tc>
        <w:tc>
          <w:tcPr>
            <w:tcW w:w="111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其他</w:t>
            </w:r>
          </w:p>
        </w:tc>
        <w:tc>
          <w:tcPr>
            <w:tcW w:w="284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我国与WHO标准化合作机制研究</w:t>
            </w:r>
          </w:p>
        </w:tc>
        <w:tc>
          <w:tcPr>
            <w:tcW w:w="7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研究</w:t>
            </w:r>
          </w:p>
        </w:tc>
        <w:tc>
          <w:tcPr>
            <w:tcW w:w="742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通过研究WHO标准化工作机制及其他典型国家参与WHO标准化工作的做法，为我国参与WHO标准化合作提供建议。</w:t>
            </w:r>
          </w:p>
        </w:tc>
        <w:tc>
          <w:tcPr>
            <w:tcW w:w="140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c>
          <w:tcPr>
            <w:tcW w:w="60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425" w:right="153" w:hanging="425"/>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sz w:val="28"/>
                <w:szCs w:val="28"/>
                <w:u w:val="none"/>
                <w:bdr w:val="none" w:color="auto" w:sz="0" w:space="0"/>
              </w:rPr>
              <w:t>53 </w:t>
            </w:r>
          </w:p>
        </w:tc>
        <w:tc>
          <w:tcPr>
            <w:tcW w:w="111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其他</w:t>
            </w:r>
          </w:p>
        </w:tc>
        <w:tc>
          <w:tcPr>
            <w:tcW w:w="284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卫生健康领域标准联通共建一带一路策略研究</w:t>
            </w:r>
          </w:p>
        </w:tc>
        <w:tc>
          <w:tcPr>
            <w:tcW w:w="73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研究</w:t>
            </w:r>
          </w:p>
        </w:tc>
        <w:tc>
          <w:tcPr>
            <w:tcW w:w="742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通过研究“一带一路”国家对中国卫生健康标准的需求，提出中国卫生健康标准深度参与“一带一路”建设策略，为中国卫生健康标准在“一带一路”国家推广提出建议。</w:t>
            </w:r>
          </w:p>
        </w:tc>
        <w:tc>
          <w:tcPr>
            <w:tcW w:w="140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default" w:ascii="仿宋" w:hAnsi="仿宋" w:eastAsia="仿宋" w:cs="仿宋"/>
          <w:b w:val="0"/>
          <w:i w:val="0"/>
          <w:caps w:val="0"/>
          <w:color w:val="484848"/>
          <w:spacing w:val="0"/>
          <w:sz w:val="32"/>
          <w:szCs w:val="32"/>
          <w:u w:val="none"/>
        </w:rPr>
      </w:pPr>
      <w:r>
        <w:rPr>
          <w:rFonts w:hint="default" w:ascii="仿宋" w:hAnsi="仿宋" w:eastAsia="仿宋" w:cs="仿宋"/>
          <w:b w:val="0"/>
          <w:i w:val="0"/>
          <w:caps w:val="0"/>
          <w:color w:val="484848"/>
          <w:spacing w:val="0"/>
          <w:sz w:val="32"/>
          <w:szCs w:val="3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both"/>
        <w:rPr>
          <w:rFonts w:hint="default" w:ascii="仿宋" w:hAnsi="仿宋" w:eastAsia="仿宋" w:cs="仿宋"/>
          <w:b w:val="0"/>
          <w:i w:val="0"/>
          <w:caps w:val="0"/>
          <w:color w:val="484848"/>
          <w:spacing w:val="0"/>
          <w:sz w:val="32"/>
          <w:szCs w:val="32"/>
          <w:u w:val="none"/>
        </w:rPr>
      </w:pPr>
      <w:r>
        <w:rPr>
          <w:rFonts w:hint="default" w:ascii="黑体" w:hAnsi="宋体" w:eastAsia="黑体" w:cs="黑体"/>
          <w:b w:val="0"/>
          <w:i w:val="0"/>
          <w:caps w:val="0"/>
          <w:color w:val="484848"/>
          <w:spacing w:val="0"/>
          <w:sz w:val="32"/>
          <w:szCs w:val="32"/>
          <w:u w:val="none"/>
          <w:bdr w:val="none" w:color="auto" w:sz="0" w:space="0"/>
        </w:rPr>
        <w:t>　　三、标准实施评估项目</w:t>
      </w:r>
    </w:p>
    <w:tbl>
      <w:tblPr>
        <w:tblW w:w="14127" w:type="dxa"/>
        <w:tblInd w:w="0" w:type="dxa"/>
        <w:shd w:val="clear"/>
        <w:tblLayout w:type="autofit"/>
        <w:tblCellMar>
          <w:top w:w="0" w:type="dxa"/>
          <w:left w:w="0" w:type="dxa"/>
          <w:bottom w:w="0" w:type="dxa"/>
          <w:right w:w="0" w:type="dxa"/>
        </w:tblCellMar>
      </w:tblPr>
      <w:tblGrid>
        <w:gridCol w:w="782"/>
        <w:gridCol w:w="1279"/>
        <w:gridCol w:w="3011"/>
        <w:gridCol w:w="1635"/>
        <w:gridCol w:w="6015"/>
        <w:gridCol w:w="1405"/>
      </w:tblGrid>
      <w:tr>
        <w:tblPrEx>
          <w:shd w:val="clear"/>
        </w:tblPrEx>
        <w:tc>
          <w:tcPr>
            <w:tcW w:w="6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153"/>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sz w:val="24"/>
                <w:szCs w:val="24"/>
                <w:u w:val="none"/>
                <w:bdr w:val="none" w:color="auto" w:sz="0" w:space="0"/>
              </w:rPr>
              <w:t>序号</w:t>
            </w:r>
          </w:p>
        </w:tc>
        <w:tc>
          <w:tcPr>
            <w:tcW w:w="1290"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153"/>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sz w:val="24"/>
                <w:szCs w:val="24"/>
                <w:u w:val="none"/>
                <w:bdr w:val="none" w:color="auto" w:sz="0" w:space="0"/>
              </w:rPr>
              <w:t>专业</w:t>
            </w:r>
          </w:p>
        </w:tc>
        <w:tc>
          <w:tcPr>
            <w:tcW w:w="3032"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153"/>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sz w:val="24"/>
                <w:szCs w:val="24"/>
                <w:u w:val="none"/>
                <w:bdr w:val="none" w:color="auto" w:sz="0" w:space="0"/>
              </w:rPr>
              <w:t>项目名称</w:t>
            </w:r>
          </w:p>
        </w:tc>
        <w:tc>
          <w:tcPr>
            <w:tcW w:w="1652"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153"/>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sz w:val="24"/>
                <w:szCs w:val="24"/>
                <w:u w:val="none"/>
                <w:bdr w:val="none" w:color="auto" w:sz="0" w:space="0"/>
              </w:rPr>
              <w:t>项目类别</w:t>
            </w:r>
          </w:p>
        </w:tc>
        <w:tc>
          <w:tcPr>
            <w:tcW w:w="6102"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153"/>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sz w:val="24"/>
                <w:szCs w:val="24"/>
                <w:u w:val="none"/>
                <w:bdr w:val="none" w:color="auto" w:sz="0" w:space="0"/>
              </w:rPr>
              <w:t>项目主要内容</w:t>
            </w:r>
          </w:p>
        </w:tc>
        <w:tc>
          <w:tcPr>
            <w:tcW w:w="1418"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153"/>
              <w:jc w:val="center"/>
              <w:rPr>
                <w:rFonts w:hint="default" w:ascii="微软雅黑" w:hAnsi="微软雅黑" w:eastAsia="微软雅黑" w:cs="微软雅黑"/>
                <w:color w:val="484848"/>
                <w:u w:val="none"/>
              </w:rPr>
            </w:pPr>
            <w:r>
              <w:rPr>
                <w:rFonts w:hint="default" w:ascii="仿宋" w:hAnsi="仿宋" w:eastAsia="仿宋" w:cs="仿宋"/>
                <w:b/>
                <w:i w:val="0"/>
                <w:caps w:val="0"/>
                <w:color w:val="484848"/>
                <w:spacing w:val="0"/>
                <w:sz w:val="24"/>
                <w:szCs w:val="24"/>
                <w:u w:val="none"/>
                <w:bdr w:val="none" w:color="auto" w:sz="0" w:space="0"/>
              </w:rPr>
              <w:t>完成年限</w:t>
            </w:r>
          </w:p>
        </w:tc>
      </w:tr>
      <w:tr>
        <w:tblPrEx>
          <w:shd w:val="clear"/>
        </w:tblPrEx>
        <w:tc>
          <w:tcPr>
            <w:tcW w:w="63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425" w:right="153" w:hanging="425"/>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sz w:val="28"/>
                <w:szCs w:val="28"/>
                <w:u w:val="none"/>
                <w:bdr w:val="none" w:color="auto" w:sz="0" w:space="0"/>
              </w:rPr>
              <w:t>54 </w:t>
            </w:r>
          </w:p>
        </w:tc>
        <w:tc>
          <w:tcPr>
            <w:tcW w:w="129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职业健康</w:t>
            </w:r>
          </w:p>
        </w:tc>
        <w:tc>
          <w:tcPr>
            <w:tcW w:w="303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GBZ 159-2004《工作场所空气中有害物质监测的采样规范》实施评估</w:t>
            </w:r>
          </w:p>
        </w:tc>
        <w:tc>
          <w:tcPr>
            <w:tcW w:w="16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实施评估</w:t>
            </w:r>
          </w:p>
        </w:tc>
        <w:tc>
          <w:tcPr>
            <w:tcW w:w="61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对工作场所空气中化学有害因素监测的采样方法和技术规范进行评估。</w:t>
            </w:r>
          </w:p>
        </w:tc>
        <w:tc>
          <w:tcPr>
            <w:tcW w:w="141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c>
          <w:tcPr>
            <w:tcW w:w="63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425" w:right="153" w:hanging="425"/>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sz w:val="28"/>
                <w:szCs w:val="28"/>
                <w:u w:val="none"/>
                <w:bdr w:val="none" w:color="auto" w:sz="0" w:space="0"/>
              </w:rPr>
              <w:t>55 </w:t>
            </w:r>
          </w:p>
        </w:tc>
        <w:tc>
          <w:tcPr>
            <w:tcW w:w="129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职业健康</w:t>
            </w:r>
          </w:p>
        </w:tc>
        <w:tc>
          <w:tcPr>
            <w:tcW w:w="303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GBZ 70-2015《职业性尘肺病的诊断》实施评估</w:t>
            </w:r>
          </w:p>
        </w:tc>
        <w:tc>
          <w:tcPr>
            <w:tcW w:w="16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实施评估</w:t>
            </w:r>
          </w:p>
        </w:tc>
        <w:tc>
          <w:tcPr>
            <w:tcW w:w="61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对职业性尘肺病的诊断标准进行评估。</w:t>
            </w:r>
          </w:p>
        </w:tc>
        <w:tc>
          <w:tcPr>
            <w:tcW w:w="141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r>
        <w:tblPrEx>
          <w:shd w:val="clear"/>
        </w:tblPrEx>
        <w:tc>
          <w:tcPr>
            <w:tcW w:w="633"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425" w:right="153" w:hanging="425"/>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sz w:val="28"/>
                <w:szCs w:val="28"/>
                <w:u w:val="none"/>
                <w:bdr w:val="none" w:color="auto" w:sz="0" w:space="0"/>
              </w:rPr>
              <w:t>56 </w:t>
            </w:r>
          </w:p>
        </w:tc>
        <w:tc>
          <w:tcPr>
            <w:tcW w:w="129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放射卫生</w:t>
            </w:r>
          </w:p>
        </w:tc>
        <w:tc>
          <w:tcPr>
            <w:tcW w:w="303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both"/>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常见职业性放射性疾病诊断标准实施评估</w:t>
            </w:r>
          </w:p>
        </w:tc>
        <w:tc>
          <w:tcPr>
            <w:tcW w:w="165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center"/>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实施评估</w:t>
            </w:r>
          </w:p>
        </w:tc>
        <w:tc>
          <w:tcPr>
            <w:tcW w:w="6102"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对外照射急性放射病、外照射慢性放射病、放射性白内障、皮肤损伤和肿瘤等5种常见职业病的诊断标准进行实施评估。</w:t>
            </w:r>
          </w:p>
        </w:tc>
        <w:tc>
          <w:tcPr>
            <w:tcW w:w="141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00" w:lineRule="atLeast"/>
              <w:ind w:left="0" w:right="0"/>
              <w:jc w:val="left"/>
              <w:rPr>
                <w:rFonts w:hint="default" w:ascii="微软雅黑" w:hAnsi="微软雅黑" w:eastAsia="微软雅黑" w:cs="微软雅黑"/>
                <w:color w:val="484848"/>
                <w:u w:val="none"/>
              </w:rPr>
            </w:pPr>
            <w:r>
              <w:rPr>
                <w:rFonts w:hint="default" w:ascii="仿宋" w:hAnsi="仿宋" w:eastAsia="仿宋" w:cs="仿宋"/>
                <w:b w:val="0"/>
                <w:i w:val="0"/>
                <w:caps w:val="0"/>
                <w:color w:val="484848"/>
                <w:spacing w:val="0"/>
                <w:kern w:val="0"/>
                <w:sz w:val="24"/>
                <w:szCs w:val="24"/>
                <w:u w:val="none"/>
                <w:bdr w:val="none" w:color="auto" w:sz="0" w:space="0"/>
                <w:lang w:val="en-US" w:eastAsia="zh-CN" w:bidi="ar"/>
              </w:rPr>
              <w:t>1年</w:t>
            </w:r>
          </w:p>
        </w:tc>
      </w:tr>
    </w:tbl>
    <w:p>
      <w:pPr>
        <w:keepNext w:val="0"/>
        <w:keepLines w:val="0"/>
        <w:widowControl/>
        <w:suppressLineNumbers w:val="0"/>
        <w:jc w:val="left"/>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
    <w:altName w:val="汉仪仿宋KW"/>
    <w:panose1 w:val="00000000000000000000"/>
    <w:charset w:val="00"/>
    <w:family w:val="auto"/>
    <w:pitch w:val="default"/>
    <w:sig w:usb0="00000000" w:usb1="00000000" w:usb2="00000000" w:usb3="00000000" w:csb0="00000000" w:csb1="00000000"/>
  </w:font>
  <w:font w:name="汉仪仿宋KW">
    <w:panose1 w:val="00020600040101010101"/>
    <w:charset w:val="86"/>
    <w:family w:val="auto"/>
    <w:pitch w:val="default"/>
    <w:sig w:usb0="A00002BF" w:usb1="18EF7CFA" w:usb2="00000016" w:usb3="00000000" w:csb0="00040000" w:csb1="00000000"/>
  </w:font>
  <w:font w:name="微软雅黑">
    <w:altName w:val="汉仪旗黑KW"/>
    <w:panose1 w:val="00000000000000000000"/>
    <w:charset w:val="00"/>
    <w:family w:val="auto"/>
    <w:pitch w:val="default"/>
    <w:sig w:usb0="00000000" w:usb1="00000000" w:usb2="00000000" w:usb3="00000000" w:csb0="00000000" w:csb1="00000000"/>
  </w:font>
  <w:font w:name="汉仪旗黑KW">
    <w:panose1 w:val="00020600040101010101"/>
    <w:charset w:val="86"/>
    <w:family w:val="auto"/>
    <w:pitch w:val="default"/>
    <w:sig w:usb0="A00002BF" w:usb1="3ACF7CFA" w:usb2="00000016" w:usb3="00000000" w:csb0="0004009F" w:csb1="DFD70000"/>
  </w:font>
  <w:font w:name="黑体">
    <w:altName w:val="汉仪中黑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C9E6B"/>
    <w:rsid w:val="FFFC9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Office_1.9.1.2994_F1E327BC-269C-435d-A152-05C5408002CA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2020-06-02T17:01:00Z</dcterms:created>
  <dc:creator>angela</dc:creator>
  <cp:lastModifiedBy>angela</cp:lastModifiedBy>
  <dcterms:modified xsi:type="dcterms:W3CDTF">2020-06-02T17:01:32Z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2052-1.9.1.2994</vt:lpwstr>
  </property>
</Properties>
</file>