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numPr>
          <w:ilvl w:val="0"/>
          <w:numId w:val="0"/>
        </w:numPr>
        <w:rPr>
          <w:rFonts w:ascii="Arial" w:hAnsi="Arial" w:cs="Arial"/>
        </w:rPr>
      </w:pPr>
      <w:r>
        <w:pict>
          <v:shape id="文本框 10" o:spid="_x0000_s1026" o:spt="202" type="#_x0000_t202" style="position:absolute;left:0pt;margin-left:-18pt;margin-top:54.6pt;height:30.8pt;width:468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6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安徽省地方标准</w:t>
                  </w:r>
                </w:p>
              </w:txbxContent>
            </v:textbox>
            <w10:anchorlock/>
          </v:shape>
        </w:pict>
      </w:r>
      <w:r>
        <w:pict>
          <v:shape id="文本框 9" o:spid="_x0000_s1027" o:spt="202" type="#_x0000_t202" style="position:absolute;left:0pt;margin-left:169.25pt;margin-top:-18.2pt;height:56.7pt;width:250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6"/>
                  </w:pPr>
                  <w:r>
                    <w:t>DB34</w:t>
                  </w:r>
                </w:p>
              </w:txbxContent>
            </v:textbox>
            <w10:anchorlock/>
          </v:shape>
        </w:pict>
      </w:r>
      <w:r>
        <w:pict>
          <v:shape id="文本框 8" o:spid="_x0000_s1028" o:spt="202" type="#_x0000_t202" style="position:absolute;left:0pt;margin-left:-9pt;margin-top:0pt;height:34.45pt;width:200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7"/>
                  </w:pPr>
                  <w:r>
                    <w:t>ICS 11.120.01</w:t>
                  </w:r>
                </w:p>
                <w:p>
                  <w:pPr>
                    <w:pStyle w:val="27"/>
                  </w:pPr>
                  <w:r>
                    <w:t>C 25</w:t>
                  </w:r>
                </w:p>
                <w:p>
                  <w:pPr>
                    <w:pStyle w:val="27"/>
                  </w:pPr>
                </w:p>
              </w:txbxContent>
            </v:textbox>
            <w10:anchorlock/>
          </v:shape>
        </w:pict>
      </w:r>
      <w:r>
        <w:pict>
          <v:shape id="文本框 7" o:spid="_x0000_s1029" o:spt="202" type="#_x0000_t202" style="position:absolute;left:0pt;margin-left:288pt;margin-top:83.7pt;height:67.75pt;width:162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0"/>
                  </w:pPr>
                  <w:r>
                    <w:t>DB34/T  ××××—××××</w:t>
                  </w:r>
                </w:p>
              </w:txbxContent>
            </v:textbox>
            <w10:anchorlock/>
          </v:shape>
        </w:pict>
      </w:r>
    </w:p>
    <w:p>
      <w:pPr>
        <w:pStyle w:val="38"/>
        <w:rPr>
          <w:rFonts w:ascii="Arial" w:hAnsi="Arial" w:cs="Arial"/>
        </w:rPr>
      </w:pPr>
      <w:r>
        <w:pict>
          <v:line id="直接连接符 5" o:spid="_x0000_s1030" o:spt="20" style="position:absolute;left:0pt;margin-left:-27pt;margin-top:41.4pt;height:0pt;width:482pt;z-index:1024;mso-width-relative:page;mso-height-relative:page;" stroked="t" coordsize="21600,21600">
            <v:path arrowok="t"/>
            <v:fill focussize="0,0"/>
            <v:stroke weight="1pt" color="#800008"/>
            <v:imagedata o:title=""/>
            <o:lock v:ext="edit"/>
            <w10:anchorlock/>
          </v:line>
        </w:pict>
      </w:r>
      <w:r>
        <w:pict>
          <v:shape id="_x0000_s1031" o:spid="_x0000_s1031" o:spt="202" type="#_x0000_t202" style="position:absolute;left:0pt;margin-left:-24.8pt;margin-top:259.6pt;height:341pt;width:444.05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1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智慧药房验收规范</w:t>
                  </w:r>
                </w:p>
                <w:p>
                  <w:pPr>
                    <w:pStyle w:val="29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hint="eastAsia" w:ascii="Arial" w:hAnsi="Arial" w:cs="宋体"/>
                      <w:color w:val="000000"/>
                    </w:rPr>
                    <w:t>（</w:t>
                  </w:r>
                  <w:r>
                    <w:rPr>
                      <w:rFonts w:ascii="Arial" w:hAnsi="Arial" w:cs="宋体"/>
                      <w:color w:val="000000"/>
                    </w:rPr>
                    <w:t xml:space="preserve">Acceptance specification </w:t>
                  </w:r>
                  <w:r>
                    <w:rPr>
                      <w:rFonts w:hint="eastAsia" w:ascii="Arial" w:hAnsi="Arial" w:cs="宋体"/>
                      <w:color w:val="000000"/>
                    </w:rPr>
                    <w:t>of</w:t>
                  </w:r>
                  <w:r>
                    <w:rPr>
                      <w:rFonts w:ascii="Arial" w:hAnsi="Arial" w:cs="宋体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intelligent pharmacy</w:t>
                  </w:r>
                  <w:r>
                    <w:rPr>
                      <w:rFonts w:hint="eastAsia" w:ascii="Arial" w:hAnsi="Arial" w:cs="宋体"/>
                      <w:color w:val="000000"/>
                    </w:rPr>
                    <w:t>）</w:t>
                  </w:r>
                </w:p>
                <w:p>
                  <w:pPr>
                    <w:pStyle w:val="34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（草案）</w:t>
                  </w:r>
                </w:p>
                <w:p>
                  <w:pPr>
                    <w:pStyle w:val="32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>
      <w:pPr>
        <w:pStyle w:val="38"/>
        <w:rPr>
          <w:rFonts w:ascii="Arial" w:hAnsi="Arial" w:cs="Arial"/>
        </w:rPr>
      </w:pPr>
    </w:p>
    <w:p>
      <w:pPr>
        <w:pStyle w:val="38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pict>
          <v:shape id="文本框 4" o:spid="_x0000_s1032" o:spt="202" type="#_x0000_t202" style="position:absolute;left:0pt;margin-left:260.25pt;margin-top:624pt;height:24.6pt;width:159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8"/>
                    <w:numPr>
                      <w:ilvl w:val="0"/>
                      <w:numId w:val="0"/>
                    </w:numPr>
                  </w:pPr>
                  <w:r>
                    <w:rPr>
                      <w:rFonts w:hint="eastAsia" w:cs="黑体"/>
                    </w:rPr>
                    <w:t>××××</w:t>
                  </w:r>
                  <w:r>
                    <w:t>-</w:t>
                  </w:r>
                  <w:r>
                    <w:rPr>
                      <w:rFonts w:hint="eastAsia" w:cs="黑体"/>
                    </w:rPr>
                    <w:t>××</w:t>
                  </w:r>
                  <w:r>
                    <w:t>-</w:t>
                  </w:r>
                  <w:r>
                    <w:rPr>
                      <w:rFonts w:hint="eastAsia" w:cs="黑体"/>
                    </w:rPr>
                    <w:t>××实施</w:t>
                  </w:r>
                </w:p>
              </w:txbxContent>
            </v:textbox>
            <w10:anchorlock/>
          </v:shape>
        </w:pic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pict>
          <v:shape id="文本框 3" o:spid="_x0000_s1033" o:spt="202" type="#_x0000_t202" style="position:absolute;left:0pt;margin-left:-18pt;margin-top:624pt;height:32.4pt;width:159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5"/>
                  </w:pPr>
                  <w:r>
                    <w:rPr>
                      <w:rFonts w:hint="eastAsia" w:cs="黑体"/>
                    </w:rPr>
                    <w:t>××××</w:t>
                  </w:r>
                  <w:r>
                    <w:t>-</w:t>
                  </w:r>
                  <w:r>
                    <w:rPr>
                      <w:rFonts w:hint="eastAsia" w:cs="黑体"/>
                    </w:rPr>
                    <w:t>××</w:t>
                  </w:r>
                  <w:r>
                    <w:t>-</w:t>
                  </w:r>
                  <w:r>
                    <w:rPr>
                      <w:rFonts w:hint="eastAsia" w:cs="黑体"/>
                    </w:rPr>
                    <w:t>××发布</w:t>
                  </w:r>
                </w:p>
              </w:txbxContent>
            </v:textbox>
            <w10:anchorlock/>
          </v:shape>
        </w:pic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pict>
          <v:line id="直接连接符 2" o:spid="_x0000_s1034" o:spt="20" style="position:absolute;left:0pt;margin-left:-36pt;margin-top:54.6pt;height:0pt;width:482pt;z-index:1024;mso-width-relative:page;mso-height-relative:page;" stroked="t" coordsize="21600,21600">
            <v:path arrowok="t"/>
            <v:fill focussize="0,0"/>
            <v:stroke weight="1pt" color="#800008"/>
            <v:imagedata o:title=""/>
            <o:lock v:ext="edit"/>
            <w10:anchorlock/>
          </v:line>
        </w:pict>
      </w:r>
      <w:r>
        <w:pict>
          <v:shape id="文本框 1" o:spid="_x0000_s1035" o:spt="202" type="#_x0000_t202" style="position:absolute;left:0pt;margin-left:-18pt;margin-top:694.2pt;height:24.95pt;width:448.75pt;mso-position-horizontal-relative:margin;mso-position-vertical-relative:margin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7"/>
                    <w:rPr>
                      <w:rStyle w:val="25"/>
                      <w:rFonts w:cs="Times New Roman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安徽省市场监督管理局</w:t>
                  </w:r>
                  <w:r>
                    <w:rPr>
                      <w:rStyle w:val="25"/>
                      <w:rFonts w:hint="eastAsia"/>
                      <w:sz w:val="24"/>
                      <w:szCs w:val="24"/>
                    </w:rPr>
                    <w:t>发布</w:t>
                  </w:r>
                </w:p>
                <w:p>
                  <w:pPr>
                    <w:pStyle w:val="37"/>
                    <w:rPr>
                      <w:rStyle w:val="25"/>
                      <w:rFonts w:cs="Times New Roman"/>
                    </w:rPr>
                  </w:pPr>
                </w:p>
                <w:p>
                  <w:pPr>
                    <w:pStyle w:val="37"/>
                    <w:rPr>
                      <w:rStyle w:val="25"/>
                      <w:rFonts w:cs="Times New Roman"/>
                    </w:rPr>
                  </w:pPr>
                </w:p>
                <w:p>
                  <w:pPr>
                    <w:pStyle w:val="37"/>
                    <w:rPr>
                      <w:rStyle w:val="25"/>
                      <w:rFonts w:cs="Times New Roman"/>
                    </w:rPr>
                  </w:pPr>
                </w:p>
                <w:p>
                  <w:pPr>
                    <w:pStyle w:val="37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>
      <w:pPr>
        <w:pStyle w:val="38"/>
        <w:rPr>
          <w:rFonts w:ascii="Arial" w:hAnsi="Arial" w:cs="Arial"/>
        </w:rPr>
      </w:pPr>
    </w:p>
    <w:p>
      <w:pPr>
        <w:pStyle w:val="38"/>
        <w:rPr>
          <w:rFonts w:ascii="Arial" w:hAnsi="Arial" w:cs="Arial"/>
        </w:rPr>
      </w:pPr>
      <w:r>
        <w:rPr>
          <w:rFonts w:hint="eastAsia" w:ascii="Arial" w:hAnsi="Arial"/>
        </w:rPr>
        <w:t>前言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hint="eastAsia" w:ascii="Arial" w:hAnsi="Arial"/>
        </w:rPr>
        <w:t>本标准按照</w:t>
      </w:r>
      <w:r>
        <w:rPr>
          <w:rFonts w:ascii="Arial" w:hAnsi="Arial" w:cs="Arial"/>
        </w:rPr>
        <w:t>GB/T 1.1—2009</w:t>
      </w:r>
      <w:r>
        <w:rPr>
          <w:rFonts w:hint="eastAsia" w:ascii="Arial" w:hAnsi="Arial"/>
        </w:rPr>
        <w:t>给出的规则起草。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hint="eastAsia" w:ascii="Arial" w:hAnsi="Arial"/>
        </w:rPr>
        <w:t>本标准由安徽省卫生健康委员会提出并归口。</w:t>
      </w:r>
    </w:p>
    <w:p>
      <w:pPr>
        <w:widowControl/>
        <w:ind w:firstLine="422" w:firstLineChars="200"/>
        <w:rPr>
          <w:rFonts w:hint="eastAsia" w:ascii="Arial" w:hAnsi="Arial" w:cs="宋体"/>
        </w:rPr>
      </w:pPr>
      <w:r>
        <w:rPr>
          <w:rFonts w:hint="eastAsia" w:ascii="Arial" w:hAnsi="Arial" w:cs="宋体"/>
          <w:b/>
          <w:bCs/>
        </w:rPr>
        <w:t>本标准起草单位：</w:t>
      </w:r>
      <w:r>
        <w:rPr>
          <w:rFonts w:hint="eastAsia"/>
        </w:rPr>
        <w:t>中国科学技术大学附属第一医院（安徽省立医院﹚、中国科学技术大学附属第一医院（安徽省立医院）南区、中国科学技术大学附属第一医院（安徽省立医院）西区（安徽省肿瘤医院）、中国科学技术大学附属第一医院（安徽省立医院）感染病院、苏州艾隆科技股份有限公司、南京医药股份有限公司、安徽天星医药集团有限公司、安徽医科大学第一附属医院、安徽医科大学第一附属医院高新分院、安徽医科大学第二附属医院、安徽医科大学第三附属医院（合肥市第一人民医院）、安徽医科大学第四附属医院、安徽医科大学附属巢湖医院、安徽医科大学附属阜阳医院、安徽中医药大学第一附属医院、安徽中医药大学第二附属医院、安徽中医药大学第三附属医院（安徽省中西医结合医院）、皖南医学院附属弋矶山医院、皖南医学院第二附属医院、蚌埠医学院第一附属医院、蚌埠医学院第二附属医院、安徽省第二人民医院、安徽省儿童医院、安徽省胸科医院、合肥市第二人民医院、安庆市立医院、亳州市人民医院、池州市人民医院、滁州市第一人民医院、阜阳市人民医院、淮北市人民医院、淮南市第一人民医院、黄山市人民医院、六安市人民医院、马鞍山市人民医院、马鞍山市中心医院、太和县人民医院、铜陵市人民医院、宿州市立医院、宣城市人民医院。（排名不分先后）</w:t>
      </w:r>
    </w:p>
    <w:p>
      <w:pPr>
        <w:widowControl/>
        <w:ind w:firstLine="420" w:firstLineChars="200"/>
        <w:rPr>
          <w:rFonts w:ascii="Arial" w:hAnsi="Arial" w:cs="Arial"/>
        </w:rPr>
      </w:pPr>
      <w:bookmarkStart w:id="4" w:name="_GoBack"/>
      <w:bookmarkEnd w:id="4"/>
      <w:r>
        <w:rPr>
          <w:rFonts w:hint="eastAsia" w:ascii="Arial" w:hAnsi="Arial" w:cs="宋体"/>
        </w:rPr>
        <w:t>本标准起草人：</w:t>
      </w:r>
      <w:r>
        <w:rPr>
          <w:rFonts w:ascii="Arial" w:hAnsi="Arial" w:cs="Arial"/>
        </w:rPr>
        <w:t>XXX</w:t>
      </w:r>
      <w:r>
        <w:rPr>
          <w:rFonts w:hint="eastAsia" w:ascii="Arial" w:hAnsi="Arial" w:cs="宋体"/>
        </w:rPr>
        <w:t>、</w:t>
      </w:r>
      <w:r>
        <w:rPr>
          <w:rFonts w:ascii="Arial" w:hAnsi="Arial" w:cs="Arial"/>
        </w:rPr>
        <w:t>XXX</w:t>
      </w:r>
      <w:r>
        <w:rPr>
          <w:rFonts w:hint="eastAsia" w:ascii="Arial" w:hAnsi="Arial" w:cs="宋体"/>
        </w:rPr>
        <w:t>、</w:t>
      </w:r>
      <w:r>
        <w:rPr>
          <w:rFonts w:ascii="Arial" w:hAnsi="Arial" w:cs="Arial"/>
        </w:rPr>
        <w:t>XXX</w:t>
      </w:r>
      <w:r>
        <w:rPr>
          <w:rFonts w:hint="eastAsia" w:ascii="Arial" w:hAnsi="Arial" w:cs="宋体"/>
        </w:rPr>
        <w:t>、</w:t>
      </w:r>
      <w:r>
        <w:rPr>
          <w:rFonts w:ascii="Arial" w:hAnsi="Arial" w:cs="Arial"/>
        </w:rPr>
        <w:t>XXX</w:t>
      </w:r>
      <w:r>
        <w:rPr>
          <w:rFonts w:hint="eastAsia" w:ascii="Arial" w:hAnsi="Arial" w:cs="宋体"/>
        </w:rPr>
        <w:t>、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42"/>
        <w:keepNext w:val="0"/>
        <w:pageBreakBefore w:val="0"/>
        <w:rPr>
          <w:rFonts w:ascii="Arial" w:hAnsi="Arial" w:cs="Arial"/>
        </w:rPr>
      </w:pPr>
      <w:r>
        <w:rPr>
          <w:rFonts w:hint="eastAsia" w:ascii="Arial" w:hAnsi="Arial"/>
        </w:rPr>
        <w:t>智慧药房验收规范</w:t>
      </w:r>
    </w:p>
    <w:p>
      <w:pPr>
        <w:pStyle w:val="41"/>
        <w:numPr>
          <w:ilvl w:val="0"/>
          <w:numId w:val="2"/>
        </w:numPr>
        <w:spacing w:before="156" w:after="156"/>
        <w:rPr>
          <w:rFonts w:ascii="Arial" w:hAnsi="Arial" w:eastAsia="宋体" w:cs="Times New Roman"/>
        </w:rPr>
      </w:pPr>
      <w:bookmarkStart w:id="0" w:name="_Toc246846154"/>
      <w:r>
        <w:rPr>
          <w:rFonts w:hint="eastAsia" w:ascii="Arial" w:hAnsi="Arial" w:eastAsia="宋体" w:cs="宋体"/>
        </w:rPr>
        <w:t>范围</w:t>
      </w:r>
      <w:bookmarkEnd w:id="0"/>
    </w:p>
    <w:p>
      <w:pPr>
        <w:pStyle w:val="24"/>
        <w:ind w:firstLine="420"/>
        <w:rPr>
          <w:rFonts w:ascii="Arial" w:hAnsi="Arial" w:cs="Arial"/>
        </w:rPr>
      </w:pPr>
      <w:r>
        <w:rPr>
          <w:rFonts w:hint="eastAsia" w:ascii="Arial" w:hAnsi="Arial"/>
        </w:rPr>
        <w:t>本标准规定了智慧药房验收的术语与定义、基本要求、验收内容与方法、验收结论。</w:t>
      </w:r>
    </w:p>
    <w:p>
      <w:pPr>
        <w:pStyle w:val="24"/>
        <w:ind w:firstLine="407" w:firstLineChars="194"/>
        <w:rPr>
          <w:rFonts w:ascii="Arial" w:hAnsi="Arial" w:cs="Arial"/>
          <w:color w:val="92D050"/>
        </w:rPr>
      </w:pPr>
      <w:r>
        <w:rPr>
          <w:rFonts w:hint="eastAsia" w:ascii="Arial" w:hAnsi="Arial"/>
        </w:rPr>
        <w:t>本标准适用于各级医疗机构智慧药房（不含中药房）的验收。</w:t>
      </w:r>
    </w:p>
    <w:p>
      <w:pPr>
        <w:pStyle w:val="41"/>
        <w:numPr>
          <w:ilvl w:val="0"/>
          <w:numId w:val="2"/>
        </w:numPr>
        <w:spacing w:before="156" w:after="156"/>
        <w:rPr>
          <w:rFonts w:ascii="Arial" w:hAnsi="Arial" w:eastAsia="宋体" w:cs="Times New Roman"/>
        </w:rPr>
      </w:pPr>
      <w:bookmarkStart w:id="1" w:name="_Toc246846155"/>
      <w:r>
        <w:rPr>
          <w:rFonts w:hint="eastAsia" w:ascii="Arial" w:hAnsi="Arial" w:eastAsia="宋体" w:cs="宋体"/>
        </w:rPr>
        <w:t>规范性引用文件</w:t>
      </w:r>
      <w:bookmarkEnd w:id="1"/>
    </w:p>
    <w:p>
      <w:pPr>
        <w:pStyle w:val="24"/>
        <w:ind w:firstLine="420"/>
        <w:rPr>
          <w:rFonts w:ascii="Arial" w:hAnsi="Arial" w:cs="Arial"/>
        </w:rPr>
      </w:pPr>
      <w:r>
        <w:rPr>
          <w:rFonts w:hint="eastAsia" w:ascii="Arial" w:hAnsi="Arial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ascii="Arial" w:hAnsi="Arial" w:cs="Arial"/>
        </w:rPr>
        <w:t>GB 2887</w:t>
      </w:r>
      <w:r>
        <w:rPr>
          <w:rFonts w:hint="eastAsia" w:ascii="Arial" w:hAnsi="Arial"/>
        </w:rPr>
        <w:t>计算机场地技术条件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ascii="Arial" w:hAnsi="Arial" w:cs="Arial"/>
        </w:rPr>
        <w:t>GB 9361</w:t>
      </w:r>
      <w:r>
        <w:rPr>
          <w:rFonts w:hint="eastAsia" w:ascii="Arial" w:hAnsi="Arial"/>
        </w:rPr>
        <w:t>计算机场地安全要求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ascii="Arial" w:hAnsi="Arial" w:cs="Arial"/>
          <w:color w:val="191919"/>
          <w:shd w:val="clear" w:color="auto" w:fill="FFFFFF"/>
        </w:rPr>
        <w:t xml:space="preserve">GB/T 22239-2019 </w:t>
      </w:r>
      <w:r>
        <w:rPr>
          <w:rFonts w:hint="eastAsia" w:ascii="Arial" w:hAnsi="Arial"/>
        </w:rPr>
        <w:t>信息安全技术网络安全等级保护基本要求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GB/T 31458-2015 </w:t>
      </w:r>
      <w:r>
        <w:rPr>
          <w:rFonts w:hint="eastAsia" w:ascii="Arial" w:hAnsi="Arial"/>
        </w:rPr>
        <w:t>医院安全技术防范系统要求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GB 50314-2015 </w:t>
      </w:r>
      <w:r>
        <w:rPr>
          <w:rFonts w:hint="eastAsia" w:ascii="Arial" w:hAnsi="Arial"/>
        </w:rPr>
        <w:t>智能建筑设计标准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GB 50348-2018 </w:t>
      </w:r>
      <w:r>
        <w:rPr>
          <w:rFonts w:hint="eastAsia" w:ascii="Arial" w:hAnsi="Arial"/>
        </w:rPr>
        <w:t>安全防范工程技术标准</w:t>
      </w:r>
    </w:p>
    <w:p>
      <w:pPr>
        <w:pStyle w:val="41"/>
        <w:numPr>
          <w:ilvl w:val="0"/>
          <w:numId w:val="3"/>
        </w:numPr>
        <w:spacing w:before="156" w:after="156"/>
        <w:rPr>
          <w:rFonts w:ascii="Arial" w:hAnsi="Arial" w:eastAsia="宋体" w:cs="Times New Roman"/>
        </w:rPr>
      </w:pPr>
      <w:bookmarkStart w:id="2" w:name="_Toc246846156"/>
      <w:r>
        <w:rPr>
          <w:rFonts w:hint="eastAsia"/>
        </w:rPr>
        <w:t>术语和定义</w:t>
      </w:r>
      <w:bookmarkEnd w:id="2"/>
    </w:p>
    <w:p>
      <w:pPr>
        <w:pStyle w:val="24"/>
        <w:ind w:firstLine="420"/>
        <w:rPr>
          <w:rFonts w:hAnsi="宋体" w:cs="Times New Roman"/>
          <w:kern w:val="0"/>
        </w:rPr>
      </w:pPr>
      <w:r>
        <w:rPr>
          <w:rFonts w:hint="eastAsia" w:hAnsi="宋体"/>
          <w:kern w:val="0"/>
        </w:rPr>
        <w:t>下列术语和定义适用于本文件。</w:t>
      </w:r>
    </w:p>
    <w:p>
      <w:pPr>
        <w:pStyle w:val="24"/>
        <w:ind w:firstLine="0" w:firstLineChars="0"/>
        <w:rPr>
          <w:rFonts w:ascii="黑体" w:hAnsi="黑体" w:eastAsia="黑体" w:cs="Times New Roman"/>
        </w:rPr>
      </w:pPr>
      <w:r>
        <w:rPr>
          <w:rFonts w:ascii="黑体" w:hAnsi="黑体" w:eastAsia="黑体" w:cs="黑体"/>
        </w:rPr>
        <w:t>3.1</w:t>
      </w:r>
    </w:p>
    <w:p>
      <w:pPr>
        <w:pStyle w:val="43"/>
        <w:numPr>
          <w:ilvl w:val="0"/>
          <w:numId w:val="0"/>
        </w:numPr>
        <w:ind w:firstLine="420" w:firstLineChars="200"/>
        <w:rPr>
          <w:rFonts w:ascii="Arial" w:hAnsi="Arial" w:eastAsia="宋体"/>
        </w:rPr>
      </w:pPr>
      <w:r>
        <w:rPr>
          <w:rFonts w:hint="eastAsia" w:ascii="Arial" w:hAnsi="Arial" w:eastAsia="宋体" w:cs="宋体"/>
        </w:rPr>
        <w:t>智慧药房</w:t>
      </w:r>
      <w:r>
        <w:rPr>
          <w:rFonts w:ascii="Arial" w:hAnsi="Arial" w:eastAsia="宋体" w:cs="Arial"/>
        </w:rPr>
        <w:t>intelligent pharmacy</w:t>
      </w:r>
    </w:p>
    <w:p>
      <w:pPr>
        <w:pStyle w:val="24"/>
        <w:ind w:firstLine="420"/>
        <w:rPr>
          <w:rFonts w:ascii="Arial" w:hAnsi="Arial" w:cs="Arial"/>
          <w:color w:val="92D050"/>
        </w:rPr>
      </w:pPr>
      <w:r>
        <w:rPr>
          <w:rFonts w:hint="eastAsia" w:ascii="Arial" w:hAnsi="Arial"/>
        </w:rPr>
        <w:t>应用大数据、云计算、物联网等信息技术</w:t>
      </w:r>
      <w:r>
        <w:rPr>
          <w:rFonts w:ascii="Arial" w:hAnsi="Arial" w:cs="Arial"/>
        </w:rPr>
        <w:t xml:space="preserve">, </w:t>
      </w:r>
      <w:r>
        <w:rPr>
          <w:rFonts w:hint="eastAsia" w:ascii="Arial" w:hAnsi="Arial"/>
        </w:rPr>
        <w:t>利用各类数据资源辅助科学决策</w:t>
      </w:r>
      <w:r>
        <w:rPr>
          <w:rFonts w:ascii="Arial" w:hAnsi="Arial" w:cs="Arial"/>
        </w:rPr>
        <w:t>,</w:t>
      </w:r>
      <w:r>
        <w:rPr>
          <w:rFonts w:hint="eastAsia" w:ascii="Arial" w:hAnsi="Arial"/>
        </w:rPr>
        <w:t>结合智能控制系统，对药品的请领、储存、调配、核对、发放、使用等流程进行可追溯和精细化管理，为患者提供处方审核、药品调剂、药物重整、用药交待、用药提醒、用药随访等药学服务</w:t>
      </w:r>
      <w:r>
        <w:rPr>
          <w:rFonts w:ascii="Arial" w:hAnsi="Arial" w:cs="Arial"/>
        </w:rPr>
        <w:t>,</w:t>
      </w:r>
      <w:r>
        <w:rPr>
          <w:rFonts w:hint="eastAsia" w:ascii="Arial" w:hAnsi="Arial"/>
        </w:rPr>
        <w:t>实现工作任务、场所环境等智能化管理的药房。</w:t>
      </w:r>
    </w:p>
    <w:p>
      <w:pPr>
        <w:pStyle w:val="24"/>
        <w:ind w:firstLine="0" w:firstLineChars="0"/>
        <w:rPr>
          <w:rFonts w:ascii="黑体" w:hAnsi="黑体" w:eastAsia="黑体" w:cs="Times New Roman"/>
        </w:rPr>
      </w:pPr>
      <w:r>
        <w:rPr>
          <w:rFonts w:ascii="黑体" w:hAnsi="黑体" w:eastAsia="黑体" w:cs="黑体"/>
        </w:rPr>
        <w:t>3.2</w:t>
      </w:r>
    </w:p>
    <w:p>
      <w:pPr>
        <w:pStyle w:val="24"/>
        <w:ind w:firstLine="420"/>
        <w:rPr>
          <w:rFonts w:ascii="Arial" w:hAnsi="Arial" w:cs="Arial"/>
        </w:rPr>
      </w:pPr>
      <w:r>
        <w:rPr>
          <w:rFonts w:hint="eastAsia" w:ascii="Arial" w:hAnsi="Arial"/>
        </w:rPr>
        <w:t>医院信息系统（</w:t>
      </w:r>
      <w:r>
        <w:rPr>
          <w:rFonts w:ascii="Arial" w:hAnsi="Arial" w:cs="Arial"/>
        </w:rPr>
        <w:t>hospital information system,HIS</w:t>
      </w:r>
      <w:r>
        <w:rPr>
          <w:rFonts w:hint="eastAsia" w:ascii="Arial" w:hAnsi="Arial"/>
        </w:rPr>
        <w:t>）</w:t>
      </w:r>
    </w:p>
    <w:p>
      <w:pPr>
        <w:pStyle w:val="2"/>
        <w:shd w:val="clear" w:color="auto" w:fill="FFFFFF"/>
        <w:spacing w:before="0" w:beforeAutospacing="0" w:after="0" w:afterAutospacing="0"/>
        <w:ind w:firstLine="420" w:firstLineChars="200"/>
        <w:rPr>
          <w:rFonts w:ascii="Arial" w:hAnsi="Arial" w:cs="Arial"/>
          <w:b w:val="0"/>
          <w:bCs w:val="0"/>
          <w:kern w:val="2"/>
          <w:sz w:val="21"/>
          <w:szCs w:val="21"/>
        </w:rPr>
      </w:pPr>
      <w:r>
        <w:rPr>
          <w:rFonts w:hint="eastAsia" w:ascii="Arial" w:hAnsi="Arial"/>
          <w:b w:val="0"/>
          <w:bCs w:val="0"/>
          <w:kern w:val="2"/>
          <w:sz w:val="21"/>
          <w:szCs w:val="21"/>
        </w:rPr>
        <w:t>利用计算机软硬件技术、网络通讯技术、人工智能等现代化手段，对医院及其所属各部门的人流、物流、财流进行综合管理，对在医疗活动各阶段中产生的数据进行采集、存贮、处理、提取、传输、汇总分析、加工生成各种信息，从而为医院的整体运行提供全面的、自动化的管理及各种服务的信息系统。</w:t>
      </w:r>
    </w:p>
    <w:p>
      <w:pPr>
        <w:pStyle w:val="41"/>
        <w:numPr>
          <w:ilvl w:val="0"/>
          <w:numId w:val="3"/>
        </w:numPr>
        <w:spacing w:before="156" w:after="156" w:line="40" w:lineRule="atLeast"/>
        <w:jc w:val="left"/>
        <w:rPr>
          <w:rFonts w:ascii="Arial" w:hAnsi="Arial" w:eastAsia="宋体" w:cs="Times New Roman"/>
          <w:b/>
          <w:bCs/>
        </w:rPr>
      </w:pPr>
      <w:r>
        <w:rPr>
          <w:rFonts w:hint="eastAsia" w:ascii="Arial" w:hAnsi="Arial" w:eastAsia="宋体" w:cs="宋体"/>
          <w:b/>
          <w:bCs/>
        </w:rPr>
        <w:t>基本要求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4.1  </w:t>
      </w:r>
      <w:r>
        <w:rPr>
          <w:rFonts w:hint="eastAsia"/>
        </w:rPr>
        <w:t>验收组</w:t>
      </w:r>
    </w:p>
    <w:p>
      <w:pPr>
        <w:pStyle w:val="24"/>
        <w:ind w:firstLine="0" w:firstLineChars="0"/>
        <w:rPr>
          <w:rFonts w:cs="Times New Roman"/>
        </w:rPr>
      </w:pPr>
      <w:r>
        <w:t xml:space="preserve">4.1.1  </w:t>
      </w:r>
      <w:r>
        <w:rPr>
          <w:rFonts w:hint="eastAsia"/>
        </w:rPr>
        <w:t>智慧药房验收时，应组成验收组，验收组应由技术专家、管理人员和医护代表组成，并由验收组推荐验收组长。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4.1.2  </w:t>
      </w:r>
      <w:r>
        <w:rPr>
          <w:rFonts w:hint="eastAsia"/>
        </w:rPr>
        <w:t>验收组中信息化、智能化类技术专家不应低于验收组总人数的</w:t>
      </w:r>
      <w:r>
        <w:t>50%</w:t>
      </w:r>
      <w:r>
        <w:rPr>
          <w:rFonts w:hint="eastAsia"/>
        </w:rPr>
        <w:t>，不利于验收公正性的人员不得参加验收组。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4.1.3  </w:t>
      </w:r>
      <w:r>
        <w:rPr>
          <w:rFonts w:hint="eastAsia"/>
        </w:rPr>
        <w:t>验收组可根据实际情况下设建设验收组、成效验收组和资料验收组。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4.2  </w:t>
      </w:r>
      <w:r>
        <w:rPr>
          <w:rFonts w:hint="eastAsia"/>
        </w:rPr>
        <w:t>验收程序</w:t>
      </w:r>
    </w:p>
    <w:p>
      <w:pPr>
        <w:pStyle w:val="24"/>
        <w:ind w:firstLine="0" w:firstLineChars="0"/>
        <w:rPr>
          <w:rFonts w:cs="Times New Roman"/>
        </w:rPr>
      </w:pPr>
      <w:r>
        <w:t xml:space="preserve">4.2.1  </w:t>
      </w:r>
      <w:r>
        <w:rPr>
          <w:rFonts w:hint="eastAsia"/>
        </w:rPr>
        <w:t>验收过程应由验收组长主持。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4.2.2  </w:t>
      </w:r>
      <w:r>
        <w:rPr>
          <w:rFonts w:hint="eastAsia"/>
        </w:rPr>
        <w:t>验收程序包括但不限于：</w:t>
      </w:r>
    </w:p>
    <w:p>
      <w:pPr>
        <w:pStyle w:val="24"/>
        <w:ind w:firstLine="0" w:firstLineChars="0"/>
        <w:rPr>
          <w:rFonts w:cs="Times New Roman"/>
        </w:rPr>
      </w:pPr>
      <w:r>
        <w:t>a</w:t>
      </w:r>
      <w:r>
        <w:rPr>
          <w:rFonts w:hint="eastAsia"/>
        </w:rPr>
        <w:t>）建设单位汇报智慧药房建设情况；</w:t>
      </w:r>
    </w:p>
    <w:p>
      <w:pPr>
        <w:pStyle w:val="24"/>
        <w:ind w:firstLine="0" w:firstLineChars="0"/>
        <w:rPr>
          <w:rFonts w:cs="Times New Roman"/>
        </w:rPr>
      </w:pPr>
      <w:r>
        <w:t>b</w:t>
      </w:r>
      <w:r>
        <w:rPr>
          <w:rFonts w:hint="eastAsia"/>
        </w:rPr>
        <w:t>）验收组进行现场查验；</w:t>
      </w:r>
    </w:p>
    <w:p>
      <w:pPr>
        <w:pStyle w:val="24"/>
        <w:ind w:firstLine="0" w:firstLineChars="0"/>
        <w:rPr>
          <w:rFonts w:cs="Times New Roman"/>
        </w:rPr>
      </w:pPr>
      <w:r>
        <w:t>c</w:t>
      </w:r>
      <w:r>
        <w:rPr>
          <w:rFonts w:hint="eastAsia"/>
        </w:rPr>
        <w:t>）质询和讨论；</w:t>
      </w:r>
    </w:p>
    <w:p>
      <w:pPr>
        <w:pStyle w:val="24"/>
        <w:ind w:firstLine="0" w:firstLineChars="0"/>
        <w:rPr>
          <w:rFonts w:cs="Times New Roman"/>
        </w:rPr>
      </w:pPr>
      <w:r>
        <w:t>d</w:t>
      </w:r>
      <w:r>
        <w:rPr>
          <w:rFonts w:hint="eastAsia"/>
        </w:rPr>
        <w:t>）验收组统计验收情况；</w:t>
      </w:r>
    </w:p>
    <w:p>
      <w:pPr>
        <w:pStyle w:val="24"/>
        <w:ind w:firstLine="0" w:firstLineChars="0"/>
        <w:rPr>
          <w:rFonts w:cs="Times New Roman"/>
        </w:rPr>
      </w:pPr>
      <w:r>
        <w:t>e</w:t>
      </w:r>
      <w:r>
        <w:rPr>
          <w:rFonts w:hint="eastAsia"/>
        </w:rPr>
        <w:t>）验收组给出验收结论。</w:t>
      </w:r>
    </w:p>
    <w:p>
      <w:pPr>
        <w:pStyle w:val="41"/>
        <w:numPr>
          <w:ilvl w:val="0"/>
          <w:numId w:val="3"/>
        </w:numPr>
        <w:spacing w:before="156" w:after="156"/>
        <w:rPr>
          <w:rFonts w:ascii="Arial" w:hAnsi="Arial" w:eastAsia="宋体" w:cs="Times New Roman"/>
          <w:b/>
          <w:bCs/>
        </w:rPr>
      </w:pPr>
      <w:r>
        <w:rPr>
          <w:rFonts w:hint="eastAsia" w:ascii="Arial" w:hAnsi="Arial" w:eastAsia="宋体" w:cs="宋体"/>
          <w:b/>
          <w:bCs/>
        </w:rPr>
        <w:t>验收内容与方法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5.1  </w:t>
      </w:r>
      <w:r>
        <w:rPr>
          <w:rFonts w:hint="eastAsia"/>
        </w:rPr>
        <w:t>建设验收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5.1.1  </w:t>
      </w:r>
      <w:r>
        <w:rPr>
          <w:rFonts w:hint="eastAsia"/>
        </w:rPr>
        <w:t>建设验收应依据国家现行有关标准，按照附录</w:t>
      </w:r>
      <w:r>
        <w:t>A</w:t>
      </w:r>
      <w:r>
        <w:rPr>
          <w:rFonts w:hint="eastAsia"/>
        </w:rPr>
        <w:t>（规范性附录）建设验收表中列出的检查项目与方法进行现场查验，并做好记录。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5.1.2  </w:t>
      </w:r>
      <w:r>
        <w:rPr>
          <w:rFonts w:hint="eastAsia"/>
        </w:rPr>
        <w:t>建设验收应根据现场查验记录，按照附录</w:t>
      </w:r>
      <w:r>
        <w:t>A</w:t>
      </w:r>
      <w:r>
        <w:rPr>
          <w:rFonts w:hint="eastAsia"/>
        </w:rPr>
        <w:t>（规范性附录）建设验收表中规定的计算方法，给出智慧药房建设验收通过、基本通过或不通过的结论。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5.2  </w:t>
      </w:r>
      <w:r>
        <w:rPr>
          <w:rFonts w:hint="eastAsia"/>
        </w:rPr>
        <w:t>成效验收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5.2.1  </w:t>
      </w:r>
      <w:r>
        <w:rPr>
          <w:rFonts w:hint="eastAsia"/>
        </w:rPr>
        <w:t>成效验收应根据智慧药房建设目标，按照附录</w:t>
      </w:r>
      <w:r>
        <w:t>B</w:t>
      </w:r>
      <w:r>
        <w:rPr>
          <w:rFonts w:hint="eastAsia"/>
        </w:rPr>
        <w:t>（规范性附录）成效验收表中列出的检查项目与方法进行现场查验，并做好记录。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5.2.2  </w:t>
      </w:r>
      <w:r>
        <w:rPr>
          <w:rFonts w:hint="eastAsia"/>
        </w:rPr>
        <w:t>成效验收应根据现场查验记录，按照附录</w:t>
      </w:r>
      <w:r>
        <w:t>B</w:t>
      </w:r>
      <w:r>
        <w:rPr>
          <w:rFonts w:hint="eastAsia"/>
        </w:rPr>
        <w:t>（规范性附录）成效验收表中规定的计算方法，给出智慧药房成效验收通过、基本通过或不通过的结论。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5.3  </w:t>
      </w:r>
      <w:r>
        <w:rPr>
          <w:rFonts w:hint="eastAsia"/>
        </w:rPr>
        <w:t>资料验收</w:t>
      </w:r>
    </w:p>
    <w:p>
      <w:pPr>
        <w:pStyle w:val="24"/>
        <w:ind w:firstLine="0" w:firstLineChars="0"/>
        <w:rPr>
          <w:rFonts w:cs="Times New Roman"/>
        </w:rPr>
      </w:pPr>
      <w:r>
        <w:t xml:space="preserve">5.3.1  </w:t>
      </w:r>
      <w:r>
        <w:rPr>
          <w:rFonts w:hint="eastAsia"/>
        </w:rPr>
        <w:t>资料验收应根据智慧药房建设任务和内容，按照附录</w:t>
      </w:r>
      <w:r>
        <w:t>C</w:t>
      </w:r>
      <w:r>
        <w:rPr>
          <w:rFonts w:hint="eastAsia"/>
        </w:rPr>
        <w:t>（规范性附录）资料验收表中列出的检查项目与方法进行现场查验，并做好记录。</w:t>
      </w:r>
    </w:p>
    <w:p>
      <w:pPr>
        <w:pStyle w:val="24"/>
        <w:spacing w:line="40" w:lineRule="atLeast"/>
        <w:ind w:firstLine="0" w:firstLineChars="0"/>
        <w:jc w:val="left"/>
        <w:rPr>
          <w:rFonts w:cs="Times New Roman"/>
        </w:rPr>
      </w:pPr>
      <w:r>
        <w:t xml:space="preserve">5.3.2  </w:t>
      </w:r>
      <w:r>
        <w:rPr>
          <w:rFonts w:hint="eastAsia"/>
        </w:rPr>
        <w:t>资料验收应根据现场查验记录，按照附录</w:t>
      </w:r>
      <w:r>
        <w:t>C</w:t>
      </w:r>
      <w:r>
        <w:rPr>
          <w:rFonts w:hint="eastAsia"/>
        </w:rPr>
        <w:t>（规范性附录）资料验收表中规定的计算方法，给出智慧药房资料验收通过、基本通过或不通过的结论。</w:t>
      </w:r>
    </w:p>
    <w:p>
      <w:pPr>
        <w:pStyle w:val="24"/>
        <w:spacing w:line="40" w:lineRule="atLeast"/>
        <w:ind w:firstLine="0" w:firstLineChars="0"/>
        <w:jc w:val="left"/>
        <w:rPr>
          <w:rFonts w:cs="Times New Roman"/>
        </w:rPr>
      </w:pP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</w:rPr>
      </w:pPr>
      <w:r>
        <w:rPr>
          <w:rFonts w:hint="eastAsia" w:ascii="Arial" w:hAnsi="Arial" w:cs="宋体"/>
          <w:b/>
          <w:bCs/>
          <w:kern w:val="0"/>
        </w:rPr>
        <w:t>验收结论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</w:pPr>
      <w:r>
        <w:rPr>
          <w:rFonts w:ascii="Arial" w:hAnsi="Arial" w:cs="Arial"/>
          <w:kern w:val="0"/>
        </w:rPr>
        <w:t xml:space="preserve">6.1  </w:t>
      </w:r>
      <w:r>
        <w:rPr>
          <w:rFonts w:hint="eastAsia" w:ascii="Arial" w:hAnsi="Arial" w:cs="宋体"/>
          <w:kern w:val="0"/>
        </w:rPr>
        <w:t>智慧药房的建设验收、成效验收、资料验收的合格率均大于或等于</w:t>
      </w:r>
      <w:r>
        <w:rPr>
          <w:rFonts w:ascii="Arial" w:hAnsi="Arial" w:cs="Arial"/>
          <w:kern w:val="0"/>
        </w:rPr>
        <w:t>0.8</w:t>
      </w:r>
      <w:r>
        <w:rPr>
          <w:rFonts w:hint="eastAsia" w:ascii="Arial" w:hAnsi="Arial" w:cs="宋体"/>
          <w:kern w:val="0"/>
        </w:rPr>
        <w:t>的，</w:t>
      </w:r>
      <w:r>
        <w:rPr>
          <w:rFonts w:hint="eastAsia" w:cs="宋体"/>
        </w:rPr>
        <w:t>验收组</w:t>
      </w:r>
      <w:r>
        <w:rPr>
          <w:rFonts w:hint="eastAsia" w:ascii="Arial" w:hAnsi="Arial" w:cs="宋体"/>
          <w:kern w:val="0"/>
        </w:rPr>
        <w:t>应</w:t>
      </w:r>
      <w:r>
        <w:rPr>
          <w:rFonts w:hint="eastAsia" w:cs="宋体"/>
        </w:rPr>
        <w:t>给出验收通过的结论。</w:t>
      </w:r>
    </w:p>
    <w:p>
      <w:pPr>
        <w:autoSpaceDE w:val="0"/>
        <w:autoSpaceDN w:val="0"/>
        <w:adjustRightInd w:val="0"/>
        <w:jc w:val="left"/>
      </w:pPr>
      <w:r>
        <w:rPr>
          <w:rFonts w:ascii="Arial" w:hAnsi="Arial" w:cs="Arial"/>
          <w:kern w:val="0"/>
        </w:rPr>
        <w:t xml:space="preserve">6.2  </w:t>
      </w:r>
      <w:r>
        <w:rPr>
          <w:rFonts w:hint="eastAsia" w:ascii="Arial" w:hAnsi="Arial" w:cs="宋体"/>
          <w:kern w:val="0"/>
        </w:rPr>
        <w:t>智慧药房的建设验收、成效验收、资料验收的合格率均大于或等于</w:t>
      </w:r>
      <w:r>
        <w:rPr>
          <w:rFonts w:ascii="Arial" w:hAnsi="Arial" w:cs="Arial"/>
          <w:kern w:val="0"/>
        </w:rPr>
        <w:t>0.6</w:t>
      </w:r>
      <w:r>
        <w:rPr>
          <w:rFonts w:hint="eastAsia" w:ascii="Arial" w:hAnsi="Arial" w:cs="宋体"/>
          <w:kern w:val="0"/>
        </w:rPr>
        <w:t>，且其中一项小于</w:t>
      </w:r>
      <w:r>
        <w:rPr>
          <w:rFonts w:ascii="Arial" w:hAnsi="Arial" w:cs="Arial"/>
          <w:kern w:val="0"/>
        </w:rPr>
        <w:t>0.8</w:t>
      </w:r>
      <w:r>
        <w:rPr>
          <w:rFonts w:hint="eastAsia" w:ascii="Arial" w:hAnsi="Arial" w:cs="宋体"/>
          <w:kern w:val="0"/>
        </w:rPr>
        <w:t>的，</w:t>
      </w:r>
      <w:r>
        <w:rPr>
          <w:rFonts w:hint="eastAsia" w:cs="宋体"/>
        </w:rPr>
        <w:t>验收组</w:t>
      </w:r>
      <w:r>
        <w:rPr>
          <w:rFonts w:hint="eastAsia" w:ascii="Arial" w:hAnsi="Arial" w:cs="宋体"/>
          <w:kern w:val="0"/>
        </w:rPr>
        <w:t>应</w:t>
      </w:r>
      <w:r>
        <w:rPr>
          <w:rFonts w:hint="eastAsia" w:cs="宋体"/>
        </w:rPr>
        <w:t>给出验收基本通过的结论。</w:t>
      </w:r>
    </w:p>
    <w:p>
      <w:pPr>
        <w:autoSpaceDE w:val="0"/>
        <w:autoSpaceDN w:val="0"/>
        <w:adjustRightInd w:val="0"/>
        <w:jc w:val="left"/>
      </w:pPr>
      <w:r>
        <w:rPr>
          <w:rFonts w:ascii="Arial" w:hAnsi="Arial" w:cs="Arial"/>
          <w:kern w:val="0"/>
        </w:rPr>
        <w:t xml:space="preserve">6.3  </w:t>
      </w:r>
      <w:r>
        <w:rPr>
          <w:rFonts w:hint="eastAsia" w:ascii="Arial" w:hAnsi="Arial" w:cs="宋体"/>
          <w:kern w:val="0"/>
        </w:rPr>
        <w:t>智慧药房的建设验收、成效验收、资料验收的合格率中有一项小于</w:t>
      </w:r>
      <w:r>
        <w:rPr>
          <w:rFonts w:ascii="Arial" w:hAnsi="Arial" w:cs="Arial"/>
          <w:kern w:val="0"/>
        </w:rPr>
        <w:t>0.6</w:t>
      </w:r>
      <w:r>
        <w:rPr>
          <w:rFonts w:hint="eastAsia" w:ascii="Arial" w:hAnsi="Arial" w:cs="宋体"/>
          <w:kern w:val="0"/>
        </w:rPr>
        <w:t>的，</w:t>
      </w:r>
      <w:r>
        <w:rPr>
          <w:rFonts w:hint="eastAsia" w:cs="宋体"/>
        </w:rPr>
        <w:t>验收组</w:t>
      </w:r>
      <w:r>
        <w:rPr>
          <w:rFonts w:hint="eastAsia" w:ascii="Arial" w:hAnsi="Arial" w:cs="宋体"/>
          <w:kern w:val="0"/>
        </w:rPr>
        <w:t>应</w:t>
      </w:r>
      <w:r>
        <w:rPr>
          <w:rFonts w:hint="eastAsia" w:cs="宋体"/>
        </w:rPr>
        <w:t>给出验收不通过的结论。</w:t>
      </w:r>
    </w:p>
    <w:p>
      <w:pPr>
        <w:autoSpaceDE w:val="0"/>
        <w:autoSpaceDN w:val="0"/>
        <w:adjustRightInd w:val="0"/>
        <w:jc w:val="left"/>
      </w:pPr>
      <w:r>
        <w:rPr>
          <w:rFonts w:ascii="Arial" w:hAnsi="Arial" w:cs="Arial"/>
          <w:kern w:val="0"/>
        </w:rPr>
        <w:t xml:space="preserve">6.4  </w:t>
      </w:r>
      <w:r>
        <w:rPr>
          <w:rFonts w:hint="eastAsia" w:cs="宋体"/>
        </w:rPr>
        <w:t>验收组应将验收通过、验收基本通过、验收不通过的验收结论，按照附录</w:t>
      </w:r>
      <w:r>
        <w:t>D</w:t>
      </w:r>
      <w:r>
        <w:rPr>
          <w:rFonts w:hint="eastAsia" w:cs="宋体"/>
        </w:rPr>
        <w:t>（规范性附录）验收结论汇总表的要求填写完整，并对验收中存在的主要问题提出建议和意见。</w:t>
      </w: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>
      <w:pPr>
        <w:pStyle w:val="24"/>
        <w:ind w:firstLine="0" w:firstLineChars="0"/>
        <w:jc w:val="center"/>
      </w:pPr>
      <w:r>
        <w:rPr>
          <w:rFonts w:hint="eastAsia"/>
        </w:rPr>
        <w:t>附</w:t>
      </w:r>
      <w:r>
        <w:t xml:space="preserve">  </w:t>
      </w:r>
      <w:r>
        <w:rPr>
          <w:rFonts w:hint="eastAsia"/>
        </w:rPr>
        <w:t>录</w:t>
      </w:r>
      <w:r>
        <w:t xml:space="preserve">  A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（规范性附录）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建设验收表</w:t>
      </w:r>
    </w:p>
    <w:p>
      <w:pPr>
        <w:pStyle w:val="24"/>
        <w:ind w:firstLine="0" w:firstLineChars="0"/>
        <w:rPr>
          <w:rFonts w:cs="Times New Roman"/>
        </w:rPr>
      </w:pPr>
      <w:r>
        <w:t>A</w:t>
      </w:r>
      <w:r>
        <w:rPr>
          <w:rFonts w:hint="eastAsia"/>
        </w:rPr>
        <w:t>．</w:t>
      </w:r>
      <w:r>
        <w:t xml:space="preserve">1  </w:t>
      </w:r>
      <w:r>
        <w:rPr>
          <w:rFonts w:hint="eastAsia"/>
        </w:rPr>
        <w:t>建设验收的检查项目与方法见表</w:t>
      </w:r>
      <w:r>
        <w:t>1</w:t>
      </w:r>
    </w:p>
    <w:p>
      <w:pPr>
        <w:pStyle w:val="24"/>
        <w:ind w:firstLine="0" w:firstLineChars="0"/>
        <w:rPr>
          <w:rFonts w:cs="Times New Roman"/>
        </w:rPr>
      </w:pP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</w:rPr>
        <w:t>建设验收表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74"/>
        <w:gridCol w:w="773"/>
        <w:gridCol w:w="3907"/>
        <w:gridCol w:w="1260"/>
        <w:gridCol w:w="72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药房名称</w:t>
            </w:r>
          </w:p>
        </w:tc>
        <w:tc>
          <w:tcPr>
            <w:tcW w:w="7867" w:type="dxa"/>
            <w:gridSpan w:val="5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154" w:type="dxa"/>
            <w:gridSpan w:val="3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检查项目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检查方法</w:t>
            </w:r>
          </w:p>
        </w:tc>
        <w:tc>
          <w:tcPr>
            <w:tcW w:w="2700" w:type="dxa"/>
            <w:gridSpan w:val="3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查验结果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5154" w:type="dxa"/>
            <w:gridSpan w:val="3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基本合格</w:t>
            </w: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药房管理系统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具有请领管理、调拨管理、库存管理、盘点管理、报损丢失、药品退回、统计查询、数据维护等功能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现场登录，点击查看。具备</w:t>
            </w:r>
            <w:r>
              <w:t>80%</w:t>
            </w:r>
            <w:r>
              <w:rPr>
                <w:rFonts w:hint="eastAsia"/>
              </w:rPr>
              <w:t>以上功能的为合格，具备</w:t>
            </w:r>
            <w:r>
              <w:t>80%—60%</w:t>
            </w:r>
            <w:r>
              <w:rPr>
                <w:rFonts w:hint="eastAsia"/>
              </w:rPr>
              <w:t>功能的为基本合格，具备</w:t>
            </w:r>
            <w:r>
              <w:t>60%</w:t>
            </w:r>
            <w:r>
              <w:rPr>
                <w:rFonts w:hint="eastAsia"/>
              </w:rPr>
              <w:t>以下功能的为不合格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对药品出库信息进行决策分析，对发药机内品种进行优化，增大常用品种槽位，减少用量少品种槽位，优化发药机设置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支持药</w:t>
            </w:r>
            <w:r>
              <w:rPr>
                <w:rFonts w:hint="eastAsia" w:ascii="Arial" w:hAnsi="Arial"/>
              </w:rPr>
              <w:t>品的有效期管理、零差价管理、药品批次管理、可自动预警和统计滞销、过期药品的品种数和金额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4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支持多种形式药品扣费、药品划价、应支持药品账务核算管理功能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5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支持自动生成请领计划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hint="eastAsia" w:ascii="Arial" w:hAnsi="Arial"/>
                <w:color w:val="000000"/>
              </w:rPr>
              <w:t>计划采购及审核功能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6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41"/>
              <w:numPr>
                <w:ilvl w:val="0"/>
                <w:numId w:val="0"/>
              </w:numPr>
              <w:spacing w:before="156" w:after="156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处方审核系统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40"/>
              <w:widowControl/>
              <w:spacing w:line="40" w:lineRule="atLeast"/>
              <w:ind w:firstLine="0" w:firstLineChars="0"/>
              <w:jc w:val="left"/>
              <w:rPr>
                <w:rFonts w:ascii="Arial" w:hAnsi="Arial" w:cs="Arial"/>
              </w:rPr>
            </w:pPr>
            <w:r>
              <w:rPr>
                <w:rFonts w:hint="eastAsia" w:cs="宋体"/>
              </w:rPr>
              <w:t>支持处方的合法性审核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现场登录，点击查看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7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40"/>
              <w:widowControl/>
              <w:spacing w:line="40" w:lineRule="atLeast"/>
              <w:ind w:firstLine="0" w:firstLineChars="0"/>
              <w:jc w:val="left"/>
              <w:rPr>
                <w:rFonts w:ascii="Arial" w:hAnsi="Arial" w:cs="Arial"/>
              </w:rPr>
            </w:pPr>
            <w:r>
              <w:rPr>
                <w:rFonts w:hint="eastAsia" w:cs="宋体"/>
              </w:rPr>
              <w:t>支持处方的规范性审核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8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40"/>
              <w:widowControl/>
              <w:spacing w:line="40" w:lineRule="atLeast"/>
              <w:ind w:firstLine="0" w:firstLineChars="0"/>
              <w:jc w:val="left"/>
              <w:rPr>
                <w:rFonts w:ascii="Arial" w:hAnsi="Arial" w:cs="Arial"/>
              </w:rPr>
            </w:pPr>
            <w:r>
              <w:rPr>
                <w:rFonts w:hint="eastAsia" w:cs="宋体"/>
              </w:rPr>
              <w:t>支持处方的适宜性审核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9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41"/>
              <w:numPr>
                <w:ilvl w:val="0"/>
                <w:numId w:val="0"/>
              </w:numPr>
              <w:spacing w:before="156" w:after="156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发药管理系统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支持药品调配功能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现场登录，点击查看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10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支持发药核对功能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11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支持用药交待功能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42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12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支持退回药品功能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13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41"/>
              <w:numPr>
                <w:ilvl w:val="0"/>
                <w:numId w:val="0"/>
              </w:numPr>
              <w:spacing w:before="156" w:after="156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数据交互系统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支持与药库、</w:t>
            </w:r>
            <w:bookmarkStart w:id="3" w:name="_Hlk29115008"/>
            <w:r>
              <w:rPr>
                <w:rFonts w:hint="eastAsia" w:ascii="Arial" w:hAnsi="Arial"/>
                <w:color w:val="000000"/>
              </w:rPr>
              <w:t>静脉用药调配中心</w:t>
            </w:r>
            <w:bookmarkEnd w:id="3"/>
            <w:r>
              <w:rPr>
                <w:rFonts w:hint="eastAsia" w:ascii="Arial" w:hAnsi="Arial"/>
                <w:color w:val="000000"/>
              </w:rPr>
              <w:t>、制剂等药学部门内部，以及临床、医技、行政管理等部门间的数据交互</w:t>
            </w:r>
          </w:p>
        </w:tc>
        <w:tc>
          <w:tcPr>
            <w:tcW w:w="1260" w:type="dxa"/>
            <w:vMerge w:val="restart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现场登录，点击查看。具备</w:t>
            </w:r>
            <w:r>
              <w:t>80%</w:t>
            </w:r>
            <w:r>
              <w:rPr>
                <w:rFonts w:hint="eastAsia"/>
              </w:rPr>
              <w:t>以上功能的为合格，具备</w:t>
            </w:r>
            <w:r>
              <w:t>80%</w:t>
            </w:r>
            <w:r>
              <w:rPr>
                <w:rFonts w:hint="eastAsia"/>
              </w:rPr>
              <w:t>-</w:t>
            </w:r>
            <w:r>
              <w:t>60%</w:t>
            </w:r>
            <w:r>
              <w:rPr>
                <w:rFonts w:hint="eastAsia"/>
              </w:rPr>
              <w:t>功能的为基本合格，具备</w:t>
            </w:r>
            <w:r>
              <w:t>60%</w:t>
            </w:r>
            <w:r>
              <w:rPr>
                <w:rFonts w:hint="eastAsia"/>
              </w:rPr>
              <w:t>以下功能的为不合格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14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支持与</w:t>
            </w:r>
            <w:r>
              <w:rPr>
                <w:rFonts w:ascii="Arial" w:hAnsi="Arial" w:cs="Arial"/>
                <w:color w:val="000000"/>
              </w:rPr>
              <w:t>HIS</w:t>
            </w:r>
            <w:r>
              <w:rPr>
                <w:rFonts w:hint="eastAsia" w:ascii="Arial" w:hAnsi="Arial"/>
                <w:color w:val="000000"/>
              </w:rPr>
              <w:t>及其相关子系统或医院信息平台（数据中心）等系统进行数据交互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15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提供桌面终端、移动端等二种消息提醒途径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16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支持条形码、二维码、</w:t>
            </w:r>
            <w:r>
              <w:rPr>
                <w:rFonts w:ascii="Arial" w:hAnsi="Arial" w:cs="Arial"/>
                <w:color w:val="000000"/>
              </w:rPr>
              <w:t>RFID</w:t>
            </w:r>
            <w:r>
              <w:rPr>
                <w:rFonts w:hint="eastAsia" w:ascii="Arial" w:hAnsi="Arial"/>
                <w:color w:val="000000"/>
              </w:rPr>
              <w:t>等其中一种识别方式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17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智能矩形包装发药设备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支持智能自动化上药、发药、存储和盘点功能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cs="宋体"/>
              </w:rPr>
              <w:t>现场查验产品说明书或使用手册，查看</w:t>
            </w:r>
            <w:r>
              <w:rPr>
                <w:rFonts w:hint="eastAsia" w:ascii="Arial" w:hAnsi="Arial" w:cs="宋体"/>
                <w:color w:val="000000"/>
              </w:rPr>
              <w:t>设备</w:t>
            </w:r>
            <w:r>
              <w:rPr>
                <w:rFonts w:hint="eastAsia" w:cs="宋体"/>
              </w:rPr>
              <w:t>功能演示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18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支持模块化设置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19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spacing w:line="40" w:lineRule="atLeast"/>
              <w:ind w:firstLine="0" w:firstLineChars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  <w:color w:val="000000"/>
              </w:rPr>
              <w:t>与</w:t>
            </w:r>
            <w:r>
              <w:rPr>
                <w:rFonts w:ascii="Arial" w:hAnsi="Arial" w:cs="Arial"/>
                <w:color w:val="000000"/>
              </w:rPr>
              <w:t>HIS</w:t>
            </w:r>
            <w:r>
              <w:rPr>
                <w:rFonts w:hint="eastAsia" w:ascii="Arial" w:hAnsi="Arial"/>
                <w:color w:val="000000"/>
              </w:rPr>
              <w:t>无缝对接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20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智能麻精药品管理设备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spacing w:line="40" w:lineRule="atLeast"/>
              <w:ind w:firstLine="0" w:firstLineChars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  <w:color w:val="000000"/>
              </w:rPr>
              <w:t>支持麻精药品依照专人负责、专柜（库）加锁、专用账册、专用处方、专册登记管理流程智能调剂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现场查验产品说明书或使用手册，查看</w:t>
            </w:r>
            <w:r>
              <w:rPr>
                <w:rFonts w:hint="eastAsia" w:ascii="Arial" w:hAnsi="Arial"/>
                <w:color w:val="000000"/>
              </w:rPr>
              <w:t>设备</w:t>
            </w:r>
            <w:r>
              <w:rPr>
                <w:rFonts w:hint="eastAsia"/>
              </w:rPr>
              <w:t>功能演示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21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实现相关记录的智慧化管理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22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与</w:t>
            </w:r>
            <w:r>
              <w:rPr>
                <w:rFonts w:ascii="Arial" w:hAnsi="Arial" w:cs="Arial"/>
                <w:color w:val="000000"/>
              </w:rPr>
              <w:t>HIS</w:t>
            </w:r>
            <w:r>
              <w:rPr>
                <w:rFonts w:hint="eastAsia" w:ascii="Arial" w:hAnsi="Arial"/>
                <w:color w:val="000000"/>
              </w:rPr>
              <w:t>无缝对接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23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处方绑定装置及自动发筐设备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支持与</w:t>
            </w:r>
            <w:r>
              <w:rPr>
                <w:rFonts w:ascii="Arial" w:hAnsi="Arial" w:cs="Arial"/>
              </w:rPr>
              <w:t>HIS</w:t>
            </w:r>
            <w:r>
              <w:rPr>
                <w:rFonts w:hint="eastAsia" w:ascii="Arial" w:hAnsi="Arial"/>
              </w:rPr>
              <w:t>无缝对接，自动绑定处方信息和发筐装置，可溯源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现场查验产品说明书或使用手册，查看</w:t>
            </w:r>
            <w:r>
              <w:rPr>
                <w:rFonts w:hint="eastAsia" w:ascii="Arial" w:hAnsi="Arial"/>
                <w:color w:val="000000"/>
              </w:rPr>
              <w:t>设备</w:t>
            </w:r>
            <w:r>
              <w:rPr>
                <w:rFonts w:hint="eastAsia"/>
              </w:rPr>
              <w:t>功能演示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24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支持智能指示已配处方的位置，不受位置限制的功能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25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单剂量分包设备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支持与</w:t>
            </w:r>
            <w:r>
              <w:rPr>
                <w:rFonts w:ascii="Arial" w:hAnsi="Arial" w:cs="Arial"/>
              </w:rPr>
              <w:t>HIS</w:t>
            </w:r>
            <w:r>
              <w:rPr>
                <w:rFonts w:hint="eastAsia" w:ascii="Arial" w:hAnsi="Arial"/>
              </w:rPr>
              <w:t>无缝对接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现场查验产品说明书或使用手册，查看</w:t>
            </w:r>
            <w:r>
              <w:rPr>
                <w:rFonts w:hint="eastAsia" w:ascii="Arial" w:hAnsi="Arial"/>
                <w:color w:val="000000"/>
              </w:rPr>
              <w:t>设备</w:t>
            </w:r>
            <w:r>
              <w:rPr>
                <w:rFonts w:hint="eastAsia"/>
              </w:rPr>
              <w:t>功能演示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26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支持所需口服药品自动分包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27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支持分包袋上打印医嘱信息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28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冷链设施设备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满足冷藏药品智能存取的环境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现场查验产品说明书或使用手册，查看</w:t>
            </w:r>
            <w:r>
              <w:rPr>
                <w:rFonts w:hint="eastAsia" w:ascii="Arial" w:hAnsi="Arial"/>
                <w:color w:val="000000"/>
              </w:rPr>
              <w:t>设备</w:t>
            </w:r>
            <w:r>
              <w:rPr>
                <w:rFonts w:hint="eastAsia"/>
              </w:rPr>
              <w:t>功能演示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29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满足药品</w:t>
            </w:r>
            <w:r>
              <w:rPr>
                <w:color w:val="000000"/>
              </w:rPr>
              <w:t>GSP</w:t>
            </w:r>
            <w:r>
              <w:rPr>
                <w:rFonts w:hint="eastAsia"/>
                <w:color w:val="000000"/>
              </w:rPr>
              <w:t>管理要求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30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智能化环境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满足</w:t>
            </w:r>
            <w:r>
              <w:fldChar w:fldCharType="begin"/>
            </w:r>
            <w:r>
              <w:instrText xml:space="preserve"> HYPERLINK "GBT%202887-2011计算机场地通用规范.pdf"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color w:val="auto"/>
              </w:rPr>
              <w:t>GB2887</w:t>
            </w:r>
            <w:r>
              <w:rPr>
                <w:rStyle w:val="14"/>
                <w:rFonts w:ascii="Arial" w:hAnsi="Arial" w:cs="Arial"/>
                <w:color w:val="auto"/>
              </w:rPr>
              <w:fldChar w:fldCharType="end"/>
            </w:r>
            <w:r>
              <w:rPr>
                <w:rFonts w:hint="eastAsia" w:ascii="Arial" w:hAnsi="Arial"/>
              </w:rPr>
              <w:t>和</w:t>
            </w:r>
            <w:r>
              <w:fldChar w:fldCharType="begin"/>
            </w:r>
            <w:r>
              <w:instrText xml:space="preserve"> HYPERLINK "GBT%209361-2011计算机场地安全要求.pdf"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color w:val="auto"/>
              </w:rPr>
              <w:t>GB 9361</w:t>
            </w:r>
            <w:r>
              <w:rPr>
                <w:rStyle w:val="14"/>
                <w:rFonts w:ascii="Arial" w:hAnsi="Arial" w:cs="Arial"/>
                <w:color w:val="auto"/>
              </w:rPr>
              <w:fldChar w:fldCharType="end"/>
            </w:r>
            <w:r>
              <w:rPr>
                <w:rFonts w:hint="eastAsia" w:ascii="Arial" w:hAnsi="Arial"/>
              </w:rPr>
              <w:t>相关要求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 w:cs="宋体"/>
              </w:rPr>
              <w:t>现场查验相关测评报告或登记备案证书，实地查看、询问、试验、体验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31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满足</w:t>
            </w:r>
            <w:r>
              <w:fldChar w:fldCharType="begin"/>
            </w:r>
            <w:r>
              <w:instrText xml:space="preserve"> HYPERLINK "GBT%2031458-2015%20医院安全技术防范系统要求.pdf"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color w:val="auto"/>
              </w:rPr>
              <w:t>GB/T 31458-2015</w:t>
            </w:r>
            <w:r>
              <w:rPr>
                <w:rStyle w:val="14"/>
                <w:rFonts w:ascii="Arial" w:hAnsi="Arial" w:cs="Arial"/>
                <w:color w:val="auto"/>
              </w:rPr>
              <w:fldChar w:fldCharType="end"/>
            </w:r>
            <w:r>
              <w:rPr>
                <w:rFonts w:hint="eastAsia" w:ascii="Arial" w:hAnsi="Arial"/>
              </w:rPr>
              <w:t>相关要求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32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满足</w:t>
            </w:r>
            <w:r>
              <w:fldChar w:fldCharType="begin"/>
            </w:r>
            <w:r>
              <w:instrText xml:space="preserve"> HYPERLINK "GB%2050314-2015%20智能建筑设计标准%20附条文说明%20.pdf"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color w:val="auto"/>
              </w:rPr>
              <w:t>GB 50314-2015</w:t>
            </w:r>
            <w:r>
              <w:rPr>
                <w:rStyle w:val="14"/>
                <w:rFonts w:hint="eastAsia" w:ascii="Arial" w:hAnsi="Arial"/>
                <w:color w:val="auto"/>
              </w:rPr>
              <w:t>第</w:t>
            </w:r>
            <w:r>
              <w:rPr>
                <w:rStyle w:val="14"/>
                <w:rFonts w:ascii="Arial" w:hAnsi="Arial" w:cs="Arial"/>
                <w:color w:val="auto"/>
              </w:rPr>
              <w:t>15.2</w:t>
            </w:r>
            <w:r>
              <w:rPr>
                <w:rStyle w:val="14"/>
                <w:rFonts w:ascii="Arial" w:hAnsi="Arial" w:cs="Arial"/>
                <w:color w:val="auto"/>
              </w:rPr>
              <w:fldChar w:fldCharType="end"/>
            </w:r>
            <w:r>
              <w:rPr>
                <w:rFonts w:hint="eastAsia" w:ascii="Arial" w:hAnsi="Arial"/>
              </w:rPr>
              <w:t>的要求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33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采用物联网技术，对供配电系统监测、温度、相对湿度、防雷接地等进行智能化管控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34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安全保障体系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安全防范系统应满足符合</w:t>
            </w:r>
            <w:r>
              <w:fldChar w:fldCharType="begin"/>
            </w:r>
            <w:r>
              <w:instrText xml:space="preserve"> HYPERLINK "GB%2050348-2018%20%20安全防范工程技术标准.pdf"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color w:val="000000"/>
              </w:rPr>
              <w:t>GB 50348-2018</w:t>
            </w:r>
            <w:r>
              <w:rPr>
                <w:rStyle w:val="14"/>
                <w:rFonts w:ascii="Arial" w:hAnsi="Arial" w:cs="Arial"/>
                <w:color w:val="000000"/>
              </w:rPr>
              <w:fldChar w:fldCharType="end"/>
            </w:r>
            <w:r>
              <w:rPr>
                <w:rFonts w:hint="eastAsia" w:ascii="Arial" w:hAnsi="Arial"/>
                <w:color w:val="000000"/>
              </w:rPr>
              <w:t>和</w:t>
            </w:r>
            <w:r>
              <w:fldChar w:fldCharType="begin"/>
            </w:r>
            <w:r>
              <w:instrText xml:space="preserve"> HYPERLINK "GBT%2031458-2015%20医院安全技术防范系统要求.pdf"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color w:val="000000"/>
              </w:rPr>
              <w:t>GB/T 31458-2015</w:t>
            </w:r>
            <w:r>
              <w:rPr>
                <w:rStyle w:val="14"/>
                <w:rFonts w:hint="eastAsia" w:ascii="Arial" w:hAnsi="Arial"/>
                <w:color w:val="000000"/>
              </w:rPr>
              <w:t>第</w:t>
            </w:r>
            <w:r>
              <w:rPr>
                <w:rStyle w:val="14"/>
                <w:rFonts w:ascii="Arial" w:hAnsi="Arial" w:cs="Arial"/>
                <w:color w:val="000000"/>
              </w:rPr>
              <w:t>6</w:t>
            </w:r>
            <w:r>
              <w:rPr>
                <w:rStyle w:val="14"/>
                <w:rFonts w:hint="eastAsia" w:ascii="Arial" w:hAnsi="Arial"/>
                <w:color w:val="000000"/>
              </w:rPr>
              <w:t>章要求</w:t>
            </w:r>
            <w:r>
              <w:rPr>
                <w:rStyle w:val="14"/>
                <w:rFonts w:hint="eastAsia" w:ascii="Arial" w:hAnsi="Arial"/>
                <w:color w:val="000000"/>
              </w:rPr>
              <w:fldChar w:fldCharType="end"/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现场查验相关测评报告或登记备案证书，查验查看相关系统功能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35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  <w:color w:val="000000"/>
              </w:rPr>
              <w:t>网络安全等级应满足</w:t>
            </w:r>
            <w:r>
              <w:fldChar w:fldCharType="begin"/>
            </w:r>
            <w:r>
              <w:instrText xml:space="preserve"> HYPERLINK "GB∕T%2022239-2019%20信息安全技术网络安全等级保护基本要求.pdf"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color w:val="000000"/>
              </w:rPr>
              <w:t>GB/T 22239-2019</w:t>
            </w:r>
            <w:r>
              <w:rPr>
                <w:rStyle w:val="14"/>
                <w:rFonts w:ascii="Arial" w:hAnsi="Arial" w:cs="Arial"/>
                <w:color w:val="000000"/>
              </w:rPr>
              <w:fldChar w:fldCharType="end"/>
            </w:r>
            <w:r>
              <w:rPr>
                <w:rFonts w:hint="eastAsia" w:ascii="Arial" w:hAnsi="Arial"/>
                <w:color w:val="000000"/>
              </w:rPr>
              <w:t>标准二级要求</w:t>
            </w:r>
          </w:p>
        </w:tc>
        <w:tc>
          <w:tcPr>
            <w:tcW w:w="1260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检查结果（合格率）：</w:t>
            </w:r>
          </w:p>
        </w:tc>
        <w:tc>
          <w:tcPr>
            <w:tcW w:w="396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建设验收结论：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建设验收组（人员）签名：</w:t>
            </w:r>
          </w:p>
        </w:tc>
        <w:tc>
          <w:tcPr>
            <w:tcW w:w="396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建设验收日期：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540" w:type="dxa"/>
            <w:gridSpan w:val="8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注：</w:t>
            </w:r>
            <w:r>
              <w:t>1.</w:t>
            </w:r>
            <w:r>
              <w:rPr>
                <w:rFonts w:hint="eastAsia"/>
              </w:rPr>
              <w:t>对每一个检查项目抽查比例和检查方法根据现场情况决定。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2.</w:t>
            </w:r>
            <w:r>
              <w:rPr>
                <w:rFonts w:hint="eastAsia"/>
              </w:rPr>
              <w:t>在检查结果栏选符合情况的空格内打“√”，并作为统计数。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3.</w:t>
            </w:r>
            <w:r>
              <w:rPr>
                <w:rFonts w:hint="eastAsia"/>
              </w:rPr>
              <w:t>检查结果：合格率</w:t>
            </w:r>
            <w:r>
              <w:t>=</w:t>
            </w:r>
            <w:r>
              <w:rPr>
                <w:rFonts w:hint="eastAsia"/>
              </w:rPr>
              <w:t>（合格数</w:t>
            </w:r>
            <w:r>
              <w:t>+</w:t>
            </w:r>
            <w:r>
              <w:rPr>
                <w:rFonts w:hint="eastAsia"/>
              </w:rPr>
              <w:t>基本合格数×</w:t>
            </w:r>
            <w:r>
              <w:t>0.6</w:t>
            </w:r>
            <w:r>
              <w:rPr>
                <w:rFonts w:hint="eastAsia"/>
              </w:rPr>
              <w:t>）</w:t>
            </w:r>
            <w:r>
              <w:t>/</w:t>
            </w:r>
            <w:r>
              <w:rPr>
                <w:rFonts w:hint="eastAsia"/>
              </w:rPr>
              <w:t>项目检查数。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4.</w:t>
            </w:r>
            <w:r>
              <w:rPr>
                <w:rFonts w:hint="eastAsia"/>
              </w:rPr>
              <w:t>验收结论：合格率≧</w:t>
            </w:r>
            <w:r>
              <w:t>0.8</w:t>
            </w:r>
            <w:r>
              <w:rPr>
                <w:rFonts w:hint="eastAsia"/>
              </w:rPr>
              <w:t>判为通过；</w:t>
            </w:r>
            <w:r>
              <w:t>0.8</w:t>
            </w:r>
            <w:r>
              <w:rPr>
                <w:rFonts w:hint="eastAsia"/>
              </w:rPr>
              <w:t>﹥合格率≧</w:t>
            </w:r>
            <w:r>
              <w:t>0.6</w:t>
            </w:r>
            <w:r>
              <w:rPr>
                <w:rFonts w:hint="eastAsia"/>
              </w:rPr>
              <w:t>判为基本通过；合格率﹤</w:t>
            </w:r>
            <w:r>
              <w:t>0.6</w:t>
            </w:r>
            <w:r>
              <w:rPr>
                <w:rFonts w:hint="eastAsia"/>
              </w:rPr>
              <w:t>判为不通过。</w:t>
            </w:r>
          </w:p>
        </w:tc>
      </w:tr>
    </w:tbl>
    <w:p>
      <w:pPr>
        <w:pStyle w:val="24"/>
        <w:ind w:firstLine="0" w:firstLineChars="0"/>
        <w:jc w:val="center"/>
        <w:rPr>
          <w:rFonts w:cs="Times New Roman"/>
        </w:rPr>
      </w:pPr>
    </w:p>
    <w:p/>
    <w:p/>
    <w:p/>
    <w:p/>
    <w:p/>
    <w:p/>
    <w:p/>
    <w:p/>
    <w:p/>
    <w:p/>
    <w:p/>
    <w:p/>
    <w:p>
      <w:pPr>
        <w:rPr>
          <w:rFonts w:hint="eastAsia"/>
        </w:rPr>
      </w:pPr>
    </w:p>
    <w:p/>
    <w:p>
      <w:pPr>
        <w:pStyle w:val="24"/>
        <w:ind w:firstLine="0" w:firstLineChars="0"/>
        <w:jc w:val="center"/>
      </w:pPr>
      <w:r>
        <w:rPr>
          <w:rFonts w:hint="eastAsia"/>
        </w:rPr>
        <w:t>附</w:t>
      </w:r>
      <w:r>
        <w:t xml:space="preserve">  </w:t>
      </w:r>
      <w:r>
        <w:rPr>
          <w:rFonts w:hint="eastAsia"/>
        </w:rPr>
        <w:t>录</w:t>
      </w:r>
      <w:r>
        <w:t xml:space="preserve">  B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（规范性附录）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成效验收表</w:t>
      </w:r>
    </w:p>
    <w:p>
      <w:pPr>
        <w:pStyle w:val="24"/>
        <w:ind w:firstLine="0" w:firstLineChars="0"/>
        <w:rPr>
          <w:rFonts w:cs="Times New Roman"/>
        </w:rPr>
      </w:pPr>
      <w:r>
        <w:t xml:space="preserve">B.1 </w:t>
      </w:r>
      <w:r>
        <w:rPr>
          <w:rFonts w:hint="eastAsia"/>
        </w:rPr>
        <w:t>成效验收的检查项目与方法见表</w:t>
      </w:r>
      <w:r>
        <w:t>2</w:t>
      </w:r>
    </w:p>
    <w:p>
      <w:pPr>
        <w:pStyle w:val="24"/>
        <w:ind w:firstLine="0" w:firstLineChars="0"/>
        <w:rPr>
          <w:rFonts w:cs="Times New Roman"/>
        </w:rPr>
      </w:pP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表</w:t>
      </w:r>
      <w:r>
        <w:t xml:space="preserve">2 </w:t>
      </w:r>
      <w:r>
        <w:rPr>
          <w:rFonts w:hint="eastAsia"/>
        </w:rPr>
        <w:t>成效验收表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74"/>
        <w:gridCol w:w="773"/>
        <w:gridCol w:w="3264"/>
        <w:gridCol w:w="1903"/>
        <w:gridCol w:w="72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药房名称</w:t>
            </w:r>
          </w:p>
        </w:tc>
        <w:tc>
          <w:tcPr>
            <w:tcW w:w="7867" w:type="dxa"/>
            <w:gridSpan w:val="5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11" w:type="dxa"/>
            <w:gridSpan w:val="3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检查项目</w:t>
            </w:r>
          </w:p>
        </w:tc>
        <w:tc>
          <w:tcPr>
            <w:tcW w:w="1903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检查方法</w:t>
            </w:r>
          </w:p>
        </w:tc>
        <w:tc>
          <w:tcPr>
            <w:tcW w:w="2700" w:type="dxa"/>
            <w:gridSpan w:val="3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查验结果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511" w:type="dxa"/>
            <w:gridSpan w:val="3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基本合格</w:t>
            </w: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信息系统应用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 w:ascii="Arial" w:hAnsi="Arial"/>
              </w:rPr>
              <w:t>药品在请领环节</w:t>
            </w:r>
            <w:r>
              <w:rPr>
                <w:rFonts w:hint="eastAsia"/>
              </w:rPr>
              <w:t>运用信息系统进行信息化管理的广度和深度。</w:t>
            </w:r>
          </w:p>
        </w:tc>
        <w:tc>
          <w:tcPr>
            <w:tcW w:w="1903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现场查看药品管理各环节运用信息系统管理的有效性、规范性和科学性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</w:rPr>
              <w:t>药品在储存环节</w:t>
            </w:r>
            <w:r>
              <w:rPr>
                <w:rFonts w:hint="eastAsia"/>
              </w:rPr>
              <w:t>运用信息系统进行信息化管理的广度和深度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</w:rPr>
              <w:t>药品在调配环节</w:t>
            </w:r>
            <w:r>
              <w:rPr>
                <w:rFonts w:hint="eastAsia"/>
              </w:rPr>
              <w:t>运用信息系统进行信息化管理的广度和深度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4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</w:rPr>
              <w:t>药品在核对环节</w:t>
            </w:r>
            <w:r>
              <w:rPr>
                <w:rFonts w:hint="eastAsia"/>
              </w:rPr>
              <w:t>运用信息系统进行信息化管理的广度和深度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5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</w:rPr>
              <w:t>药品在发放环节</w:t>
            </w:r>
            <w:r>
              <w:rPr>
                <w:rFonts w:hint="eastAsia"/>
              </w:rPr>
              <w:t>运用信息系统进行信息化管理的广度和深度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6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</w:rPr>
              <w:t>药品在使用环节</w:t>
            </w:r>
            <w:r>
              <w:rPr>
                <w:rFonts w:hint="eastAsia"/>
              </w:rPr>
              <w:t>运用信息系统进行信息化管理的广度和深度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7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数据资源利用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与药学服务相关的所有数据的采集和利用</w:t>
            </w:r>
          </w:p>
        </w:tc>
        <w:tc>
          <w:tcPr>
            <w:tcW w:w="1903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现场登录相关信息系统查看数据交换和共享的实时性、准确性和全面性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8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智慧药房数据在医院内的交换和共享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9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智慧药房数据与医院外的交换和共享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10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自动化设备使用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投入使用的所有自动化设备使用的频率</w:t>
            </w:r>
          </w:p>
        </w:tc>
        <w:tc>
          <w:tcPr>
            <w:tcW w:w="1903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现场检查</w:t>
            </w:r>
            <w:r>
              <w:rPr>
                <w:rFonts w:hint="eastAsia" w:ascii="Arial" w:hAnsi="Arial"/>
                <w:color w:val="000000"/>
              </w:rPr>
              <w:t>、体验、试验</w:t>
            </w:r>
            <w:r>
              <w:rPr>
                <w:rFonts w:hint="eastAsia"/>
              </w:rPr>
              <w:t>所有自动化设备的使用情况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11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投入使用的所有自动化设备的工作效率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12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投入使用的所有自动化设备代替人工的程度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13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投入使用的所有自动化设备的应用效益</w:t>
            </w:r>
          </w:p>
        </w:tc>
        <w:tc>
          <w:tcPr>
            <w:tcW w:w="1903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14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环境智能化程度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环境对药品适用性</w:t>
            </w:r>
          </w:p>
        </w:tc>
        <w:tc>
          <w:tcPr>
            <w:tcW w:w="1903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检查环境防止药品发生变质、污染、损坏等的能力和水平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15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环境对人的适用性</w:t>
            </w:r>
          </w:p>
        </w:tc>
        <w:tc>
          <w:tcPr>
            <w:tcW w:w="1903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询问了解工作人员在智慧药房中工作的健康性、舒适性、便利性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16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安全体系化水平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生命财产安全保护水平</w:t>
            </w:r>
          </w:p>
        </w:tc>
        <w:tc>
          <w:tcPr>
            <w:tcW w:w="1903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查验、了解消防系统、安防系统发挥作用情况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17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信息安全保护水平</w:t>
            </w:r>
          </w:p>
        </w:tc>
        <w:tc>
          <w:tcPr>
            <w:tcW w:w="1903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查验、了解信息安全事件的发生情况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18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hAnsi="宋体"/>
              </w:rPr>
              <w:t>满意度调查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信息系统为患者提供服务的维度</w:t>
            </w:r>
          </w:p>
        </w:tc>
        <w:tc>
          <w:tcPr>
            <w:tcW w:w="1903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查验了解</w:t>
            </w:r>
            <w:r>
              <w:rPr>
                <w:rFonts w:hint="eastAsia" w:hAnsi="宋体"/>
              </w:rPr>
              <w:t>服务项目、服务内容、服务方式和服务精准度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19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hAnsi="宋体"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hAnsi="宋体"/>
              </w:rPr>
              <w:t>自动化设备为患者提供服务的精度</w:t>
            </w:r>
          </w:p>
        </w:tc>
        <w:tc>
          <w:tcPr>
            <w:tcW w:w="1903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查验、了解</w:t>
            </w:r>
            <w:r>
              <w:rPr>
                <w:rFonts w:hint="eastAsia" w:hAnsi="宋体"/>
              </w:rPr>
              <w:t>方便性、快捷性和准确性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20</w:t>
            </w:r>
          </w:p>
        </w:tc>
        <w:tc>
          <w:tcPr>
            <w:tcW w:w="474" w:type="dxa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hAnsi="宋体" w:cs="Times New Roman"/>
              </w:rPr>
            </w:pPr>
          </w:p>
        </w:tc>
        <w:tc>
          <w:tcPr>
            <w:tcW w:w="403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rPr>
                <w:rFonts w:ascii="Arial" w:hAnsi="Arial" w:cs="Arial"/>
                <w:color w:val="000000"/>
              </w:rPr>
            </w:pPr>
            <w:r>
              <w:rPr>
                <w:rFonts w:hint="eastAsia" w:ascii="Arial" w:hAnsi="Arial"/>
                <w:color w:val="000000"/>
              </w:rPr>
              <w:t>医护人员对智慧药房建设的满意度</w:t>
            </w:r>
          </w:p>
        </w:tc>
        <w:tc>
          <w:tcPr>
            <w:tcW w:w="1903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随机抽查</w:t>
            </w:r>
            <w:r>
              <w:t>10</w:t>
            </w:r>
            <w:r>
              <w:rPr>
                <w:rFonts w:hint="eastAsia"/>
              </w:rPr>
              <w:t>名以上医护人员进行询问，</w:t>
            </w:r>
            <w:r>
              <w:t>8</w:t>
            </w:r>
            <w:r>
              <w:rPr>
                <w:rFonts w:hint="eastAsia"/>
              </w:rPr>
              <w:t>人以上满意为合格，</w:t>
            </w:r>
            <w:r>
              <w:t>6</w:t>
            </w:r>
            <w:r>
              <w:rPr>
                <w:rFonts w:hint="eastAsia"/>
              </w:rPr>
              <w:t>人</w:t>
            </w:r>
            <w:r>
              <w:t>—7</w:t>
            </w:r>
            <w:r>
              <w:rPr>
                <w:rFonts w:hint="eastAsia"/>
              </w:rPr>
              <w:t>人为基本合格，</w:t>
            </w:r>
            <w:r>
              <w:t>5</w:t>
            </w:r>
            <w:r>
              <w:rPr>
                <w:rFonts w:hint="eastAsia"/>
              </w:rPr>
              <w:t>人以下为不合格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检查结果（合格率）：</w:t>
            </w:r>
          </w:p>
        </w:tc>
        <w:tc>
          <w:tcPr>
            <w:tcW w:w="4603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成效验收结论：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成效验收组（人员）签名：</w:t>
            </w:r>
          </w:p>
        </w:tc>
        <w:tc>
          <w:tcPr>
            <w:tcW w:w="4603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成效验收日期：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540" w:type="dxa"/>
            <w:gridSpan w:val="8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注：</w:t>
            </w:r>
            <w:r>
              <w:t>1.</w:t>
            </w:r>
            <w:r>
              <w:rPr>
                <w:rFonts w:hint="eastAsia"/>
              </w:rPr>
              <w:t>对每一个检查项目抽查比例和检查方法根据现场情况决定。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2.</w:t>
            </w:r>
            <w:r>
              <w:rPr>
                <w:rFonts w:hint="eastAsia"/>
              </w:rPr>
              <w:t>在检查结果栏选符合情况的空格内打“√”，并作为统计数。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3.</w:t>
            </w:r>
            <w:r>
              <w:rPr>
                <w:rFonts w:hint="eastAsia"/>
              </w:rPr>
              <w:t>检查结果：合格率</w:t>
            </w:r>
            <w:r>
              <w:t>=</w:t>
            </w:r>
            <w:r>
              <w:rPr>
                <w:rFonts w:hint="eastAsia"/>
              </w:rPr>
              <w:t>（合格数</w:t>
            </w:r>
            <w:r>
              <w:t>+</w:t>
            </w:r>
            <w:r>
              <w:rPr>
                <w:rFonts w:hint="eastAsia"/>
              </w:rPr>
              <w:t>基本合格数×</w:t>
            </w:r>
            <w:r>
              <w:t>0.6</w:t>
            </w:r>
            <w:r>
              <w:rPr>
                <w:rFonts w:hint="eastAsia"/>
              </w:rPr>
              <w:t>）</w:t>
            </w:r>
            <w:r>
              <w:t>/</w:t>
            </w:r>
            <w:r>
              <w:rPr>
                <w:rFonts w:hint="eastAsia"/>
              </w:rPr>
              <w:t>项目检查数。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4.</w:t>
            </w:r>
            <w:r>
              <w:rPr>
                <w:rFonts w:hint="eastAsia"/>
              </w:rPr>
              <w:t>验收结论：合格率≧</w:t>
            </w:r>
            <w:r>
              <w:t>0.8</w:t>
            </w:r>
            <w:r>
              <w:rPr>
                <w:rFonts w:hint="eastAsia"/>
              </w:rPr>
              <w:t>判为通过；</w:t>
            </w:r>
            <w:r>
              <w:t>0.8</w:t>
            </w:r>
            <w:r>
              <w:rPr>
                <w:rFonts w:hint="eastAsia"/>
              </w:rPr>
              <w:t>﹥合格率≧</w:t>
            </w:r>
            <w:r>
              <w:t>0.6</w:t>
            </w:r>
            <w:r>
              <w:rPr>
                <w:rFonts w:hint="eastAsia"/>
              </w:rPr>
              <w:t>判为基本通过；合格率﹤</w:t>
            </w:r>
            <w:r>
              <w:t>0.6</w:t>
            </w:r>
            <w:r>
              <w:rPr>
                <w:rFonts w:hint="eastAsia"/>
              </w:rPr>
              <w:t>判为不通过。</w:t>
            </w:r>
          </w:p>
        </w:tc>
      </w:tr>
    </w:tbl>
    <w:p>
      <w:pPr>
        <w:pStyle w:val="24"/>
        <w:ind w:firstLine="0" w:firstLineChars="0"/>
        <w:jc w:val="center"/>
        <w:rPr>
          <w:rFonts w:cs="Times New Roman"/>
        </w:rPr>
      </w:pPr>
    </w:p>
    <w:p/>
    <w:p/>
    <w:p/>
    <w:p/>
    <w:p/>
    <w:p/>
    <w:p/>
    <w:p/>
    <w:p/>
    <w:p/>
    <w:p/>
    <w:p/>
    <w:p/>
    <w:p/>
    <w:p/>
    <w:p/>
    <w:p/>
    <w:p>
      <w:pPr>
        <w:pStyle w:val="24"/>
        <w:ind w:firstLine="0" w:firstLineChars="0"/>
        <w:jc w:val="center"/>
      </w:pPr>
      <w:r>
        <w:rPr>
          <w:rFonts w:hint="eastAsia"/>
        </w:rPr>
        <w:t>附</w:t>
      </w:r>
      <w:r>
        <w:t xml:space="preserve">  </w:t>
      </w:r>
      <w:r>
        <w:rPr>
          <w:rFonts w:hint="eastAsia"/>
        </w:rPr>
        <w:t>录</w:t>
      </w:r>
      <w:r>
        <w:t xml:space="preserve">  C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（规范性附录）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资料验收表</w:t>
      </w:r>
    </w:p>
    <w:p>
      <w:pPr>
        <w:pStyle w:val="24"/>
        <w:ind w:firstLine="0" w:firstLineChars="0"/>
        <w:rPr>
          <w:rFonts w:cs="Times New Roman"/>
        </w:rPr>
      </w:pPr>
      <w:r>
        <w:t xml:space="preserve">C.1 </w:t>
      </w:r>
      <w:r>
        <w:rPr>
          <w:rFonts w:hint="eastAsia"/>
        </w:rPr>
        <w:t>资料验收的检查项目见表</w:t>
      </w:r>
      <w:r>
        <w:t>3</w:t>
      </w:r>
    </w:p>
    <w:p>
      <w:pPr>
        <w:pStyle w:val="24"/>
        <w:ind w:firstLine="0" w:firstLineChars="0"/>
        <w:rPr>
          <w:rFonts w:cs="Times New Roman"/>
        </w:rPr>
      </w:pP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表</w:t>
      </w:r>
      <w:r>
        <w:t xml:space="preserve">3 </w:t>
      </w:r>
      <w:r>
        <w:rPr>
          <w:rFonts w:hint="eastAsia"/>
        </w:rPr>
        <w:t>资料验收表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52"/>
        <w:gridCol w:w="1839"/>
        <w:gridCol w:w="2263"/>
        <w:gridCol w:w="1260"/>
        <w:gridCol w:w="72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药房名称</w:t>
            </w:r>
          </w:p>
        </w:tc>
        <w:tc>
          <w:tcPr>
            <w:tcW w:w="8062" w:type="dxa"/>
            <w:gridSpan w:val="6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414" w:type="dxa"/>
            <w:gridSpan w:val="4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检查项目</w:t>
            </w:r>
          </w:p>
        </w:tc>
        <w:tc>
          <w:tcPr>
            <w:tcW w:w="2700" w:type="dxa"/>
            <w:gridSpan w:val="3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查验结果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6414" w:type="dxa"/>
            <w:gridSpan w:val="4"/>
            <w:vMerge w:val="continue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基本合格</w:t>
            </w: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医院对智慧药房建设的支持文件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文件的规范性、完整性和准确性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2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智慧药房建设的规划和方案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规划和方案的规范性、完整性和准确性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3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药房各信息系统的建设文件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</w:t>
            </w:r>
            <w:r>
              <w:t>4</w:t>
            </w:r>
            <w:r>
              <w:rPr>
                <w:rFonts w:hint="eastAsia"/>
              </w:rPr>
              <w:t>以上信息系统的建设合同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4</w:t>
            </w:r>
          </w:p>
        </w:tc>
        <w:tc>
          <w:tcPr>
            <w:tcW w:w="2891" w:type="dxa"/>
            <w:gridSpan w:val="2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</w:t>
            </w:r>
            <w:r>
              <w:t>4</w:t>
            </w:r>
            <w:r>
              <w:rPr>
                <w:rFonts w:hint="eastAsia"/>
              </w:rPr>
              <w:t>以上信息系统的测试报告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5</w:t>
            </w:r>
          </w:p>
        </w:tc>
        <w:tc>
          <w:tcPr>
            <w:tcW w:w="2891" w:type="dxa"/>
            <w:gridSpan w:val="2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</w:t>
            </w:r>
            <w:r>
              <w:t>4</w:t>
            </w:r>
            <w:r>
              <w:rPr>
                <w:rFonts w:hint="eastAsia"/>
              </w:rPr>
              <w:t>以上信息系统的验收报告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6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药房各信息系统的源代码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>个以上信息系统的源代码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7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药房各信息系统的培训记录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培训记录的规范性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8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药房各信息系统的使用手册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使用手册的规范性和完整性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9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药房智能化设备的配置文件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</w:t>
            </w:r>
            <w:r>
              <w:t>5</w:t>
            </w:r>
            <w:r>
              <w:rPr>
                <w:rFonts w:hint="eastAsia"/>
              </w:rPr>
              <w:t>台以上智能化设备采购合同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10</w:t>
            </w:r>
          </w:p>
        </w:tc>
        <w:tc>
          <w:tcPr>
            <w:tcW w:w="2891" w:type="dxa"/>
            <w:gridSpan w:val="2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</w:t>
            </w:r>
            <w:r>
              <w:t>5</w:t>
            </w:r>
            <w:r>
              <w:rPr>
                <w:rFonts w:hint="eastAsia"/>
              </w:rPr>
              <w:t>台以上智能化设备的使用</w:t>
            </w:r>
            <w:r>
              <w:t>/</w:t>
            </w:r>
            <w:r>
              <w:rPr>
                <w:rFonts w:hint="eastAsia"/>
              </w:rPr>
              <w:t>维护手册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11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药房环境智能化系统建设资料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药房环境智能化系统建设合同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12</w:t>
            </w:r>
          </w:p>
        </w:tc>
        <w:tc>
          <w:tcPr>
            <w:tcW w:w="2891" w:type="dxa"/>
            <w:gridSpan w:val="2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药房环境智能化系统功能测试报告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13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药房安全系统建设资料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药房安全系统检验测试报告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6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</w:pPr>
            <w:r>
              <w:t>14</w:t>
            </w:r>
          </w:p>
        </w:tc>
        <w:tc>
          <w:tcPr>
            <w:tcW w:w="2891" w:type="dxa"/>
            <w:gridSpan w:val="2"/>
            <w:vMerge w:val="continue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23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药房安全系统验收资料</w:t>
            </w:r>
          </w:p>
        </w:tc>
        <w:tc>
          <w:tcPr>
            <w:tcW w:w="72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检查结果（合格率）：</w:t>
            </w:r>
          </w:p>
        </w:tc>
        <w:tc>
          <w:tcPr>
            <w:tcW w:w="396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资料验收结论：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资料验收组（人员）签名：</w:t>
            </w:r>
          </w:p>
        </w:tc>
        <w:tc>
          <w:tcPr>
            <w:tcW w:w="396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资料验收日期：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540" w:type="dxa"/>
            <w:gridSpan w:val="8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注：</w:t>
            </w:r>
            <w:r>
              <w:t>1.</w:t>
            </w:r>
            <w:r>
              <w:rPr>
                <w:rFonts w:hint="eastAsia"/>
              </w:rPr>
              <w:t>对每一个检查项目抽查比例和检查方法根据现场情况决定。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2.</w:t>
            </w:r>
            <w:r>
              <w:rPr>
                <w:rFonts w:hint="eastAsia"/>
              </w:rPr>
              <w:t>在检查结果栏选符合情况的空格内打“√”，并作为统计数。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3.</w:t>
            </w:r>
            <w:r>
              <w:rPr>
                <w:rFonts w:hint="eastAsia"/>
              </w:rPr>
              <w:t>检查结果：合格率</w:t>
            </w:r>
            <w:r>
              <w:t>=</w:t>
            </w:r>
            <w:r>
              <w:rPr>
                <w:rFonts w:hint="eastAsia"/>
              </w:rPr>
              <w:t>（合格数</w:t>
            </w:r>
            <w:r>
              <w:t>+</w:t>
            </w:r>
            <w:r>
              <w:rPr>
                <w:rFonts w:hint="eastAsia"/>
              </w:rPr>
              <w:t>基本合格数×</w:t>
            </w:r>
            <w:r>
              <w:t>0.6</w:t>
            </w:r>
            <w:r>
              <w:rPr>
                <w:rFonts w:hint="eastAsia"/>
              </w:rPr>
              <w:t>）</w:t>
            </w:r>
            <w:r>
              <w:t>/</w:t>
            </w:r>
            <w:r>
              <w:rPr>
                <w:rFonts w:hint="eastAsia"/>
              </w:rPr>
              <w:t>项目检查数。</w:t>
            </w:r>
          </w:p>
          <w:p>
            <w:pPr>
              <w:pStyle w:val="24"/>
              <w:widowControl w:val="0"/>
              <w:ind w:firstLine="420" w:firstLineChars="0"/>
              <w:rPr>
                <w:rFonts w:cs="Times New Roman"/>
              </w:rPr>
            </w:pPr>
            <w:r>
              <w:t>4.</w:t>
            </w:r>
            <w:r>
              <w:rPr>
                <w:rFonts w:hint="eastAsia"/>
              </w:rPr>
              <w:t>验收结论：合格率≧</w:t>
            </w:r>
            <w:r>
              <w:t>0.8</w:t>
            </w:r>
            <w:r>
              <w:rPr>
                <w:rFonts w:hint="eastAsia"/>
              </w:rPr>
              <w:t>判为通过；</w:t>
            </w:r>
            <w:r>
              <w:t>0.8</w:t>
            </w:r>
            <w:r>
              <w:rPr>
                <w:rFonts w:hint="eastAsia"/>
              </w:rPr>
              <w:t>﹥合格率≧</w:t>
            </w:r>
            <w:r>
              <w:t>0.6</w:t>
            </w:r>
            <w:r>
              <w:rPr>
                <w:rFonts w:hint="eastAsia"/>
              </w:rPr>
              <w:t>判为基本通过；合格率﹤</w:t>
            </w:r>
            <w:r>
              <w:t>0.6</w:t>
            </w:r>
            <w:r>
              <w:rPr>
                <w:rFonts w:hint="eastAsia"/>
              </w:rPr>
              <w:t>判为不通过。</w:t>
            </w:r>
          </w:p>
        </w:tc>
      </w:tr>
    </w:tbl>
    <w:p>
      <w:pPr>
        <w:pStyle w:val="24"/>
        <w:ind w:firstLine="0" w:firstLineChars="0"/>
        <w:jc w:val="center"/>
        <w:rPr>
          <w:rFonts w:cs="Times New Roman"/>
        </w:rPr>
      </w:pPr>
    </w:p>
    <w:p/>
    <w:p/>
    <w:p/>
    <w:p/>
    <w:p/>
    <w:p>
      <w:pPr>
        <w:pStyle w:val="24"/>
        <w:ind w:firstLine="0" w:firstLineChars="0"/>
        <w:jc w:val="center"/>
      </w:pPr>
      <w:r>
        <w:rPr>
          <w:rFonts w:hint="eastAsia"/>
        </w:rPr>
        <w:t>附</w:t>
      </w:r>
      <w:r>
        <w:t xml:space="preserve">  </w:t>
      </w:r>
      <w:r>
        <w:rPr>
          <w:rFonts w:hint="eastAsia"/>
        </w:rPr>
        <w:t>录</w:t>
      </w:r>
      <w:r>
        <w:t xml:space="preserve">  D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（规范性附录）</w:t>
      </w: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验收结论汇总表</w:t>
      </w:r>
    </w:p>
    <w:p>
      <w:pPr>
        <w:pStyle w:val="24"/>
        <w:ind w:firstLine="0" w:firstLineChars="0"/>
        <w:rPr>
          <w:rFonts w:cs="Times New Roman"/>
        </w:rPr>
      </w:pPr>
      <w:r>
        <w:t xml:space="preserve">D.1 </w:t>
      </w:r>
      <w:r>
        <w:rPr>
          <w:rFonts w:hint="eastAsia"/>
        </w:rPr>
        <w:t>验收结论汇总表见表</w:t>
      </w:r>
      <w:r>
        <w:t>4</w:t>
      </w:r>
    </w:p>
    <w:p>
      <w:pPr>
        <w:pStyle w:val="24"/>
        <w:ind w:firstLine="0" w:firstLineChars="0"/>
        <w:rPr>
          <w:rFonts w:cs="Times New Roman"/>
        </w:rPr>
      </w:pPr>
    </w:p>
    <w:p>
      <w:pPr>
        <w:pStyle w:val="24"/>
        <w:ind w:firstLine="0" w:firstLineChars="0"/>
        <w:jc w:val="center"/>
        <w:rPr>
          <w:rFonts w:cs="Times New Roman"/>
        </w:rPr>
      </w:pPr>
      <w:r>
        <w:rPr>
          <w:rFonts w:hint="eastAsia"/>
        </w:rPr>
        <w:t>表</w:t>
      </w:r>
      <w:r>
        <w:t xml:space="preserve">4   </w:t>
      </w:r>
      <w:r>
        <w:rPr>
          <w:rFonts w:hint="eastAsia"/>
        </w:rPr>
        <w:t>验收结论汇总表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579"/>
        <w:gridCol w:w="2340"/>
        <w:gridCol w:w="5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药房名称</w:t>
            </w:r>
          </w:p>
        </w:tc>
        <w:tc>
          <w:tcPr>
            <w:tcW w:w="8062" w:type="dxa"/>
            <w:gridSpan w:val="3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建设验收结论</w:t>
            </w:r>
          </w:p>
        </w:tc>
        <w:tc>
          <w:tcPr>
            <w:tcW w:w="2340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5143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验收人签名：</w:t>
            </w: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成效验收结论</w:t>
            </w:r>
          </w:p>
        </w:tc>
        <w:tc>
          <w:tcPr>
            <w:tcW w:w="2340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5143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验收人签名：</w:t>
            </w: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资料验收结论</w:t>
            </w:r>
          </w:p>
        </w:tc>
        <w:tc>
          <w:tcPr>
            <w:tcW w:w="2340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5143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验收人签名：</w:t>
            </w: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智慧药房验收结论</w:t>
            </w:r>
          </w:p>
        </w:tc>
        <w:tc>
          <w:tcPr>
            <w:tcW w:w="2340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5143" w:type="dxa"/>
            <w:vAlign w:val="center"/>
          </w:tcPr>
          <w:p>
            <w:pPr>
              <w:pStyle w:val="24"/>
              <w:widowControl w:val="0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验收组长签名：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  <w:jc w:val="center"/>
        </w:trPr>
        <w:tc>
          <w:tcPr>
            <w:tcW w:w="9540" w:type="dxa"/>
            <w:gridSpan w:val="4"/>
          </w:tcPr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rPr>
                <w:rFonts w:hint="eastAsia"/>
              </w:rPr>
              <w:t>建议与要求：</w:t>
            </w: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</w:p>
          <w:p>
            <w:pPr>
              <w:pStyle w:val="24"/>
              <w:widowControl w:val="0"/>
              <w:ind w:firstLine="0" w:firstLineChars="0"/>
              <w:rPr>
                <w:rFonts w:cs="Times New Roman"/>
              </w:rPr>
            </w:pPr>
            <w:r>
              <w:t xml:space="preserve">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F9F"/>
    <w:multiLevelType w:val="multilevel"/>
    <w:tmpl w:val="10011F9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color w:val="000000"/>
      </w:rPr>
    </w:lvl>
    <w:lvl w:ilvl="2" w:tentative="0">
      <w:start w:val="1"/>
      <w:numFmt w:val="lowerLetter"/>
      <w:lvlText w:val="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4C2B91"/>
    <w:multiLevelType w:val="multilevel"/>
    <w:tmpl w:val="5F4C2B91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38"/>
      <w:suff w:val="nothing"/>
      <w:lvlText w:val="%1"/>
      <w:lvlJc w:val="left"/>
      <w:rPr>
        <w:rFonts w:hint="default" w:ascii="Times New Roman" w:hAnsi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41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43"/>
      <w:suff w:val="nothing"/>
      <w:lvlText w:val="%1%2.%3　"/>
      <w:lvlJc w:val="left"/>
      <w:pPr>
        <w:ind w:left="126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8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Y_MEDREF_DOCUID" w:val="{93FCA516-3116-47C5-B95D-6DA3DBAAD2A5}"/>
    <w:docVar w:name="KY_MEDREF_VERSION" w:val="3"/>
  </w:docVars>
  <w:rsids>
    <w:rsidRoot w:val="00EC4D0D"/>
    <w:rsid w:val="0000149D"/>
    <w:rsid w:val="00004495"/>
    <w:rsid w:val="00014D98"/>
    <w:rsid w:val="00020165"/>
    <w:rsid w:val="00021B4B"/>
    <w:rsid w:val="00025303"/>
    <w:rsid w:val="0002766B"/>
    <w:rsid w:val="000351CB"/>
    <w:rsid w:val="000364D2"/>
    <w:rsid w:val="0003668C"/>
    <w:rsid w:val="000401A6"/>
    <w:rsid w:val="000422D3"/>
    <w:rsid w:val="000436A7"/>
    <w:rsid w:val="0004514C"/>
    <w:rsid w:val="000468E4"/>
    <w:rsid w:val="00047B06"/>
    <w:rsid w:val="00053445"/>
    <w:rsid w:val="000572D6"/>
    <w:rsid w:val="000632CD"/>
    <w:rsid w:val="0006398F"/>
    <w:rsid w:val="00064C1A"/>
    <w:rsid w:val="00065DD5"/>
    <w:rsid w:val="000678B0"/>
    <w:rsid w:val="00070A36"/>
    <w:rsid w:val="00075771"/>
    <w:rsid w:val="000762A4"/>
    <w:rsid w:val="00076ABD"/>
    <w:rsid w:val="00081677"/>
    <w:rsid w:val="00081D21"/>
    <w:rsid w:val="000907BF"/>
    <w:rsid w:val="00092B99"/>
    <w:rsid w:val="000933C7"/>
    <w:rsid w:val="00094C05"/>
    <w:rsid w:val="00095A6B"/>
    <w:rsid w:val="00097E17"/>
    <w:rsid w:val="000A3F53"/>
    <w:rsid w:val="000B0833"/>
    <w:rsid w:val="000B0A7E"/>
    <w:rsid w:val="000B0AC6"/>
    <w:rsid w:val="000B10F1"/>
    <w:rsid w:val="000B18C9"/>
    <w:rsid w:val="000C2731"/>
    <w:rsid w:val="000C3CC7"/>
    <w:rsid w:val="000C4F09"/>
    <w:rsid w:val="000D0A03"/>
    <w:rsid w:val="000D13C1"/>
    <w:rsid w:val="000D6EF0"/>
    <w:rsid w:val="000E5D05"/>
    <w:rsid w:val="000F3E2B"/>
    <w:rsid w:val="0011131C"/>
    <w:rsid w:val="00113F22"/>
    <w:rsid w:val="00115DB3"/>
    <w:rsid w:val="00120F09"/>
    <w:rsid w:val="00125C38"/>
    <w:rsid w:val="001434D1"/>
    <w:rsid w:val="001444CD"/>
    <w:rsid w:val="001732E0"/>
    <w:rsid w:val="0017463A"/>
    <w:rsid w:val="00180738"/>
    <w:rsid w:val="0018209C"/>
    <w:rsid w:val="001907DC"/>
    <w:rsid w:val="00195917"/>
    <w:rsid w:val="001A1025"/>
    <w:rsid w:val="001A1847"/>
    <w:rsid w:val="001A1A65"/>
    <w:rsid w:val="001A33C6"/>
    <w:rsid w:val="001B4DDB"/>
    <w:rsid w:val="001B7210"/>
    <w:rsid w:val="001C1D93"/>
    <w:rsid w:val="001C5FA4"/>
    <w:rsid w:val="001C68E3"/>
    <w:rsid w:val="001C6BEB"/>
    <w:rsid w:val="001D0892"/>
    <w:rsid w:val="001D236A"/>
    <w:rsid w:val="001D5832"/>
    <w:rsid w:val="001E2520"/>
    <w:rsid w:val="001E5EE9"/>
    <w:rsid w:val="001E636E"/>
    <w:rsid w:val="001E68F0"/>
    <w:rsid w:val="001F1C14"/>
    <w:rsid w:val="001F43F0"/>
    <w:rsid w:val="001F58DB"/>
    <w:rsid w:val="001F680B"/>
    <w:rsid w:val="002010AD"/>
    <w:rsid w:val="00205109"/>
    <w:rsid w:val="002108B9"/>
    <w:rsid w:val="0021188C"/>
    <w:rsid w:val="00213B6D"/>
    <w:rsid w:val="00215BDC"/>
    <w:rsid w:val="00223FE1"/>
    <w:rsid w:val="002265E3"/>
    <w:rsid w:val="00226E27"/>
    <w:rsid w:val="00233EEC"/>
    <w:rsid w:val="00246435"/>
    <w:rsid w:val="002507C4"/>
    <w:rsid w:val="0025085E"/>
    <w:rsid w:val="00250A9C"/>
    <w:rsid w:val="0025150A"/>
    <w:rsid w:val="00260D2E"/>
    <w:rsid w:val="00261DE7"/>
    <w:rsid w:val="002629C5"/>
    <w:rsid w:val="00266DAC"/>
    <w:rsid w:val="0027192C"/>
    <w:rsid w:val="002739F8"/>
    <w:rsid w:val="002779BD"/>
    <w:rsid w:val="00286300"/>
    <w:rsid w:val="00290FB8"/>
    <w:rsid w:val="002910AC"/>
    <w:rsid w:val="00291BBF"/>
    <w:rsid w:val="00292D1B"/>
    <w:rsid w:val="002948E4"/>
    <w:rsid w:val="0029561A"/>
    <w:rsid w:val="002968F3"/>
    <w:rsid w:val="002A3673"/>
    <w:rsid w:val="002A4971"/>
    <w:rsid w:val="002A70C7"/>
    <w:rsid w:val="002B3AEC"/>
    <w:rsid w:val="002B5410"/>
    <w:rsid w:val="002D32B7"/>
    <w:rsid w:val="002F0517"/>
    <w:rsid w:val="002F15AD"/>
    <w:rsid w:val="002F29BA"/>
    <w:rsid w:val="002F3E35"/>
    <w:rsid w:val="002F490D"/>
    <w:rsid w:val="003071C9"/>
    <w:rsid w:val="00313247"/>
    <w:rsid w:val="00314289"/>
    <w:rsid w:val="00317FC3"/>
    <w:rsid w:val="003214A0"/>
    <w:rsid w:val="0032662C"/>
    <w:rsid w:val="003273E7"/>
    <w:rsid w:val="0034343F"/>
    <w:rsid w:val="00350C38"/>
    <w:rsid w:val="003511A7"/>
    <w:rsid w:val="00351DC6"/>
    <w:rsid w:val="00354A95"/>
    <w:rsid w:val="00364FE4"/>
    <w:rsid w:val="003729CF"/>
    <w:rsid w:val="00374438"/>
    <w:rsid w:val="00385CF4"/>
    <w:rsid w:val="0039330B"/>
    <w:rsid w:val="00394C5C"/>
    <w:rsid w:val="003A06B0"/>
    <w:rsid w:val="003A362A"/>
    <w:rsid w:val="003A6D05"/>
    <w:rsid w:val="003B46C2"/>
    <w:rsid w:val="003B671E"/>
    <w:rsid w:val="003C0479"/>
    <w:rsid w:val="003C4F36"/>
    <w:rsid w:val="003C7033"/>
    <w:rsid w:val="003C75ED"/>
    <w:rsid w:val="003D24A9"/>
    <w:rsid w:val="003D2810"/>
    <w:rsid w:val="003D4EA5"/>
    <w:rsid w:val="003D7C59"/>
    <w:rsid w:val="003E1752"/>
    <w:rsid w:val="003E433D"/>
    <w:rsid w:val="003E4CA6"/>
    <w:rsid w:val="003E5227"/>
    <w:rsid w:val="003E5791"/>
    <w:rsid w:val="003F3469"/>
    <w:rsid w:val="003F36F9"/>
    <w:rsid w:val="003F7825"/>
    <w:rsid w:val="004015AA"/>
    <w:rsid w:val="004016AA"/>
    <w:rsid w:val="004023A3"/>
    <w:rsid w:val="004034DA"/>
    <w:rsid w:val="00404F43"/>
    <w:rsid w:val="00416991"/>
    <w:rsid w:val="00423638"/>
    <w:rsid w:val="004237C2"/>
    <w:rsid w:val="00431B5A"/>
    <w:rsid w:val="004329C9"/>
    <w:rsid w:val="00435532"/>
    <w:rsid w:val="004403DF"/>
    <w:rsid w:val="00460FF3"/>
    <w:rsid w:val="00484EC6"/>
    <w:rsid w:val="0048595B"/>
    <w:rsid w:val="004A050D"/>
    <w:rsid w:val="004A20A8"/>
    <w:rsid w:val="004A5003"/>
    <w:rsid w:val="004A68A7"/>
    <w:rsid w:val="004A6C4D"/>
    <w:rsid w:val="004A729E"/>
    <w:rsid w:val="004B06CB"/>
    <w:rsid w:val="004B0748"/>
    <w:rsid w:val="004B13C2"/>
    <w:rsid w:val="004B60DD"/>
    <w:rsid w:val="004B7FBB"/>
    <w:rsid w:val="004C04A3"/>
    <w:rsid w:val="004D3ED3"/>
    <w:rsid w:val="004E22B1"/>
    <w:rsid w:val="004E3F47"/>
    <w:rsid w:val="004E7148"/>
    <w:rsid w:val="004F28EC"/>
    <w:rsid w:val="004F2A4E"/>
    <w:rsid w:val="004F3268"/>
    <w:rsid w:val="004F4BBB"/>
    <w:rsid w:val="004F6154"/>
    <w:rsid w:val="00500E82"/>
    <w:rsid w:val="00502BB2"/>
    <w:rsid w:val="00502E6E"/>
    <w:rsid w:val="00520873"/>
    <w:rsid w:val="00530951"/>
    <w:rsid w:val="0053287A"/>
    <w:rsid w:val="00537A29"/>
    <w:rsid w:val="005562BA"/>
    <w:rsid w:val="00556E40"/>
    <w:rsid w:val="00560A15"/>
    <w:rsid w:val="00575077"/>
    <w:rsid w:val="00580DFB"/>
    <w:rsid w:val="005819B1"/>
    <w:rsid w:val="00582F38"/>
    <w:rsid w:val="0059008C"/>
    <w:rsid w:val="00593C3F"/>
    <w:rsid w:val="005962D6"/>
    <w:rsid w:val="005A0671"/>
    <w:rsid w:val="005A2860"/>
    <w:rsid w:val="005B299B"/>
    <w:rsid w:val="005C121F"/>
    <w:rsid w:val="005C478B"/>
    <w:rsid w:val="005C7882"/>
    <w:rsid w:val="005D3655"/>
    <w:rsid w:val="005E4830"/>
    <w:rsid w:val="005F0130"/>
    <w:rsid w:val="005F4950"/>
    <w:rsid w:val="005F7256"/>
    <w:rsid w:val="00602726"/>
    <w:rsid w:val="00603E7C"/>
    <w:rsid w:val="006063C7"/>
    <w:rsid w:val="00610955"/>
    <w:rsid w:val="00611DE4"/>
    <w:rsid w:val="0061277E"/>
    <w:rsid w:val="00612D98"/>
    <w:rsid w:val="00614EA8"/>
    <w:rsid w:val="00616FB8"/>
    <w:rsid w:val="00620906"/>
    <w:rsid w:val="0062101C"/>
    <w:rsid w:val="00622AF9"/>
    <w:rsid w:val="00631194"/>
    <w:rsid w:val="006342D8"/>
    <w:rsid w:val="00637F19"/>
    <w:rsid w:val="00640470"/>
    <w:rsid w:val="00655A92"/>
    <w:rsid w:val="00662CC1"/>
    <w:rsid w:val="00663AA6"/>
    <w:rsid w:val="00663C5E"/>
    <w:rsid w:val="00664C91"/>
    <w:rsid w:val="00665CA9"/>
    <w:rsid w:val="006808B0"/>
    <w:rsid w:val="00684D15"/>
    <w:rsid w:val="00690003"/>
    <w:rsid w:val="00694CC4"/>
    <w:rsid w:val="006A45A0"/>
    <w:rsid w:val="006A5FFD"/>
    <w:rsid w:val="006A7280"/>
    <w:rsid w:val="006B03D2"/>
    <w:rsid w:val="006B0ABA"/>
    <w:rsid w:val="006B29A8"/>
    <w:rsid w:val="006B2AD9"/>
    <w:rsid w:val="006B49AD"/>
    <w:rsid w:val="006C1B99"/>
    <w:rsid w:val="006C291B"/>
    <w:rsid w:val="006C5377"/>
    <w:rsid w:val="006C6643"/>
    <w:rsid w:val="006D03B9"/>
    <w:rsid w:val="006D1285"/>
    <w:rsid w:val="006D19FD"/>
    <w:rsid w:val="006D4662"/>
    <w:rsid w:val="006D4CFC"/>
    <w:rsid w:val="006D7960"/>
    <w:rsid w:val="006E14E1"/>
    <w:rsid w:val="006E3E6C"/>
    <w:rsid w:val="006E48D1"/>
    <w:rsid w:val="006E5062"/>
    <w:rsid w:val="006F775D"/>
    <w:rsid w:val="00706072"/>
    <w:rsid w:val="007072A4"/>
    <w:rsid w:val="00707515"/>
    <w:rsid w:val="00710579"/>
    <w:rsid w:val="00710704"/>
    <w:rsid w:val="007110BE"/>
    <w:rsid w:val="0071140E"/>
    <w:rsid w:val="00713DDA"/>
    <w:rsid w:val="00733020"/>
    <w:rsid w:val="00735BD0"/>
    <w:rsid w:val="0074116C"/>
    <w:rsid w:val="00743B4C"/>
    <w:rsid w:val="007456FC"/>
    <w:rsid w:val="007474BA"/>
    <w:rsid w:val="007561A5"/>
    <w:rsid w:val="00761729"/>
    <w:rsid w:val="007644C3"/>
    <w:rsid w:val="00770C84"/>
    <w:rsid w:val="007752E0"/>
    <w:rsid w:val="0077632C"/>
    <w:rsid w:val="00776CBF"/>
    <w:rsid w:val="007826ED"/>
    <w:rsid w:val="00784356"/>
    <w:rsid w:val="00787A1B"/>
    <w:rsid w:val="00792037"/>
    <w:rsid w:val="007927D1"/>
    <w:rsid w:val="00794D5D"/>
    <w:rsid w:val="007958E5"/>
    <w:rsid w:val="0079619B"/>
    <w:rsid w:val="007A71C0"/>
    <w:rsid w:val="007B0479"/>
    <w:rsid w:val="007B053D"/>
    <w:rsid w:val="007B0A8C"/>
    <w:rsid w:val="007B1DF6"/>
    <w:rsid w:val="007B4386"/>
    <w:rsid w:val="007C2F59"/>
    <w:rsid w:val="007C53AE"/>
    <w:rsid w:val="007E25FA"/>
    <w:rsid w:val="007E7B5A"/>
    <w:rsid w:val="007F61B4"/>
    <w:rsid w:val="007F6547"/>
    <w:rsid w:val="00801710"/>
    <w:rsid w:val="00802632"/>
    <w:rsid w:val="008044F3"/>
    <w:rsid w:val="008078EC"/>
    <w:rsid w:val="00807EDB"/>
    <w:rsid w:val="0081177B"/>
    <w:rsid w:val="00815BE6"/>
    <w:rsid w:val="00820A15"/>
    <w:rsid w:val="0082416D"/>
    <w:rsid w:val="00826CB4"/>
    <w:rsid w:val="0082784D"/>
    <w:rsid w:val="0083079F"/>
    <w:rsid w:val="0083533E"/>
    <w:rsid w:val="00845188"/>
    <w:rsid w:val="008464E3"/>
    <w:rsid w:val="008469A7"/>
    <w:rsid w:val="00850A84"/>
    <w:rsid w:val="0085222A"/>
    <w:rsid w:val="00852413"/>
    <w:rsid w:val="0085452D"/>
    <w:rsid w:val="00854636"/>
    <w:rsid w:val="00855BA4"/>
    <w:rsid w:val="00860329"/>
    <w:rsid w:val="00860F82"/>
    <w:rsid w:val="00863CD0"/>
    <w:rsid w:val="00873273"/>
    <w:rsid w:val="00874165"/>
    <w:rsid w:val="00884570"/>
    <w:rsid w:val="00891753"/>
    <w:rsid w:val="00891A0F"/>
    <w:rsid w:val="00892366"/>
    <w:rsid w:val="0089343B"/>
    <w:rsid w:val="008A1156"/>
    <w:rsid w:val="008A5E08"/>
    <w:rsid w:val="008B1B82"/>
    <w:rsid w:val="008B2F24"/>
    <w:rsid w:val="008B6994"/>
    <w:rsid w:val="008C1157"/>
    <w:rsid w:val="008C24C5"/>
    <w:rsid w:val="008C26B2"/>
    <w:rsid w:val="008C7ECA"/>
    <w:rsid w:val="008D7930"/>
    <w:rsid w:val="008E6477"/>
    <w:rsid w:val="008F1D2B"/>
    <w:rsid w:val="008F69C4"/>
    <w:rsid w:val="00900109"/>
    <w:rsid w:val="00900C0B"/>
    <w:rsid w:val="00901C49"/>
    <w:rsid w:val="00903A8F"/>
    <w:rsid w:val="00903BEA"/>
    <w:rsid w:val="00906260"/>
    <w:rsid w:val="00913E03"/>
    <w:rsid w:val="00916F69"/>
    <w:rsid w:val="00921E14"/>
    <w:rsid w:val="00922CF9"/>
    <w:rsid w:val="00924405"/>
    <w:rsid w:val="00926953"/>
    <w:rsid w:val="009301C4"/>
    <w:rsid w:val="009445C3"/>
    <w:rsid w:val="00947529"/>
    <w:rsid w:val="009510FE"/>
    <w:rsid w:val="00954BA7"/>
    <w:rsid w:val="00975DC3"/>
    <w:rsid w:val="009807EA"/>
    <w:rsid w:val="00981CD4"/>
    <w:rsid w:val="00983BE3"/>
    <w:rsid w:val="00983D2F"/>
    <w:rsid w:val="0099414C"/>
    <w:rsid w:val="009A267D"/>
    <w:rsid w:val="009A3E67"/>
    <w:rsid w:val="009A443B"/>
    <w:rsid w:val="009A4D15"/>
    <w:rsid w:val="009A7163"/>
    <w:rsid w:val="009A72A7"/>
    <w:rsid w:val="009B2E15"/>
    <w:rsid w:val="009B5E84"/>
    <w:rsid w:val="009C0A50"/>
    <w:rsid w:val="009C1ED9"/>
    <w:rsid w:val="009C4220"/>
    <w:rsid w:val="009D1032"/>
    <w:rsid w:val="009E0435"/>
    <w:rsid w:val="009E095D"/>
    <w:rsid w:val="009E11C5"/>
    <w:rsid w:val="00A00F84"/>
    <w:rsid w:val="00A0110B"/>
    <w:rsid w:val="00A032E1"/>
    <w:rsid w:val="00A11179"/>
    <w:rsid w:val="00A11BF3"/>
    <w:rsid w:val="00A1767B"/>
    <w:rsid w:val="00A24222"/>
    <w:rsid w:val="00A33398"/>
    <w:rsid w:val="00A34C52"/>
    <w:rsid w:val="00A40D23"/>
    <w:rsid w:val="00A4167B"/>
    <w:rsid w:val="00A44B67"/>
    <w:rsid w:val="00A45FCA"/>
    <w:rsid w:val="00A5051F"/>
    <w:rsid w:val="00A50C18"/>
    <w:rsid w:val="00A538A1"/>
    <w:rsid w:val="00A54836"/>
    <w:rsid w:val="00A60CB9"/>
    <w:rsid w:val="00A70154"/>
    <w:rsid w:val="00A724B9"/>
    <w:rsid w:val="00A83174"/>
    <w:rsid w:val="00A879D4"/>
    <w:rsid w:val="00A9029C"/>
    <w:rsid w:val="00A95235"/>
    <w:rsid w:val="00A9719F"/>
    <w:rsid w:val="00AA662E"/>
    <w:rsid w:val="00AA6EB8"/>
    <w:rsid w:val="00AA7137"/>
    <w:rsid w:val="00AC18FB"/>
    <w:rsid w:val="00AC2A5F"/>
    <w:rsid w:val="00AD0A13"/>
    <w:rsid w:val="00AD2EA5"/>
    <w:rsid w:val="00AD7410"/>
    <w:rsid w:val="00AD7A5B"/>
    <w:rsid w:val="00AE04AE"/>
    <w:rsid w:val="00AF0A7D"/>
    <w:rsid w:val="00AF4183"/>
    <w:rsid w:val="00AF4D78"/>
    <w:rsid w:val="00AF592F"/>
    <w:rsid w:val="00B00076"/>
    <w:rsid w:val="00B06D76"/>
    <w:rsid w:val="00B11613"/>
    <w:rsid w:val="00B1462F"/>
    <w:rsid w:val="00B14F1A"/>
    <w:rsid w:val="00B15D66"/>
    <w:rsid w:val="00B16900"/>
    <w:rsid w:val="00B21E39"/>
    <w:rsid w:val="00B25E4A"/>
    <w:rsid w:val="00B5036F"/>
    <w:rsid w:val="00B50B7C"/>
    <w:rsid w:val="00B646B3"/>
    <w:rsid w:val="00B65B4F"/>
    <w:rsid w:val="00B702CA"/>
    <w:rsid w:val="00B8035C"/>
    <w:rsid w:val="00B85A7C"/>
    <w:rsid w:val="00BA396A"/>
    <w:rsid w:val="00BB3D20"/>
    <w:rsid w:val="00BB6DA4"/>
    <w:rsid w:val="00BB7511"/>
    <w:rsid w:val="00BC1AA0"/>
    <w:rsid w:val="00BC33AD"/>
    <w:rsid w:val="00BC73C9"/>
    <w:rsid w:val="00BC7615"/>
    <w:rsid w:val="00BD1AFD"/>
    <w:rsid w:val="00BD674B"/>
    <w:rsid w:val="00BE22C1"/>
    <w:rsid w:val="00BE2F7F"/>
    <w:rsid w:val="00BE36E1"/>
    <w:rsid w:val="00BE479A"/>
    <w:rsid w:val="00BE57F2"/>
    <w:rsid w:val="00BE77FA"/>
    <w:rsid w:val="00BF159D"/>
    <w:rsid w:val="00BF20B9"/>
    <w:rsid w:val="00BF3853"/>
    <w:rsid w:val="00BF601D"/>
    <w:rsid w:val="00BF6521"/>
    <w:rsid w:val="00C0031F"/>
    <w:rsid w:val="00C02C8A"/>
    <w:rsid w:val="00C1077E"/>
    <w:rsid w:val="00C26583"/>
    <w:rsid w:val="00C3030F"/>
    <w:rsid w:val="00C32235"/>
    <w:rsid w:val="00C32B98"/>
    <w:rsid w:val="00C33AF1"/>
    <w:rsid w:val="00C33EE0"/>
    <w:rsid w:val="00C3757A"/>
    <w:rsid w:val="00C42843"/>
    <w:rsid w:val="00C435DA"/>
    <w:rsid w:val="00C535E9"/>
    <w:rsid w:val="00C54A43"/>
    <w:rsid w:val="00C6009C"/>
    <w:rsid w:val="00C63126"/>
    <w:rsid w:val="00C67B11"/>
    <w:rsid w:val="00C70D06"/>
    <w:rsid w:val="00C71C22"/>
    <w:rsid w:val="00C73701"/>
    <w:rsid w:val="00C741D6"/>
    <w:rsid w:val="00C770FC"/>
    <w:rsid w:val="00C80B1C"/>
    <w:rsid w:val="00C81AA1"/>
    <w:rsid w:val="00C81E0C"/>
    <w:rsid w:val="00C831D5"/>
    <w:rsid w:val="00C866C4"/>
    <w:rsid w:val="00C8736C"/>
    <w:rsid w:val="00C92F6C"/>
    <w:rsid w:val="00CA0B39"/>
    <w:rsid w:val="00CA4EA9"/>
    <w:rsid w:val="00CA5B02"/>
    <w:rsid w:val="00CC07AA"/>
    <w:rsid w:val="00CC237C"/>
    <w:rsid w:val="00CC3086"/>
    <w:rsid w:val="00CC7C9A"/>
    <w:rsid w:val="00CD12C6"/>
    <w:rsid w:val="00CD28C0"/>
    <w:rsid w:val="00CD4BAE"/>
    <w:rsid w:val="00CE1AF4"/>
    <w:rsid w:val="00CE662F"/>
    <w:rsid w:val="00CE6D1F"/>
    <w:rsid w:val="00CF3119"/>
    <w:rsid w:val="00D03C53"/>
    <w:rsid w:val="00D0670C"/>
    <w:rsid w:val="00D10133"/>
    <w:rsid w:val="00D147C3"/>
    <w:rsid w:val="00D16B8C"/>
    <w:rsid w:val="00D23C14"/>
    <w:rsid w:val="00D4545C"/>
    <w:rsid w:val="00D4743C"/>
    <w:rsid w:val="00D52450"/>
    <w:rsid w:val="00D52B49"/>
    <w:rsid w:val="00D566F8"/>
    <w:rsid w:val="00D702B1"/>
    <w:rsid w:val="00D712E5"/>
    <w:rsid w:val="00D742A8"/>
    <w:rsid w:val="00D75F87"/>
    <w:rsid w:val="00D84590"/>
    <w:rsid w:val="00D90EB8"/>
    <w:rsid w:val="00D935B1"/>
    <w:rsid w:val="00DA31C8"/>
    <w:rsid w:val="00DA4A86"/>
    <w:rsid w:val="00DB0832"/>
    <w:rsid w:val="00DB090E"/>
    <w:rsid w:val="00DC117A"/>
    <w:rsid w:val="00DC691C"/>
    <w:rsid w:val="00DE0267"/>
    <w:rsid w:val="00DE032D"/>
    <w:rsid w:val="00DF0A2A"/>
    <w:rsid w:val="00DF4DF3"/>
    <w:rsid w:val="00DF66F7"/>
    <w:rsid w:val="00E0500F"/>
    <w:rsid w:val="00E126CE"/>
    <w:rsid w:val="00E131CC"/>
    <w:rsid w:val="00E156F1"/>
    <w:rsid w:val="00E2481C"/>
    <w:rsid w:val="00E25543"/>
    <w:rsid w:val="00E256C2"/>
    <w:rsid w:val="00E25979"/>
    <w:rsid w:val="00E26C87"/>
    <w:rsid w:val="00E27FB4"/>
    <w:rsid w:val="00E3048D"/>
    <w:rsid w:val="00E3211A"/>
    <w:rsid w:val="00E346BA"/>
    <w:rsid w:val="00E360DA"/>
    <w:rsid w:val="00E36337"/>
    <w:rsid w:val="00E41464"/>
    <w:rsid w:val="00E420AD"/>
    <w:rsid w:val="00E44D9F"/>
    <w:rsid w:val="00E457CC"/>
    <w:rsid w:val="00E5290A"/>
    <w:rsid w:val="00E621DB"/>
    <w:rsid w:val="00E65AAC"/>
    <w:rsid w:val="00E71822"/>
    <w:rsid w:val="00E75532"/>
    <w:rsid w:val="00E75E8F"/>
    <w:rsid w:val="00E905F6"/>
    <w:rsid w:val="00E906B1"/>
    <w:rsid w:val="00E917F7"/>
    <w:rsid w:val="00E94CCF"/>
    <w:rsid w:val="00E96919"/>
    <w:rsid w:val="00EA0D80"/>
    <w:rsid w:val="00EA61E4"/>
    <w:rsid w:val="00EB170F"/>
    <w:rsid w:val="00EC294A"/>
    <w:rsid w:val="00EC4D0D"/>
    <w:rsid w:val="00ED186B"/>
    <w:rsid w:val="00EE45E8"/>
    <w:rsid w:val="00EE464F"/>
    <w:rsid w:val="00EF1BB2"/>
    <w:rsid w:val="00EF583F"/>
    <w:rsid w:val="00EF60D2"/>
    <w:rsid w:val="00F00ECC"/>
    <w:rsid w:val="00F05A52"/>
    <w:rsid w:val="00F15AB6"/>
    <w:rsid w:val="00F21D44"/>
    <w:rsid w:val="00F2502C"/>
    <w:rsid w:val="00F25149"/>
    <w:rsid w:val="00F25841"/>
    <w:rsid w:val="00F31871"/>
    <w:rsid w:val="00F3349E"/>
    <w:rsid w:val="00F41691"/>
    <w:rsid w:val="00F50072"/>
    <w:rsid w:val="00F50C47"/>
    <w:rsid w:val="00F53469"/>
    <w:rsid w:val="00F57051"/>
    <w:rsid w:val="00F621CC"/>
    <w:rsid w:val="00F64937"/>
    <w:rsid w:val="00F72A79"/>
    <w:rsid w:val="00F7369D"/>
    <w:rsid w:val="00F816EB"/>
    <w:rsid w:val="00F82CDB"/>
    <w:rsid w:val="00F8457F"/>
    <w:rsid w:val="00F85AA5"/>
    <w:rsid w:val="00F935EF"/>
    <w:rsid w:val="00F95A8E"/>
    <w:rsid w:val="00F95F48"/>
    <w:rsid w:val="00FA0C3E"/>
    <w:rsid w:val="00FB3012"/>
    <w:rsid w:val="00FB4BA3"/>
    <w:rsid w:val="00FC380F"/>
    <w:rsid w:val="00FD67B1"/>
    <w:rsid w:val="00FD7789"/>
    <w:rsid w:val="00FD7AE5"/>
    <w:rsid w:val="00FE117B"/>
    <w:rsid w:val="00FE255F"/>
    <w:rsid w:val="00FE2E8E"/>
    <w:rsid w:val="00FE31C4"/>
    <w:rsid w:val="00FE78A8"/>
    <w:rsid w:val="00FF18BE"/>
    <w:rsid w:val="00FF2AAC"/>
    <w:rsid w:val="05C1610B"/>
    <w:rsid w:val="1E127F80"/>
    <w:rsid w:val="1EFE2955"/>
    <w:rsid w:val="224C3F89"/>
    <w:rsid w:val="29CC2FE8"/>
    <w:rsid w:val="2E514009"/>
    <w:rsid w:val="37C70004"/>
    <w:rsid w:val="39D52934"/>
    <w:rsid w:val="521206F4"/>
    <w:rsid w:val="5A974BF1"/>
    <w:rsid w:val="62E556E7"/>
    <w:rsid w:val="67FB74A2"/>
    <w:rsid w:val="7A3B118A"/>
    <w:rsid w:val="7A71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nhideWhenUsed="0" w:uiPriority="99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99"/>
    <w:pPr>
      <w:jc w:val="left"/>
    </w:pPr>
  </w:style>
  <w:style w:type="paragraph" w:styleId="4">
    <w:name w:val="Date"/>
    <w:basedOn w:val="1"/>
    <w:next w:val="1"/>
    <w:link w:val="18"/>
    <w:semiHidden/>
    <w:uiPriority w:val="99"/>
    <w:pPr>
      <w:ind w:left="100" w:leftChars="2500"/>
    </w:pPr>
  </w:style>
  <w:style w:type="paragraph" w:styleId="5">
    <w:name w:val="Balloon Text"/>
    <w:basedOn w:val="1"/>
    <w:link w:val="19"/>
    <w:semiHidden/>
    <w:uiPriority w:val="99"/>
    <w:rPr>
      <w:sz w:val="18"/>
      <w:szCs w:val="18"/>
    </w:rPr>
  </w:style>
  <w:style w:type="paragraph" w:styleId="6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2"/>
    <w:semiHidden/>
    <w:uiPriority w:val="99"/>
    <w:rPr>
      <w:b/>
      <w:bCs/>
    </w:rPr>
  </w:style>
  <w:style w:type="table" w:styleId="10">
    <w:name w:val="Table Grid"/>
    <w:basedOn w:val="9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semiHidden/>
    <w:uiPriority w:val="99"/>
    <w:rPr>
      <w:color w:val="auto"/>
      <w:u w:val="single"/>
    </w:rPr>
  </w:style>
  <w:style w:type="character" w:styleId="13">
    <w:name w:val="Emphasis"/>
    <w:qFormat/>
    <w:uiPriority w:val="99"/>
    <w:rPr>
      <w:i/>
      <w:iCs/>
    </w:rPr>
  </w:style>
  <w:style w:type="character" w:styleId="14">
    <w:name w:val="Hyperlink"/>
    <w:uiPriority w:val="99"/>
    <w:rPr>
      <w:color w:val="0000FF"/>
      <w:spacing w:val="0"/>
      <w:w w:val="100"/>
      <w:sz w:val="21"/>
      <w:szCs w:val="21"/>
      <w:u w:val="single"/>
      <w:lang w:val="en-US" w:eastAsia="zh-CN"/>
    </w:rPr>
  </w:style>
  <w:style w:type="character" w:styleId="15">
    <w:name w:val="annotation reference"/>
    <w:semiHidden/>
    <w:uiPriority w:val="99"/>
    <w:rPr>
      <w:sz w:val="21"/>
      <w:szCs w:val="21"/>
    </w:rPr>
  </w:style>
  <w:style w:type="character" w:customStyle="1" w:styleId="16">
    <w:name w:val="标题 1 字符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字符"/>
    <w:link w:val="3"/>
    <w:semiHidden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日期 字符"/>
    <w:link w:val="4"/>
    <w:semiHidden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9">
    <w:name w:val="批注框文本 字符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link w:val="6"/>
    <w:locked/>
    <w:uiPriority w:val="99"/>
    <w:rPr>
      <w:sz w:val="18"/>
      <w:szCs w:val="18"/>
    </w:rPr>
  </w:style>
  <w:style w:type="character" w:customStyle="1" w:styleId="21">
    <w:name w:val="页眉 字符"/>
    <w:link w:val="7"/>
    <w:locked/>
    <w:uiPriority w:val="99"/>
    <w:rPr>
      <w:sz w:val="18"/>
      <w:szCs w:val="18"/>
    </w:rPr>
  </w:style>
  <w:style w:type="character" w:customStyle="1" w:styleId="22">
    <w:name w:val="批注主题 字符"/>
    <w:link w:val="8"/>
    <w:semiHidden/>
    <w:locked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23">
    <w:name w:val="段 Char"/>
    <w:link w:val="24"/>
    <w:qFormat/>
    <w:locked/>
    <w:uiPriority w:val="99"/>
    <w:rPr>
      <w:rFonts w:ascii="宋体" w:hAnsi="等线" w:cs="宋体"/>
      <w:kern w:val="2"/>
      <w:sz w:val="21"/>
      <w:szCs w:val="21"/>
      <w:lang w:val="en-US" w:eastAsia="zh-CN"/>
    </w:rPr>
  </w:style>
  <w:style w:type="paragraph" w:customStyle="1" w:styleId="24">
    <w:name w:val="段"/>
    <w:link w:val="23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等线" w:eastAsia="宋体" w:cs="宋体"/>
      <w:kern w:val="2"/>
      <w:sz w:val="21"/>
      <w:szCs w:val="21"/>
      <w:lang w:val="en-US" w:eastAsia="zh-CN" w:bidi="ar-SA"/>
    </w:rPr>
  </w:style>
  <w:style w:type="character" w:customStyle="1" w:styleId="25">
    <w:name w:val="发布"/>
    <w:qFormat/>
    <w:uiPriority w:val="99"/>
    <w:rPr>
      <w:rFonts w:ascii="黑体" w:eastAsia="黑体" w:cs="黑体"/>
      <w:spacing w:val="85"/>
      <w:w w:val="100"/>
      <w:position w:val="3"/>
      <w:sz w:val="28"/>
      <w:szCs w:val="28"/>
    </w:rPr>
  </w:style>
  <w:style w:type="paragraph" w:customStyle="1" w:styleId="26">
    <w:name w:val="标准标志"/>
    <w:next w:val="1"/>
    <w:qFormat/>
    <w:uiPriority w:val="99"/>
    <w:pPr>
      <w:framePr w:w="2268" w:h="1392" w:hRule="exact" w:wrap="around" w:vAnchor="margin" w:hAnchor="margin" w:x="6748" w:y="171" w:anchorLock="1"/>
      <w:shd w:val="solid" w:color="FFFFFF" w:fill="FFFFFF"/>
      <w:spacing w:line="240" w:lineRule="atLeast"/>
      <w:jc w:val="right"/>
    </w:pPr>
    <w:rPr>
      <w:rFonts w:ascii="Times New Roman" w:hAnsi="Times New Roman" w:eastAsia="宋体" w:cs="Times New Roman"/>
      <w:b/>
      <w:bCs/>
      <w:w w:val="130"/>
      <w:sz w:val="96"/>
      <w:szCs w:val="96"/>
      <w:lang w:val="en-US" w:eastAsia="zh-CN" w:bidi="ar-SA"/>
    </w:rPr>
  </w:style>
  <w:style w:type="paragraph" w:customStyle="1" w:styleId="27">
    <w:name w:val="文献分类号"/>
    <w:qFormat/>
    <w:uiPriority w:val="99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28">
    <w:name w:val="实施日期"/>
    <w:basedOn w:val="1"/>
    <w:qFormat/>
    <w:uiPriority w:val="99"/>
    <w:pPr>
      <w:framePr w:w="4000" w:h="473" w:hRule="exact" w:vSpace="180" w:wrap="around" w:vAnchor="margin" w:hAnchor="margin" w:xAlign="right" w:y="13511" w:anchorLock="1"/>
      <w:widowControl/>
      <w:numPr>
        <w:ilvl w:val="4"/>
        <w:numId w:val="1"/>
      </w:numPr>
      <w:jc w:val="right"/>
    </w:pPr>
    <w:rPr>
      <w:rFonts w:eastAsia="黑体"/>
      <w:kern w:val="0"/>
      <w:sz w:val="28"/>
      <w:szCs w:val="28"/>
    </w:rPr>
  </w:style>
  <w:style w:type="paragraph" w:customStyle="1" w:styleId="29">
    <w:name w:val="封面标准英文名称"/>
    <w:qFormat/>
    <w:uiPriority w:val="99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customStyle="1" w:styleId="30">
    <w:name w:val="封面标准号1"/>
    <w:qFormat/>
    <w:uiPriority w:val="9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customStyle="1" w:styleId="31">
    <w:name w:val="封面标准名称"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paragraph" w:customStyle="1" w:styleId="32">
    <w:name w:val="封面标准文稿编辑信息"/>
    <w:basedOn w:val="33"/>
    <w:qFormat/>
    <w:uiPriority w:val="99"/>
    <w:pPr>
      <w:spacing w:before="180" w:line="180" w:lineRule="exact"/>
    </w:pPr>
    <w:rPr>
      <w:sz w:val="21"/>
      <w:szCs w:val="21"/>
    </w:rPr>
  </w:style>
  <w:style w:type="paragraph" w:customStyle="1" w:styleId="33">
    <w:name w:val="封面标准文稿类别"/>
    <w:basedOn w:val="1"/>
    <w:uiPriority w:val="99"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34">
    <w:name w:val="封面一致性程度标识"/>
    <w:qFormat/>
    <w:uiPriority w:val="99"/>
    <w:pPr>
      <w:spacing w:before="440" w:line="400" w:lineRule="exact"/>
      <w:jc w:val="center"/>
    </w:pPr>
    <w:rPr>
      <w:rFonts w:ascii="宋体" w:hAnsi="Times New Roman" w:eastAsia="宋体" w:cs="宋体"/>
      <w:sz w:val="28"/>
      <w:szCs w:val="28"/>
      <w:lang w:val="en-US" w:eastAsia="zh-CN" w:bidi="ar-SA"/>
    </w:rPr>
  </w:style>
  <w:style w:type="paragraph" w:customStyle="1" w:styleId="35">
    <w:name w:val="发布日期"/>
    <w:uiPriority w:val="99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szCs w:val="28"/>
      <w:lang w:val="en-US" w:eastAsia="zh-CN" w:bidi="ar-SA"/>
    </w:rPr>
  </w:style>
  <w:style w:type="paragraph" w:customStyle="1" w:styleId="36">
    <w:name w:val="其他标准称谓"/>
    <w:next w:val="1"/>
    <w:qFormat/>
    <w:uiPriority w:val="99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hAnsi="宋体" w:eastAsia="黑体" w:cs="黑体"/>
      <w:spacing w:val="-40"/>
      <w:sz w:val="48"/>
      <w:szCs w:val="48"/>
      <w:lang w:val="en-US" w:eastAsia="zh-CN" w:bidi="ar-SA"/>
    </w:rPr>
  </w:style>
  <w:style w:type="paragraph" w:customStyle="1" w:styleId="37">
    <w:name w:val="其他发布部门"/>
    <w:basedOn w:val="1"/>
    <w:qFormat/>
    <w:uiPriority w:val="99"/>
    <w:pPr>
      <w:framePr w:w="7938" w:h="1134" w:hRule="exact" w:hSpace="125" w:vSpace="181" w:wrap="around" w:vAnchor="page" w:hAnchor="page" w:x="2150" w:y="15310" w:anchorLock="1"/>
      <w:widowControl/>
      <w:spacing w:line="240" w:lineRule="atLeast"/>
      <w:jc w:val="center"/>
    </w:pPr>
    <w:rPr>
      <w:rFonts w:ascii="黑体" w:eastAsia="黑体" w:cs="黑体"/>
      <w:spacing w:val="20"/>
      <w:w w:val="135"/>
      <w:kern w:val="0"/>
      <w:sz w:val="28"/>
      <w:szCs w:val="28"/>
    </w:rPr>
  </w:style>
  <w:style w:type="paragraph" w:customStyle="1" w:styleId="38">
    <w:name w:val="前言、引言标题"/>
    <w:next w:val="1"/>
    <w:uiPriority w:val="99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39">
    <w:name w:val="_Style 24"/>
    <w:basedOn w:val="1"/>
    <w:next w:val="40"/>
    <w:uiPriority w:val="99"/>
    <w:pPr>
      <w:ind w:firstLine="420" w:firstLineChars="200"/>
    </w:pPr>
    <w:rPr>
      <w:rFonts w:ascii="Calibri" w:hAnsi="Calibri" w:cs="Calibri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paragraph" w:customStyle="1" w:styleId="41">
    <w:name w:val="章标题"/>
    <w:next w:val="24"/>
    <w:qFormat/>
    <w:uiPriority w:val="99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42">
    <w:name w:val="目次、标准名称标题"/>
    <w:basedOn w:val="1"/>
    <w:next w:val="24"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cs="黑体"/>
      <w:kern w:val="0"/>
      <w:sz w:val="32"/>
      <w:szCs w:val="32"/>
    </w:rPr>
  </w:style>
  <w:style w:type="paragraph" w:customStyle="1" w:styleId="43">
    <w:name w:val="一级条标题"/>
    <w:next w:val="24"/>
    <w:qFormat/>
    <w:uiPriority w:val="99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Default"/>
    <w:uiPriority w:val="99"/>
    <w:pPr>
      <w:widowControl w:val="0"/>
      <w:autoSpaceDE w:val="0"/>
      <w:autoSpaceDN w:val="0"/>
      <w:adjustRightInd w:val="0"/>
    </w:pPr>
    <w:rPr>
      <w:rFonts w:ascii="仿宋" w:hAnsi="仿宋" w:eastAsia="等线" w:cs="仿宋"/>
      <w:color w:val="000000"/>
      <w:sz w:val="24"/>
      <w:szCs w:val="24"/>
      <w:lang w:val="en-US" w:eastAsia="zh-CN" w:bidi="ar-SA"/>
    </w:rPr>
  </w:style>
  <w:style w:type="paragraph" w:customStyle="1" w:styleId="45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6">
    <w:name w:val="未处理的提及1"/>
    <w:semiHidden/>
    <w:uiPriority w:val="99"/>
    <w:rPr>
      <w:color w:val="auto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996</Words>
  <Characters>5679</Characters>
  <Lines>47</Lines>
  <Paragraphs>13</Paragraphs>
  <TotalTime>0</TotalTime>
  <ScaleCrop>false</ScaleCrop>
  <LinksUpToDate>false</LinksUpToDate>
  <CharactersWithSpaces>6662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2020-02-25T00:37:00Z</dcterms:created>
  <dc:creator>吴迪 wudi</dc:creator>
  <cp:lastModifiedBy>李民</cp:lastModifiedBy>
  <dcterms:modified xsi:type="dcterms:W3CDTF">2020-06-24T01:06:27Z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