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eastAsia" w:cs="Times New Roman"/>
          <w:bCs/>
          <w:color w:val="auto"/>
          <w:sz w:val="28"/>
          <w:highlight w:val="none"/>
          <w:lang w:eastAsia="zh-CN"/>
        </w:rPr>
      </w:pPr>
    </w:p>
    <w:p>
      <w:pPr>
        <w:spacing w:line="360" w:lineRule="auto"/>
        <w:rPr>
          <w:rFonts w:hint="eastAsia" w:cs="Times New Roman"/>
          <w:bCs/>
          <w:color w:val="auto"/>
          <w:sz w:val="28"/>
          <w:highlight w:val="none"/>
          <w:lang w:eastAsia="zh-CN"/>
        </w:rPr>
      </w:pPr>
    </w:p>
    <w:p>
      <w:pPr>
        <w:spacing w:line="360" w:lineRule="auto"/>
        <w:rPr>
          <w:rFonts w:hint="eastAsia" w:ascii="Times New Roman" w:hAnsi="Times New Roman" w:eastAsia="宋体" w:cs="Times New Roman"/>
          <w:bCs/>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ascii="Times New Roman" w:hAnsi="Times New Roman" w:cs="Times New Roman"/>
          <w:bCs/>
          <w:color w:val="auto"/>
          <w:sz w:val="28"/>
          <w:highlight w:val="none"/>
        </w:rPr>
      </w:pPr>
    </w:p>
    <w:p>
      <w:pPr>
        <w:keepNext w:val="0"/>
        <w:keepLines w:val="0"/>
        <w:pageBreakBefore w:val="0"/>
        <w:widowControl w:val="0"/>
        <w:tabs>
          <w:tab w:val="left" w:pos="4050"/>
          <w:tab w:val="left" w:pos="6390"/>
        </w:tabs>
        <w:kinsoku/>
        <w:wordWrap/>
        <w:overflowPunct/>
        <w:topLinePunct w:val="0"/>
        <w:autoSpaceDE/>
        <w:autoSpaceDN/>
        <w:bidi w:val="0"/>
        <w:adjustRightInd/>
        <w:snapToGrid/>
        <w:spacing w:line="240" w:lineRule="auto"/>
        <w:jc w:val="left"/>
        <w:textAlignment w:val="auto"/>
        <w:outlineLvl w:val="9"/>
        <w:rPr>
          <w:rFonts w:hint="default" w:ascii="Times New Roman" w:hAnsi="Times New Roman" w:cs="Times New Roman"/>
          <w:snapToGrid w:val="0"/>
          <w:color w:val="auto"/>
          <w:sz w:val="52"/>
          <w:szCs w:val="52"/>
          <w:highlight w:val="none"/>
          <w:lang w:val="en-US" w:eastAsia="zh-CN"/>
        </w:rPr>
      </w:pPr>
      <w:r>
        <w:rPr>
          <w:rFonts w:hint="eastAsia" w:cs="Times New Roman"/>
          <w:snapToGrid w:val="0"/>
          <w:color w:val="auto"/>
          <w:sz w:val="52"/>
          <w:szCs w:val="52"/>
          <w:highlight w:val="none"/>
          <w:lang w:val="en-US" w:eastAsia="zh-CN"/>
        </w:rPr>
        <w:tab/>
      </w:r>
    </w:p>
    <w:p>
      <w:pPr>
        <w:keepNext w:val="0"/>
        <w:keepLines w:val="0"/>
        <w:pageBreakBefore w:val="0"/>
        <w:widowControl w:val="0"/>
        <w:tabs>
          <w:tab w:val="left" w:pos="639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cs="Times New Roman"/>
          <w:snapToGrid w:val="0"/>
          <w:color w:val="auto"/>
          <w:sz w:val="52"/>
          <w:szCs w:val="52"/>
          <w:highlight w:val="none"/>
          <w:lang w:val="en-US" w:eastAsia="zh-CN"/>
        </w:rPr>
      </w:pPr>
      <w:r>
        <w:rPr>
          <w:rFonts w:hint="eastAsia" w:cs="Times New Roman"/>
          <w:snapToGrid w:val="0"/>
          <w:color w:val="auto"/>
          <w:sz w:val="52"/>
          <w:szCs w:val="52"/>
          <w:highlight w:val="none"/>
          <w:lang w:val="en-US" w:eastAsia="zh-CN"/>
        </w:rPr>
        <w:t>安徽省立医院（中国科大附一院）滨湖院区项目</w:t>
      </w:r>
      <w:r>
        <w:rPr>
          <w:rFonts w:hint="default" w:ascii="Times New Roman" w:hAnsi="Times New Roman" w:cs="Times New Roman"/>
          <w:snapToGrid w:val="0"/>
          <w:color w:val="auto"/>
          <w:sz w:val="52"/>
          <w:szCs w:val="52"/>
          <w:highlight w:val="none"/>
          <w:lang w:val="en-US" w:eastAsia="zh-CN"/>
        </w:rPr>
        <w:t>环境影响报告书</w:t>
      </w:r>
    </w:p>
    <w:p>
      <w:pPr>
        <w:keepNext w:val="0"/>
        <w:keepLines w:val="0"/>
        <w:pageBreakBefore w:val="0"/>
        <w:widowControl w:val="0"/>
        <w:tabs>
          <w:tab w:val="left" w:pos="639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snapToGrid w:val="0"/>
          <w:color w:val="auto"/>
          <w:sz w:val="52"/>
          <w:szCs w:val="52"/>
          <w:highlight w:val="none"/>
          <w:lang w:val="en-US" w:eastAsia="zh-CN"/>
        </w:rPr>
      </w:pPr>
      <w:r>
        <w:rPr>
          <w:rFonts w:hint="eastAsia" w:ascii="Times New Roman" w:hAnsi="Times New Roman" w:cs="Times New Roman"/>
          <w:snapToGrid w:val="0"/>
          <w:color w:val="auto"/>
          <w:sz w:val="52"/>
          <w:szCs w:val="52"/>
          <w:highlight w:val="none"/>
          <w:lang w:val="en-US" w:eastAsia="zh-CN"/>
        </w:rPr>
        <w:t>（</w:t>
      </w:r>
      <w:r>
        <w:rPr>
          <w:rFonts w:hint="eastAsia" w:cs="Times New Roman"/>
          <w:snapToGrid w:val="0"/>
          <w:color w:val="auto"/>
          <w:sz w:val="52"/>
          <w:szCs w:val="52"/>
          <w:highlight w:val="none"/>
          <w:lang w:val="en-US" w:eastAsia="zh-CN"/>
        </w:rPr>
        <w:t>征求意见稿</w:t>
      </w:r>
      <w:r>
        <w:rPr>
          <w:rFonts w:hint="eastAsia" w:ascii="Times New Roman" w:hAnsi="Times New Roman" w:cs="Times New Roman"/>
          <w:snapToGrid w:val="0"/>
          <w:color w:val="auto"/>
          <w:sz w:val="52"/>
          <w:szCs w:val="52"/>
          <w:highlight w:val="none"/>
          <w:lang w:val="en-US" w:eastAsia="zh-CN"/>
        </w:rPr>
        <w:t>）</w:t>
      </w:r>
    </w:p>
    <w:p>
      <w:pPr>
        <w:spacing w:line="360" w:lineRule="auto"/>
        <w:rPr>
          <w:rFonts w:hint="default" w:ascii="Times New Roman" w:hAnsi="Times New Roman" w:cs="Times New Roman"/>
          <w:bCs/>
          <w:color w:val="auto"/>
          <w:sz w:val="28"/>
          <w:highlight w:val="none"/>
        </w:rPr>
      </w:pPr>
    </w:p>
    <w:p>
      <w:pPr>
        <w:tabs>
          <w:tab w:val="left" w:pos="900"/>
        </w:tabs>
        <w:spacing w:line="360" w:lineRule="auto"/>
        <w:rPr>
          <w:rFonts w:hint="default" w:ascii="Times New Roman" w:hAnsi="Times New Roman" w:cs="Times New Roman"/>
          <w:bCs/>
          <w:color w:val="auto"/>
          <w:sz w:val="28"/>
          <w:highlight w:val="none"/>
        </w:rPr>
      </w:pPr>
      <w:r>
        <w:rPr>
          <w:rFonts w:hint="default" w:ascii="Times New Roman" w:hAnsi="Times New Roman" w:cs="Times New Roman"/>
          <w:bCs/>
          <w:color w:val="auto"/>
          <w:sz w:val="28"/>
          <w:highlight w:val="none"/>
        </w:rPr>
        <w:tab/>
      </w:r>
    </w:p>
    <w:p>
      <w:pPr>
        <w:tabs>
          <w:tab w:val="left" w:pos="6390"/>
        </w:tabs>
        <w:spacing w:line="400" w:lineRule="exact"/>
        <w:rPr>
          <w:rFonts w:hint="default" w:ascii="Times New Roman" w:hAnsi="Times New Roman" w:cs="Times New Roman"/>
          <w:bCs/>
          <w:color w:val="auto"/>
          <w:sz w:val="28"/>
          <w:highlight w:val="none"/>
        </w:rPr>
      </w:pPr>
    </w:p>
    <w:p>
      <w:pPr>
        <w:tabs>
          <w:tab w:val="left" w:pos="6390"/>
        </w:tabs>
        <w:spacing w:line="360" w:lineRule="auto"/>
        <w:rPr>
          <w:rFonts w:hint="eastAsia" w:ascii="Times New Roman" w:hAnsi="Times New Roman" w:eastAsia="宋体" w:cs="Times New Roman"/>
          <w:bCs/>
          <w:color w:val="auto"/>
          <w:sz w:val="28"/>
          <w:highlight w:val="none"/>
          <w:lang w:val="en-US" w:eastAsia="zh-CN"/>
        </w:rPr>
      </w:pPr>
      <w:r>
        <w:rPr>
          <w:rFonts w:hint="default" w:ascii="Times New Roman" w:hAnsi="Times New Roman" w:cs="Times New Roman"/>
          <w:bCs/>
          <w:color w:val="auto"/>
          <w:sz w:val="28"/>
          <w:highlight w:val="none"/>
        </w:rPr>
        <w:tab/>
      </w:r>
      <w:r>
        <w:rPr>
          <w:rFonts w:hint="eastAsia" w:cs="Times New Roman"/>
          <w:bCs/>
          <w:color w:val="auto"/>
          <w:sz w:val="28"/>
          <w:highlight w:val="none"/>
          <w:lang w:val="en-US" w:eastAsia="zh-CN"/>
        </w:rPr>
        <w:t xml:space="preserve"> </w:t>
      </w:r>
    </w:p>
    <w:p>
      <w:pPr>
        <w:rPr>
          <w:rFonts w:hint="default" w:ascii="Times New Roman" w:hAnsi="Times New Roman" w:cs="Times New Roman"/>
          <w:color w:val="auto"/>
          <w:highlight w:val="none"/>
        </w:rPr>
      </w:pPr>
    </w:p>
    <w:p>
      <w:pPr>
        <w:rPr>
          <w:rFonts w:hint="default" w:ascii="Times New Roman" w:hAnsi="Times New Roman" w:cs="Times New Roman"/>
          <w:color w:val="auto"/>
          <w:highlight w:val="none"/>
        </w:rPr>
      </w:pPr>
    </w:p>
    <w:p>
      <w:pPr>
        <w:rPr>
          <w:rFonts w:hint="default" w:ascii="Times New Roman" w:hAnsi="Times New Roman" w:cs="Times New Roman"/>
          <w:color w:val="auto"/>
          <w:highlight w:val="none"/>
        </w:rPr>
      </w:pPr>
    </w:p>
    <w:p>
      <w:pPr>
        <w:pStyle w:val="84"/>
        <w:rPr>
          <w:rFonts w:hint="default" w:ascii="Times New Roman" w:hAnsi="Times New Roman" w:cs="Times New Roman"/>
          <w:color w:val="auto"/>
          <w:sz w:val="21"/>
          <w:highlight w:val="none"/>
        </w:rPr>
      </w:pPr>
    </w:p>
    <w:p>
      <w:pPr>
        <w:pStyle w:val="84"/>
        <w:rPr>
          <w:rFonts w:hint="default" w:ascii="Times New Roman" w:hAnsi="Times New Roman" w:cs="Times New Roman"/>
          <w:color w:val="auto"/>
          <w:sz w:val="21"/>
          <w:highlight w:val="none"/>
        </w:rPr>
      </w:pPr>
    </w:p>
    <w:p>
      <w:pPr>
        <w:pStyle w:val="84"/>
        <w:rPr>
          <w:rFonts w:hint="default" w:ascii="Times New Roman" w:hAnsi="Times New Roman" w:cs="Times New Roman"/>
          <w:color w:val="auto"/>
          <w:sz w:val="21"/>
          <w:highlight w:val="none"/>
        </w:rPr>
      </w:pPr>
    </w:p>
    <w:p>
      <w:pPr>
        <w:keepNext w:val="0"/>
        <w:keepLines w:val="0"/>
        <w:pageBreakBefore w:val="0"/>
        <w:widowControl w:val="0"/>
        <w:kinsoku/>
        <w:wordWrap/>
        <w:overflowPunct/>
        <w:topLinePunct w:val="0"/>
        <w:autoSpaceDE/>
        <w:autoSpaceDN/>
        <w:bidi w:val="0"/>
        <w:adjustRightInd/>
        <w:snapToGrid/>
        <w:spacing w:line="360" w:lineRule="auto"/>
        <w:ind w:left="-240" w:leftChars="-100" w:firstLine="0" w:firstLineChars="0"/>
        <w:jc w:val="center"/>
        <w:textAlignment w:val="auto"/>
        <w:rPr>
          <w:rFonts w:hint="eastAsia" w:cs="Times New Roman"/>
          <w:color w:val="auto"/>
          <w:sz w:val="36"/>
          <w:szCs w:val="36"/>
          <w:highlight w:val="none"/>
          <w:lang w:val="en-US" w:eastAsia="zh-CN"/>
        </w:rPr>
      </w:pPr>
      <w:r>
        <w:rPr>
          <w:rFonts w:hint="default" w:ascii="Times New Roman" w:hAnsi="Times New Roman" w:cs="Times New Roman"/>
          <w:color w:val="auto"/>
          <w:sz w:val="36"/>
          <w:szCs w:val="36"/>
          <w:highlight w:val="none"/>
          <w:lang w:val="en-US" w:eastAsia="zh-CN"/>
        </w:rPr>
        <w:t>建设单位：</w:t>
      </w:r>
      <w:r>
        <w:rPr>
          <w:rFonts w:hint="eastAsia" w:cs="Times New Roman"/>
          <w:color w:val="auto"/>
          <w:sz w:val="36"/>
          <w:szCs w:val="36"/>
          <w:highlight w:val="none"/>
          <w:lang w:val="en-US" w:eastAsia="zh-CN"/>
        </w:rPr>
        <w:t>安徽省立医院（中国科大附一院）</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auto"/>
          <w:lang w:val="en-US" w:eastAsia="zh-CN"/>
        </w:rPr>
      </w:pPr>
      <w:r>
        <w:rPr>
          <w:rFonts w:hint="eastAsia" w:ascii="Times New Roman" w:hAnsi="Times New Roman" w:cs="Times New Roman"/>
          <w:color w:val="auto"/>
          <w:sz w:val="36"/>
          <w:szCs w:val="36"/>
          <w:highlight w:val="none"/>
          <w:lang w:val="en-US" w:eastAsia="zh-CN"/>
        </w:rPr>
        <w:t>评价单位：安徽华境资环科技有限公司</w:t>
      </w:r>
    </w:p>
    <w:p>
      <w:pPr>
        <w:jc w:val="center"/>
        <w:rPr>
          <w:color w:val="auto"/>
        </w:rPr>
      </w:pPr>
      <w:r>
        <w:rPr>
          <w:rFonts w:hint="default" w:ascii="Times New Roman" w:hAnsi="Times New Roman" w:cs="Times New Roman"/>
          <w:color w:val="auto"/>
          <w:sz w:val="36"/>
          <w:szCs w:val="36"/>
          <w:highlight w:val="none"/>
          <w:lang w:val="en-US" w:eastAsia="zh-CN"/>
        </w:rPr>
        <w:t>二〇二</w:t>
      </w:r>
      <w:r>
        <w:rPr>
          <w:rFonts w:hint="eastAsia" w:cs="Times New Roman"/>
          <w:color w:val="auto"/>
          <w:sz w:val="36"/>
          <w:szCs w:val="36"/>
          <w:highlight w:val="none"/>
          <w:lang w:val="en-US" w:eastAsia="zh-CN"/>
        </w:rPr>
        <w:t>三</w:t>
      </w:r>
      <w:r>
        <w:rPr>
          <w:rFonts w:hint="default" w:ascii="Times New Roman" w:hAnsi="Times New Roman" w:cs="Times New Roman"/>
          <w:color w:val="auto"/>
          <w:sz w:val="36"/>
          <w:szCs w:val="36"/>
          <w:highlight w:val="none"/>
          <w:lang w:val="en-US" w:eastAsia="zh-CN"/>
        </w:rPr>
        <w:t>年</w:t>
      </w:r>
      <w:r>
        <w:rPr>
          <w:rFonts w:hint="eastAsia" w:cs="Times New Roman"/>
          <w:color w:val="auto"/>
          <w:sz w:val="36"/>
          <w:szCs w:val="36"/>
          <w:highlight w:val="none"/>
          <w:lang w:val="en-US" w:eastAsia="zh-CN"/>
        </w:rPr>
        <w:t>一</w:t>
      </w:r>
      <w:r>
        <w:rPr>
          <w:rFonts w:hint="default" w:ascii="Times New Roman" w:hAnsi="Times New Roman" w:cs="Times New Roman"/>
          <w:color w:val="auto"/>
          <w:sz w:val="36"/>
          <w:szCs w:val="36"/>
          <w:highlight w:val="none"/>
          <w:lang w:val="en-US" w:eastAsia="zh-CN"/>
        </w:rPr>
        <w:t>月</w:t>
      </w:r>
    </w:p>
    <w:p>
      <w:pPr>
        <w:pStyle w:val="34"/>
        <w:numPr>
          <w:ilvl w:val="0"/>
          <w:numId w:val="0"/>
        </w:numPr>
        <w:tabs>
          <w:tab w:val="right" w:leader="dot" w:pos="8296"/>
        </w:tabs>
        <w:ind w:leftChars="0"/>
        <w:jc w:val="center"/>
        <w:rPr>
          <w:rFonts w:hint="eastAsia" w:eastAsia="黑体"/>
          <w:color w:val="auto"/>
          <w:sz w:val="36"/>
        </w:rPr>
        <w:sectPr>
          <w:headerReference r:id="rId5"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linePitch="312" w:charSpace="0"/>
        </w:sectPr>
      </w:pPr>
    </w:p>
    <w:p>
      <w:pPr>
        <w:pStyle w:val="34"/>
        <w:numPr>
          <w:ilvl w:val="0"/>
          <w:numId w:val="0"/>
        </w:numPr>
        <w:tabs>
          <w:tab w:val="right" w:leader="dot" w:pos="8296"/>
        </w:tabs>
        <w:ind w:leftChars="0"/>
        <w:jc w:val="center"/>
        <w:rPr>
          <w:rFonts w:hint="eastAsia" w:eastAsia="黑体"/>
          <w:color w:val="auto"/>
          <w:sz w:val="36"/>
        </w:rPr>
      </w:pPr>
      <w:r>
        <w:rPr>
          <w:rFonts w:hint="eastAsia" w:eastAsia="黑体"/>
          <w:color w:val="auto"/>
          <w:sz w:val="36"/>
        </w:rPr>
        <w:t>目   录</w:t>
      </w:r>
    </w:p>
    <w:p>
      <w:pPr>
        <w:pStyle w:val="34"/>
        <w:tabs>
          <w:tab w:val="right" w:leader="dot" w:pos="8306"/>
        </w:tabs>
        <w:rPr>
          <w:color w:val="auto"/>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TOC \o "1-2" \h \z \u </w:instrText>
      </w:r>
      <w:r>
        <w:rPr>
          <w:rFonts w:hint="eastAsia" w:ascii="宋体" w:hAnsi="宋体" w:eastAsia="宋体" w:cs="宋体"/>
          <w:color w:val="auto"/>
          <w:sz w:val="24"/>
          <w:szCs w:val="24"/>
        </w:rPr>
        <w:fldChar w:fldCharType="separate"/>
      </w: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_Toc29681 </w:instrText>
      </w:r>
      <w:r>
        <w:rPr>
          <w:rFonts w:hint="eastAsia" w:ascii="宋体" w:hAnsi="宋体" w:eastAsia="宋体" w:cs="宋体"/>
          <w:color w:val="auto"/>
          <w:szCs w:val="24"/>
        </w:rPr>
        <w:fldChar w:fldCharType="separate"/>
      </w:r>
      <w:r>
        <w:rPr>
          <w:rFonts w:hint="eastAsia" w:ascii="Times New Roman" w:hAnsi="Times New Roman"/>
          <w:bCs w:val="0"/>
          <w:color w:val="auto"/>
          <w:szCs w:val="36"/>
        </w:rPr>
        <w:t xml:space="preserve">1 </w:t>
      </w:r>
      <w:r>
        <w:rPr>
          <w:rFonts w:ascii="Times New Roman" w:hAnsi="Times New Roman"/>
          <w:bCs w:val="0"/>
          <w:color w:val="auto"/>
          <w:szCs w:val="36"/>
        </w:rPr>
        <w:t>概述</w:t>
      </w:r>
      <w:r>
        <w:rPr>
          <w:color w:val="auto"/>
        </w:rPr>
        <w:tab/>
      </w:r>
      <w:r>
        <w:rPr>
          <w:color w:val="auto"/>
        </w:rPr>
        <w:fldChar w:fldCharType="begin"/>
      </w:r>
      <w:r>
        <w:rPr>
          <w:color w:val="auto"/>
        </w:rPr>
        <w:instrText xml:space="preserve"> PAGEREF _Toc29681 \h </w:instrText>
      </w:r>
      <w:r>
        <w:rPr>
          <w:color w:val="auto"/>
        </w:rPr>
        <w:fldChar w:fldCharType="separate"/>
      </w:r>
      <w:r>
        <w:rPr>
          <w:color w:val="auto"/>
        </w:rPr>
        <w:t>4</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_Toc9418 </w:instrText>
      </w:r>
      <w:r>
        <w:rPr>
          <w:rFonts w:hint="eastAsia" w:ascii="宋体" w:hAnsi="宋体" w:eastAsia="宋体" w:cs="宋体"/>
          <w:color w:val="auto"/>
          <w:szCs w:val="24"/>
        </w:rPr>
        <w:fldChar w:fldCharType="separate"/>
      </w:r>
      <w:r>
        <w:rPr>
          <w:rFonts w:hint="eastAsia" w:ascii="Times New Roman" w:hAnsi="Times New Roman" w:eastAsia="宋体"/>
          <w:color w:val="auto"/>
          <w:szCs w:val="28"/>
        </w:rPr>
        <w:t xml:space="preserve">1.1 </w:t>
      </w:r>
      <w:r>
        <w:rPr>
          <w:rFonts w:ascii="Times New Roman" w:hAnsi="Times New Roman" w:eastAsia="宋体"/>
          <w:color w:val="auto"/>
          <w:szCs w:val="28"/>
        </w:rPr>
        <w:t>建设项目由来及特点</w:t>
      </w:r>
      <w:r>
        <w:rPr>
          <w:color w:val="auto"/>
        </w:rPr>
        <w:tab/>
      </w:r>
      <w:r>
        <w:rPr>
          <w:color w:val="auto"/>
        </w:rPr>
        <w:fldChar w:fldCharType="begin"/>
      </w:r>
      <w:r>
        <w:rPr>
          <w:color w:val="auto"/>
        </w:rPr>
        <w:instrText xml:space="preserve"> PAGEREF _Toc9418 \h </w:instrText>
      </w:r>
      <w:r>
        <w:rPr>
          <w:color w:val="auto"/>
        </w:rPr>
        <w:fldChar w:fldCharType="separate"/>
      </w:r>
      <w:r>
        <w:rPr>
          <w:color w:val="auto"/>
        </w:rPr>
        <w:t>4</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_Toc27230 </w:instrText>
      </w:r>
      <w:r>
        <w:rPr>
          <w:rFonts w:hint="eastAsia" w:ascii="宋体" w:hAnsi="宋体" w:eastAsia="宋体" w:cs="宋体"/>
          <w:color w:val="auto"/>
          <w:szCs w:val="24"/>
        </w:rPr>
        <w:fldChar w:fldCharType="separate"/>
      </w:r>
      <w:r>
        <w:rPr>
          <w:rFonts w:hint="eastAsia" w:ascii="Times New Roman" w:hAnsi="Times New Roman" w:eastAsia="宋体"/>
          <w:color w:val="auto"/>
          <w:szCs w:val="28"/>
        </w:rPr>
        <w:t xml:space="preserve">1.2 </w:t>
      </w:r>
      <w:r>
        <w:rPr>
          <w:rFonts w:ascii="Times New Roman" w:hAnsi="Times New Roman" w:eastAsia="宋体"/>
          <w:color w:val="auto"/>
          <w:szCs w:val="28"/>
        </w:rPr>
        <w:t>环境影响评价工作过程</w:t>
      </w:r>
      <w:r>
        <w:rPr>
          <w:color w:val="auto"/>
        </w:rPr>
        <w:tab/>
      </w:r>
      <w:r>
        <w:rPr>
          <w:color w:val="auto"/>
        </w:rPr>
        <w:fldChar w:fldCharType="begin"/>
      </w:r>
      <w:r>
        <w:rPr>
          <w:color w:val="auto"/>
        </w:rPr>
        <w:instrText xml:space="preserve"> PAGEREF _Toc27230 \h </w:instrText>
      </w:r>
      <w:r>
        <w:rPr>
          <w:color w:val="auto"/>
        </w:rPr>
        <w:fldChar w:fldCharType="separate"/>
      </w:r>
      <w:r>
        <w:rPr>
          <w:color w:val="auto"/>
        </w:rPr>
        <w:t>5</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_Toc19766 </w:instrText>
      </w:r>
      <w:r>
        <w:rPr>
          <w:rFonts w:hint="eastAsia" w:ascii="宋体" w:hAnsi="宋体" w:eastAsia="宋体" w:cs="宋体"/>
          <w:color w:val="auto"/>
          <w:szCs w:val="24"/>
        </w:rPr>
        <w:fldChar w:fldCharType="separate"/>
      </w:r>
      <w:r>
        <w:rPr>
          <w:rFonts w:hint="eastAsia" w:ascii="Times New Roman" w:hAnsi="Times New Roman" w:eastAsia="宋体"/>
          <w:color w:val="auto"/>
          <w:szCs w:val="28"/>
        </w:rPr>
        <w:t xml:space="preserve">1.3 </w:t>
      </w:r>
      <w:r>
        <w:rPr>
          <w:rFonts w:ascii="Times New Roman" w:hAnsi="Times New Roman" w:eastAsia="宋体"/>
          <w:color w:val="auto"/>
          <w:szCs w:val="28"/>
        </w:rPr>
        <w:t>分析判定相关情况</w:t>
      </w:r>
      <w:r>
        <w:rPr>
          <w:color w:val="auto"/>
        </w:rPr>
        <w:tab/>
      </w:r>
      <w:r>
        <w:rPr>
          <w:color w:val="auto"/>
        </w:rPr>
        <w:fldChar w:fldCharType="begin"/>
      </w:r>
      <w:r>
        <w:rPr>
          <w:color w:val="auto"/>
        </w:rPr>
        <w:instrText xml:space="preserve"> PAGEREF _Toc19766 \h </w:instrText>
      </w:r>
      <w:r>
        <w:rPr>
          <w:color w:val="auto"/>
        </w:rPr>
        <w:fldChar w:fldCharType="separate"/>
      </w:r>
      <w:r>
        <w:rPr>
          <w:color w:val="auto"/>
        </w:rPr>
        <w:t>8</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_Toc5663 </w:instrText>
      </w:r>
      <w:r>
        <w:rPr>
          <w:rFonts w:hint="eastAsia" w:ascii="宋体" w:hAnsi="宋体" w:eastAsia="宋体" w:cs="宋体"/>
          <w:color w:val="auto"/>
          <w:szCs w:val="24"/>
        </w:rPr>
        <w:fldChar w:fldCharType="separate"/>
      </w:r>
      <w:r>
        <w:rPr>
          <w:rFonts w:hint="eastAsia" w:ascii="Times New Roman" w:hAnsi="Times New Roman" w:eastAsia="宋体"/>
          <w:bCs/>
          <w:color w:val="auto"/>
          <w:szCs w:val="28"/>
        </w:rPr>
        <w:t>1.4 主要关注的环境问题</w:t>
      </w:r>
      <w:r>
        <w:rPr>
          <w:color w:val="auto"/>
        </w:rPr>
        <w:tab/>
      </w:r>
      <w:r>
        <w:rPr>
          <w:color w:val="auto"/>
        </w:rPr>
        <w:fldChar w:fldCharType="begin"/>
      </w:r>
      <w:r>
        <w:rPr>
          <w:color w:val="auto"/>
        </w:rPr>
        <w:instrText xml:space="preserve"> PAGEREF _Toc5663 \h </w:instrText>
      </w:r>
      <w:r>
        <w:rPr>
          <w:color w:val="auto"/>
        </w:rPr>
        <w:fldChar w:fldCharType="separate"/>
      </w:r>
      <w:r>
        <w:rPr>
          <w:color w:val="auto"/>
        </w:rPr>
        <w:t>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_Toc646 </w:instrText>
      </w:r>
      <w:r>
        <w:rPr>
          <w:rFonts w:hint="eastAsia" w:ascii="宋体" w:hAnsi="宋体" w:eastAsia="宋体" w:cs="宋体"/>
          <w:color w:val="auto"/>
          <w:szCs w:val="24"/>
        </w:rPr>
        <w:fldChar w:fldCharType="separate"/>
      </w:r>
      <w:r>
        <w:rPr>
          <w:rFonts w:hint="eastAsia" w:ascii="Times New Roman" w:hAnsi="Times New Roman" w:eastAsia="宋体"/>
          <w:bCs/>
          <w:color w:val="auto"/>
          <w:szCs w:val="28"/>
        </w:rPr>
        <w:t xml:space="preserve">1.5 </w:t>
      </w:r>
      <w:r>
        <w:rPr>
          <w:rFonts w:hint="eastAsia" w:ascii="Times New Roman" w:hAnsi="Times New Roman" w:eastAsia="宋体"/>
          <w:bCs/>
          <w:color w:val="auto"/>
          <w:szCs w:val="28"/>
          <w:lang w:val="en-US" w:eastAsia="zh-CN"/>
        </w:rPr>
        <w:t>报告书的</w:t>
      </w:r>
      <w:r>
        <w:rPr>
          <w:rFonts w:hint="eastAsia" w:ascii="Times New Roman" w:hAnsi="Times New Roman" w:eastAsia="宋体"/>
          <w:bCs/>
          <w:color w:val="auto"/>
          <w:szCs w:val="28"/>
        </w:rPr>
        <w:t>主要结论</w:t>
      </w:r>
      <w:r>
        <w:rPr>
          <w:color w:val="auto"/>
        </w:rPr>
        <w:tab/>
      </w:r>
      <w:r>
        <w:rPr>
          <w:color w:val="auto"/>
        </w:rPr>
        <w:fldChar w:fldCharType="begin"/>
      </w:r>
      <w:r>
        <w:rPr>
          <w:color w:val="auto"/>
        </w:rPr>
        <w:instrText xml:space="preserve"> PAGEREF _Toc646 \h </w:instrText>
      </w:r>
      <w:r>
        <w:rPr>
          <w:color w:val="auto"/>
        </w:rPr>
        <w:fldChar w:fldCharType="separate"/>
      </w:r>
      <w:r>
        <w:rPr>
          <w:color w:val="auto"/>
        </w:rPr>
        <w:t>9</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_Toc21920 </w:instrText>
      </w:r>
      <w:r>
        <w:rPr>
          <w:rFonts w:hint="eastAsia" w:ascii="宋体" w:hAnsi="宋体" w:eastAsia="宋体" w:cs="宋体"/>
          <w:color w:val="auto"/>
          <w:szCs w:val="24"/>
        </w:rPr>
        <w:fldChar w:fldCharType="separate"/>
      </w:r>
      <w:r>
        <w:rPr>
          <w:rFonts w:hint="eastAsia"/>
          <w:color w:val="auto"/>
        </w:rPr>
        <w:t>2 总</w:t>
      </w:r>
      <w:r>
        <w:rPr>
          <w:rFonts w:hint="eastAsia"/>
          <w:color w:val="auto"/>
          <w:lang w:val="en-US" w:eastAsia="zh-CN"/>
        </w:rPr>
        <w:t>则</w:t>
      </w:r>
      <w:r>
        <w:rPr>
          <w:color w:val="auto"/>
        </w:rPr>
        <w:tab/>
      </w:r>
      <w:r>
        <w:rPr>
          <w:color w:val="auto"/>
        </w:rPr>
        <w:fldChar w:fldCharType="begin"/>
      </w:r>
      <w:r>
        <w:rPr>
          <w:color w:val="auto"/>
        </w:rPr>
        <w:instrText xml:space="preserve"> PAGEREF _Toc21920 \h </w:instrText>
      </w:r>
      <w:r>
        <w:rPr>
          <w:color w:val="auto"/>
        </w:rPr>
        <w:fldChar w:fldCharType="separate"/>
      </w:r>
      <w:r>
        <w:rPr>
          <w:color w:val="auto"/>
        </w:rPr>
        <w:t>10</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_Toc2638 </w:instrText>
      </w:r>
      <w:r>
        <w:rPr>
          <w:rFonts w:hint="eastAsia" w:ascii="宋体" w:hAnsi="宋体" w:eastAsia="宋体" w:cs="宋体"/>
          <w:color w:val="auto"/>
          <w:szCs w:val="24"/>
        </w:rPr>
        <w:fldChar w:fldCharType="separate"/>
      </w:r>
      <w:r>
        <w:rPr>
          <w:rFonts w:hint="eastAsia"/>
          <w:color w:val="auto"/>
        </w:rPr>
        <w:t>2.1 评价目的与指导思想</w:t>
      </w:r>
      <w:r>
        <w:rPr>
          <w:color w:val="auto"/>
        </w:rPr>
        <w:tab/>
      </w:r>
      <w:r>
        <w:rPr>
          <w:color w:val="auto"/>
        </w:rPr>
        <w:fldChar w:fldCharType="begin"/>
      </w:r>
      <w:r>
        <w:rPr>
          <w:color w:val="auto"/>
        </w:rPr>
        <w:instrText xml:space="preserve"> PAGEREF _Toc2638 \h </w:instrText>
      </w:r>
      <w:r>
        <w:rPr>
          <w:color w:val="auto"/>
        </w:rPr>
        <w:fldChar w:fldCharType="separate"/>
      </w:r>
      <w:r>
        <w:rPr>
          <w:color w:val="auto"/>
        </w:rPr>
        <w:t>10</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_Toc15742 </w:instrText>
      </w:r>
      <w:r>
        <w:rPr>
          <w:rFonts w:hint="eastAsia" w:ascii="宋体" w:hAnsi="宋体" w:eastAsia="宋体" w:cs="宋体"/>
          <w:color w:val="auto"/>
          <w:szCs w:val="24"/>
        </w:rPr>
        <w:fldChar w:fldCharType="separate"/>
      </w:r>
      <w:r>
        <w:rPr>
          <w:rFonts w:hint="eastAsia"/>
          <w:color w:val="auto"/>
        </w:rPr>
        <w:t>2.2 编制依据</w:t>
      </w:r>
      <w:r>
        <w:rPr>
          <w:color w:val="auto"/>
        </w:rPr>
        <w:tab/>
      </w:r>
      <w:r>
        <w:rPr>
          <w:color w:val="auto"/>
        </w:rPr>
        <w:fldChar w:fldCharType="begin"/>
      </w:r>
      <w:r>
        <w:rPr>
          <w:color w:val="auto"/>
        </w:rPr>
        <w:instrText xml:space="preserve"> PAGEREF _Toc15742 \h </w:instrText>
      </w:r>
      <w:r>
        <w:rPr>
          <w:color w:val="auto"/>
        </w:rPr>
        <w:fldChar w:fldCharType="separate"/>
      </w:r>
      <w:r>
        <w:rPr>
          <w:color w:val="auto"/>
        </w:rPr>
        <w:t>11</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_Toc24245 </w:instrText>
      </w:r>
      <w:r>
        <w:rPr>
          <w:rFonts w:hint="eastAsia" w:ascii="宋体" w:hAnsi="宋体" w:eastAsia="宋体" w:cs="宋体"/>
          <w:color w:val="auto"/>
          <w:szCs w:val="24"/>
        </w:rPr>
        <w:fldChar w:fldCharType="separate"/>
      </w:r>
      <w:r>
        <w:rPr>
          <w:rFonts w:hint="eastAsia"/>
          <w:color w:val="auto"/>
        </w:rPr>
        <w:t xml:space="preserve">2.3 </w:t>
      </w:r>
      <w:r>
        <w:rPr>
          <w:color w:val="auto"/>
        </w:rPr>
        <w:t>评价</w:t>
      </w:r>
      <w:r>
        <w:rPr>
          <w:rFonts w:hint="eastAsia"/>
          <w:color w:val="auto"/>
        </w:rPr>
        <w:t>内容及评价因子</w:t>
      </w:r>
      <w:r>
        <w:rPr>
          <w:color w:val="auto"/>
        </w:rPr>
        <w:tab/>
      </w:r>
      <w:r>
        <w:rPr>
          <w:color w:val="auto"/>
        </w:rPr>
        <w:fldChar w:fldCharType="begin"/>
      </w:r>
      <w:r>
        <w:rPr>
          <w:color w:val="auto"/>
        </w:rPr>
        <w:instrText xml:space="preserve"> PAGEREF _Toc24245 \h </w:instrText>
      </w:r>
      <w:r>
        <w:rPr>
          <w:color w:val="auto"/>
        </w:rPr>
        <w:fldChar w:fldCharType="separate"/>
      </w:r>
      <w:r>
        <w:rPr>
          <w:color w:val="auto"/>
        </w:rPr>
        <w:t>15</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_Toc32622 </w:instrText>
      </w:r>
      <w:r>
        <w:rPr>
          <w:rFonts w:hint="eastAsia" w:ascii="宋体" w:hAnsi="宋体" w:eastAsia="宋体" w:cs="宋体"/>
          <w:color w:val="auto"/>
          <w:szCs w:val="24"/>
        </w:rPr>
        <w:fldChar w:fldCharType="separate"/>
      </w:r>
      <w:r>
        <w:rPr>
          <w:rFonts w:hint="eastAsia"/>
          <w:color w:val="auto"/>
        </w:rPr>
        <w:t xml:space="preserve">2.4 </w:t>
      </w:r>
      <w:r>
        <w:rPr>
          <w:color w:val="auto"/>
        </w:rPr>
        <w:t>评价等级与评价范围</w:t>
      </w:r>
      <w:r>
        <w:rPr>
          <w:color w:val="auto"/>
        </w:rPr>
        <w:tab/>
      </w:r>
      <w:r>
        <w:rPr>
          <w:color w:val="auto"/>
        </w:rPr>
        <w:fldChar w:fldCharType="begin"/>
      </w:r>
      <w:r>
        <w:rPr>
          <w:color w:val="auto"/>
        </w:rPr>
        <w:instrText xml:space="preserve"> PAGEREF _Toc32622 \h </w:instrText>
      </w:r>
      <w:r>
        <w:rPr>
          <w:color w:val="auto"/>
        </w:rPr>
        <w:fldChar w:fldCharType="separate"/>
      </w:r>
      <w:r>
        <w:rPr>
          <w:color w:val="auto"/>
        </w:rPr>
        <w:t>17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_Toc12821 </w:instrText>
      </w:r>
      <w:r>
        <w:rPr>
          <w:rFonts w:hint="eastAsia" w:ascii="宋体" w:hAnsi="宋体" w:eastAsia="宋体" w:cs="宋体"/>
          <w:color w:val="auto"/>
          <w:szCs w:val="24"/>
        </w:rPr>
        <w:fldChar w:fldCharType="separate"/>
      </w:r>
      <w:r>
        <w:rPr>
          <w:rFonts w:hint="eastAsia"/>
          <w:color w:val="auto"/>
        </w:rPr>
        <w:t>2.5 评价标准</w:t>
      </w:r>
      <w:r>
        <w:rPr>
          <w:color w:val="auto"/>
        </w:rPr>
        <w:tab/>
      </w:r>
      <w:r>
        <w:rPr>
          <w:color w:val="auto"/>
        </w:rPr>
        <w:fldChar w:fldCharType="begin"/>
      </w:r>
      <w:r>
        <w:rPr>
          <w:color w:val="auto"/>
        </w:rPr>
        <w:instrText xml:space="preserve"> PAGEREF _Toc12821 \h </w:instrText>
      </w:r>
      <w:r>
        <w:rPr>
          <w:color w:val="auto"/>
        </w:rPr>
        <w:fldChar w:fldCharType="separate"/>
      </w:r>
      <w:r>
        <w:rPr>
          <w:color w:val="auto"/>
        </w:rPr>
        <w:t>21</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_Toc13789 </w:instrText>
      </w:r>
      <w:r>
        <w:rPr>
          <w:rFonts w:hint="eastAsia" w:ascii="宋体" w:hAnsi="宋体" w:eastAsia="宋体" w:cs="宋体"/>
          <w:color w:val="auto"/>
          <w:szCs w:val="24"/>
        </w:rPr>
        <w:fldChar w:fldCharType="separate"/>
      </w:r>
      <w:r>
        <w:rPr>
          <w:rFonts w:hint="eastAsia"/>
          <w:color w:val="auto"/>
        </w:rPr>
        <w:t>2.6 评价时段</w:t>
      </w:r>
      <w:r>
        <w:rPr>
          <w:color w:val="auto"/>
        </w:rPr>
        <w:tab/>
      </w:r>
      <w:r>
        <w:rPr>
          <w:color w:val="auto"/>
        </w:rPr>
        <w:fldChar w:fldCharType="begin"/>
      </w:r>
      <w:r>
        <w:rPr>
          <w:color w:val="auto"/>
        </w:rPr>
        <w:instrText xml:space="preserve"> PAGEREF _Toc13789 \h </w:instrText>
      </w:r>
      <w:r>
        <w:rPr>
          <w:color w:val="auto"/>
        </w:rPr>
        <w:fldChar w:fldCharType="separate"/>
      </w:r>
      <w:r>
        <w:rPr>
          <w:color w:val="auto"/>
        </w:rPr>
        <w:t>26</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_Toc2236 </w:instrText>
      </w:r>
      <w:r>
        <w:rPr>
          <w:rFonts w:hint="eastAsia" w:ascii="宋体" w:hAnsi="宋体" w:eastAsia="宋体" w:cs="宋体"/>
          <w:color w:val="auto"/>
          <w:szCs w:val="24"/>
        </w:rPr>
        <w:fldChar w:fldCharType="separate"/>
      </w:r>
      <w:r>
        <w:rPr>
          <w:rFonts w:hint="eastAsia"/>
          <w:color w:val="auto"/>
        </w:rPr>
        <w:t xml:space="preserve">2.7 </w:t>
      </w:r>
      <w:r>
        <w:rPr>
          <w:rFonts w:hint="eastAsia"/>
          <w:color w:val="auto"/>
          <w:lang w:eastAsia="zh-CN"/>
        </w:rPr>
        <w:t>选址及</w:t>
      </w:r>
      <w:r>
        <w:rPr>
          <w:rFonts w:hint="eastAsia"/>
          <w:color w:val="auto"/>
        </w:rPr>
        <w:t>环境功能区划</w:t>
      </w:r>
      <w:r>
        <w:rPr>
          <w:rFonts w:hint="eastAsia"/>
          <w:color w:val="auto"/>
          <w:lang w:eastAsia="zh-CN"/>
        </w:rPr>
        <w:t>相符性分析</w:t>
      </w:r>
      <w:r>
        <w:rPr>
          <w:color w:val="auto"/>
        </w:rPr>
        <w:tab/>
      </w:r>
      <w:r>
        <w:rPr>
          <w:color w:val="auto"/>
        </w:rPr>
        <w:fldChar w:fldCharType="begin"/>
      </w:r>
      <w:r>
        <w:rPr>
          <w:color w:val="auto"/>
        </w:rPr>
        <w:instrText xml:space="preserve"> PAGEREF _Toc2236 \h </w:instrText>
      </w:r>
      <w:r>
        <w:rPr>
          <w:color w:val="auto"/>
        </w:rPr>
        <w:fldChar w:fldCharType="separate"/>
      </w:r>
      <w:r>
        <w:rPr>
          <w:color w:val="auto"/>
        </w:rPr>
        <w:t>26</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_Toc8489 </w:instrText>
      </w:r>
      <w:r>
        <w:rPr>
          <w:rFonts w:hint="eastAsia" w:ascii="宋体" w:hAnsi="宋体" w:eastAsia="宋体" w:cs="宋体"/>
          <w:color w:val="auto"/>
          <w:szCs w:val="24"/>
        </w:rPr>
        <w:fldChar w:fldCharType="separate"/>
      </w:r>
      <w:r>
        <w:rPr>
          <w:rFonts w:hint="eastAsia" w:eastAsia="宋体"/>
          <w:bCs/>
          <w:color w:val="auto"/>
        </w:rPr>
        <w:t>2.8 环保政策相符性分析</w:t>
      </w:r>
      <w:r>
        <w:rPr>
          <w:color w:val="auto"/>
        </w:rPr>
        <w:tab/>
      </w:r>
      <w:r>
        <w:rPr>
          <w:color w:val="auto"/>
        </w:rPr>
        <w:fldChar w:fldCharType="begin"/>
      </w:r>
      <w:r>
        <w:rPr>
          <w:color w:val="auto"/>
        </w:rPr>
        <w:instrText xml:space="preserve"> PAGEREF _Toc8489 \h </w:instrText>
      </w:r>
      <w:r>
        <w:rPr>
          <w:color w:val="auto"/>
        </w:rPr>
        <w:fldChar w:fldCharType="separate"/>
      </w:r>
      <w:r>
        <w:rPr>
          <w:color w:val="auto"/>
        </w:rPr>
        <w:t>33</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_Toc25012 </w:instrText>
      </w:r>
      <w:r>
        <w:rPr>
          <w:rFonts w:hint="eastAsia" w:ascii="宋体" w:hAnsi="宋体" w:eastAsia="宋体" w:cs="宋体"/>
          <w:color w:val="auto"/>
          <w:szCs w:val="24"/>
        </w:rPr>
        <w:fldChar w:fldCharType="separate"/>
      </w:r>
      <w:r>
        <w:rPr>
          <w:rFonts w:hint="eastAsia"/>
          <w:color w:val="auto"/>
        </w:rPr>
        <w:t xml:space="preserve">2.9 </w:t>
      </w:r>
      <w:r>
        <w:rPr>
          <w:color w:val="auto"/>
        </w:rPr>
        <w:t>环境保护目标</w:t>
      </w:r>
      <w:r>
        <w:rPr>
          <w:color w:val="auto"/>
        </w:rPr>
        <w:tab/>
      </w:r>
      <w:r>
        <w:rPr>
          <w:color w:val="auto"/>
        </w:rPr>
        <w:fldChar w:fldCharType="begin"/>
      </w:r>
      <w:r>
        <w:rPr>
          <w:color w:val="auto"/>
        </w:rPr>
        <w:instrText xml:space="preserve"> PAGEREF _Toc25012 \h </w:instrText>
      </w:r>
      <w:r>
        <w:rPr>
          <w:color w:val="auto"/>
        </w:rPr>
        <w:fldChar w:fldCharType="separate"/>
      </w:r>
      <w:r>
        <w:rPr>
          <w:color w:val="auto"/>
        </w:rPr>
        <w:t>44</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_Toc3023 </w:instrText>
      </w:r>
      <w:r>
        <w:rPr>
          <w:rFonts w:hint="eastAsia" w:ascii="宋体" w:hAnsi="宋体" w:eastAsia="宋体" w:cs="宋体"/>
          <w:color w:val="auto"/>
          <w:szCs w:val="24"/>
        </w:rPr>
        <w:fldChar w:fldCharType="separate"/>
      </w:r>
      <w:r>
        <w:rPr>
          <w:rFonts w:hint="eastAsia"/>
          <w:color w:val="auto"/>
          <w:lang w:val="en-US" w:eastAsia="zh-CN"/>
        </w:rPr>
        <w:t>3</w:t>
      </w:r>
      <w:r>
        <w:rPr>
          <w:rFonts w:hint="eastAsia"/>
          <w:color w:val="auto"/>
        </w:rPr>
        <w:t>建设项目概况与工程分析</w:t>
      </w:r>
      <w:r>
        <w:rPr>
          <w:color w:val="auto"/>
        </w:rPr>
        <w:tab/>
      </w:r>
      <w:r>
        <w:rPr>
          <w:color w:val="auto"/>
        </w:rPr>
        <w:fldChar w:fldCharType="begin"/>
      </w:r>
      <w:r>
        <w:rPr>
          <w:color w:val="auto"/>
        </w:rPr>
        <w:instrText xml:space="preserve"> PAGEREF _Toc3023 \h </w:instrText>
      </w:r>
      <w:r>
        <w:rPr>
          <w:color w:val="auto"/>
        </w:rPr>
        <w:fldChar w:fldCharType="separate"/>
      </w:r>
      <w:r>
        <w:rPr>
          <w:color w:val="auto"/>
        </w:rPr>
        <w:t>53</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_Toc28339 </w:instrText>
      </w:r>
      <w:r>
        <w:rPr>
          <w:rFonts w:hint="eastAsia" w:ascii="宋体" w:hAnsi="宋体" w:eastAsia="宋体" w:cs="宋体"/>
          <w:color w:val="auto"/>
          <w:szCs w:val="24"/>
        </w:rPr>
        <w:fldChar w:fldCharType="separate"/>
      </w:r>
      <w:r>
        <w:rPr>
          <w:rFonts w:hint="eastAsia"/>
          <w:color w:val="auto"/>
          <w:lang w:val="en-US" w:eastAsia="zh-CN"/>
        </w:rPr>
        <w:t>3</w:t>
      </w:r>
      <w:r>
        <w:rPr>
          <w:rFonts w:hint="eastAsia"/>
          <w:color w:val="auto"/>
        </w:rPr>
        <w:t>.1建设项目概况</w:t>
      </w:r>
      <w:r>
        <w:rPr>
          <w:color w:val="auto"/>
        </w:rPr>
        <w:tab/>
      </w:r>
      <w:r>
        <w:rPr>
          <w:color w:val="auto"/>
        </w:rPr>
        <w:fldChar w:fldCharType="begin"/>
      </w:r>
      <w:r>
        <w:rPr>
          <w:color w:val="auto"/>
        </w:rPr>
        <w:instrText xml:space="preserve"> PAGEREF _Toc28339 \h </w:instrText>
      </w:r>
      <w:r>
        <w:rPr>
          <w:color w:val="auto"/>
        </w:rPr>
        <w:fldChar w:fldCharType="separate"/>
      </w:r>
      <w:r>
        <w:rPr>
          <w:color w:val="auto"/>
        </w:rPr>
        <w:t>53</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_Toc29977 </w:instrText>
      </w:r>
      <w:r>
        <w:rPr>
          <w:rFonts w:hint="eastAsia" w:ascii="宋体" w:hAnsi="宋体" w:eastAsia="宋体" w:cs="宋体"/>
          <w:color w:val="auto"/>
          <w:szCs w:val="24"/>
        </w:rPr>
        <w:fldChar w:fldCharType="separate"/>
      </w:r>
      <w:r>
        <w:rPr>
          <w:rFonts w:hint="eastAsia"/>
          <w:color w:val="auto"/>
          <w:lang w:val="en-US" w:eastAsia="zh-CN"/>
        </w:rPr>
        <w:t>3.2</w:t>
      </w:r>
      <w:r>
        <w:rPr>
          <w:rFonts w:hint="eastAsia"/>
          <w:color w:val="auto"/>
        </w:rPr>
        <w:t>工程分析</w:t>
      </w:r>
      <w:r>
        <w:rPr>
          <w:color w:val="auto"/>
        </w:rPr>
        <w:tab/>
      </w:r>
      <w:r>
        <w:rPr>
          <w:color w:val="auto"/>
        </w:rPr>
        <w:fldChar w:fldCharType="begin"/>
      </w:r>
      <w:r>
        <w:rPr>
          <w:color w:val="auto"/>
        </w:rPr>
        <w:instrText xml:space="preserve"> PAGEREF _Toc29977 \h </w:instrText>
      </w:r>
      <w:r>
        <w:rPr>
          <w:color w:val="auto"/>
        </w:rPr>
        <w:fldChar w:fldCharType="separate"/>
      </w:r>
      <w:r>
        <w:rPr>
          <w:color w:val="auto"/>
        </w:rPr>
        <w:t>74</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_Toc7331 </w:instrText>
      </w:r>
      <w:r>
        <w:rPr>
          <w:rFonts w:hint="eastAsia" w:ascii="宋体" w:hAnsi="宋体" w:eastAsia="宋体" w:cs="宋体"/>
          <w:color w:val="auto"/>
          <w:szCs w:val="24"/>
        </w:rPr>
        <w:fldChar w:fldCharType="separate"/>
      </w:r>
      <w:r>
        <w:rPr>
          <w:rFonts w:hint="eastAsia"/>
          <w:color w:val="auto"/>
          <w:lang w:val="en-US" w:eastAsia="zh-CN"/>
        </w:rPr>
        <w:t>4</w:t>
      </w:r>
      <w:r>
        <w:rPr>
          <w:rFonts w:hint="eastAsia"/>
          <w:color w:val="auto"/>
        </w:rPr>
        <w:t>环境质量现状评价</w:t>
      </w:r>
      <w:r>
        <w:rPr>
          <w:color w:val="auto"/>
        </w:rPr>
        <w:tab/>
      </w:r>
      <w:r>
        <w:rPr>
          <w:color w:val="auto"/>
        </w:rPr>
        <w:fldChar w:fldCharType="begin"/>
      </w:r>
      <w:r>
        <w:rPr>
          <w:color w:val="auto"/>
        </w:rPr>
        <w:instrText xml:space="preserve"> PAGEREF _Toc7331 \h </w:instrText>
      </w:r>
      <w:r>
        <w:rPr>
          <w:color w:val="auto"/>
        </w:rPr>
        <w:fldChar w:fldCharType="separate"/>
      </w:r>
      <w:r>
        <w:rPr>
          <w:color w:val="auto"/>
        </w:rPr>
        <w:t>97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_Toc24064 </w:instrText>
      </w:r>
      <w:r>
        <w:rPr>
          <w:rFonts w:hint="eastAsia" w:ascii="宋体" w:hAnsi="宋体" w:eastAsia="宋体" w:cs="宋体"/>
          <w:color w:val="auto"/>
          <w:szCs w:val="24"/>
        </w:rPr>
        <w:fldChar w:fldCharType="separate"/>
      </w:r>
      <w:r>
        <w:rPr>
          <w:rFonts w:hint="eastAsia"/>
          <w:bCs w:val="0"/>
          <w:color w:val="auto"/>
          <w:szCs w:val="28"/>
          <w:lang w:val="en-US" w:eastAsia="zh-CN"/>
        </w:rPr>
        <w:t>4</w:t>
      </w:r>
      <w:r>
        <w:rPr>
          <w:rFonts w:hint="eastAsia" w:ascii="Times New Roman" w:hAnsi="Times New Roman"/>
          <w:bCs w:val="0"/>
          <w:color w:val="auto"/>
          <w:szCs w:val="28"/>
        </w:rPr>
        <w:t>.1自然环境</w:t>
      </w:r>
      <w:r>
        <w:rPr>
          <w:color w:val="auto"/>
        </w:rPr>
        <w:tab/>
      </w:r>
      <w:r>
        <w:rPr>
          <w:color w:val="auto"/>
        </w:rPr>
        <w:fldChar w:fldCharType="begin"/>
      </w:r>
      <w:r>
        <w:rPr>
          <w:color w:val="auto"/>
        </w:rPr>
        <w:instrText xml:space="preserve"> PAGEREF _Toc24064 \h </w:instrText>
      </w:r>
      <w:r>
        <w:rPr>
          <w:color w:val="auto"/>
        </w:rPr>
        <w:fldChar w:fldCharType="separate"/>
      </w:r>
      <w:r>
        <w:rPr>
          <w:color w:val="auto"/>
        </w:rPr>
        <w:t>97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_Toc31081 </w:instrText>
      </w:r>
      <w:r>
        <w:rPr>
          <w:rFonts w:hint="eastAsia" w:ascii="宋体" w:hAnsi="宋体" w:eastAsia="宋体" w:cs="宋体"/>
          <w:color w:val="auto"/>
          <w:szCs w:val="24"/>
        </w:rPr>
        <w:fldChar w:fldCharType="separate"/>
      </w:r>
      <w:r>
        <w:rPr>
          <w:rFonts w:hint="eastAsia"/>
          <w:color w:val="auto"/>
          <w:lang w:val="en-US" w:eastAsia="zh-CN"/>
        </w:rPr>
        <w:t>4.2</w:t>
      </w:r>
      <w:r>
        <w:rPr>
          <w:color w:val="auto"/>
        </w:rPr>
        <w:t>大气环境质量现状调查及评价</w:t>
      </w:r>
      <w:r>
        <w:rPr>
          <w:color w:val="auto"/>
        </w:rPr>
        <w:tab/>
      </w:r>
      <w:r>
        <w:rPr>
          <w:color w:val="auto"/>
        </w:rPr>
        <w:fldChar w:fldCharType="begin"/>
      </w:r>
      <w:r>
        <w:rPr>
          <w:color w:val="auto"/>
        </w:rPr>
        <w:instrText xml:space="preserve"> PAGEREF _Toc31081 \h </w:instrText>
      </w:r>
      <w:r>
        <w:rPr>
          <w:color w:val="auto"/>
        </w:rPr>
        <w:fldChar w:fldCharType="separate"/>
      </w:r>
      <w:r>
        <w:rPr>
          <w:color w:val="auto"/>
        </w:rPr>
        <w:t>99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_Toc12898 </w:instrText>
      </w:r>
      <w:r>
        <w:rPr>
          <w:rFonts w:hint="eastAsia" w:ascii="宋体" w:hAnsi="宋体" w:eastAsia="宋体" w:cs="宋体"/>
          <w:color w:val="auto"/>
          <w:szCs w:val="24"/>
        </w:rPr>
        <w:fldChar w:fldCharType="separate"/>
      </w:r>
      <w:r>
        <w:rPr>
          <w:rFonts w:hint="eastAsia"/>
          <w:color w:val="auto"/>
          <w:lang w:val="en-US" w:eastAsia="zh-CN"/>
        </w:rPr>
        <w:t>4.3</w:t>
      </w:r>
      <w:r>
        <w:rPr>
          <w:rFonts w:hint="eastAsia"/>
          <w:color w:val="auto"/>
        </w:rPr>
        <w:t>地表水环境质量现状调查及评价</w:t>
      </w:r>
      <w:r>
        <w:rPr>
          <w:color w:val="auto"/>
        </w:rPr>
        <w:tab/>
      </w:r>
      <w:r>
        <w:rPr>
          <w:color w:val="auto"/>
        </w:rPr>
        <w:fldChar w:fldCharType="begin"/>
      </w:r>
      <w:r>
        <w:rPr>
          <w:color w:val="auto"/>
        </w:rPr>
        <w:instrText xml:space="preserve"> PAGEREF _Toc12898 \h </w:instrText>
      </w:r>
      <w:r>
        <w:rPr>
          <w:color w:val="auto"/>
        </w:rPr>
        <w:fldChar w:fldCharType="separate"/>
      </w:r>
      <w:r>
        <w:rPr>
          <w:color w:val="auto"/>
        </w:rPr>
        <w:t>102</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_Toc10442 </w:instrText>
      </w:r>
      <w:r>
        <w:rPr>
          <w:rFonts w:hint="eastAsia" w:ascii="宋体" w:hAnsi="宋体" w:eastAsia="宋体" w:cs="宋体"/>
          <w:color w:val="auto"/>
          <w:szCs w:val="24"/>
        </w:rPr>
        <w:fldChar w:fldCharType="separate"/>
      </w:r>
      <w:r>
        <w:rPr>
          <w:rFonts w:hint="eastAsia"/>
          <w:color w:val="auto"/>
          <w:lang w:val="en-US" w:eastAsia="zh-CN"/>
        </w:rPr>
        <w:t>4.4</w:t>
      </w:r>
      <w:r>
        <w:rPr>
          <w:rFonts w:hint="eastAsia"/>
          <w:color w:val="auto"/>
        </w:rPr>
        <w:t>建设项目声环境现状调查</w:t>
      </w:r>
      <w:r>
        <w:rPr>
          <w:color w:val="auto"/>
        </w:rPr>
        <w:tab/>
      </w:r>
      <w:r>
        <w:rPr>
          <w:color w:val="auto"/>
        </w:rPr>
        <w:fldChar w:fldCharType="begin"/>
      </w:r>
      <w:r>
        <w:rPr>
          <w:color w:val="auto"/>
        </w:rPr>
        <w:instrText xml:space="preserve"> PAGEREF _Toc10442 \h </w:instrText>
      </w:r>
      <w:r>
        <w:rPr>
          <w:color w:val="auto"/>
        </w:rPr>
        <w:fldChar w:fldCharType="separate"/>
      </w:r>
      <w:r>
        <w:rPr>
          <w:color w:val="auto"/>
        </w:rPr>
        <w:t>103</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_Toc22726 </w:instrText>
      </w:r>
      <w:r>
        <w:rPr>
          <w:rFonts w:hint="eastAsia" w:ascii="宋体" w:hAnsi="宋体" w:eastAsia="宋体" w:cs="宋体"/>
          <w:color w:val="auto"/>
          <w:szCs w:val="24"/>
        </w:rPr>
        <w:fldChar w:fldCharType="separate"/>
      </w:r>
      <w:r>
        <w:rPr>
          <w:rFonts w:hint="eastAsia" w:cs="Times New Roman"/>
          <w:color w:val="auto"/>
          <w:lang w:val="en-US" w:eastAsia="zh-CN"/>
        </w:rPr>
        <w:t>4.</w:t>
      </w:r>
      <w:r>
        <w:rPr>
          <w:rFonts w:hint="eastAsia" w:ascii="Times New Roman" w:hAnsi="Times New Roman" w:cs="Times New Roman"/>
          <w:color w:val="auto"/>
          <w:lang w:val="en-US" w:eastAsia="zh-CN"/>
        </w:rPr>
        <w:t>5</w:t>
      </w:r>
      <w:r>
        <w:rPr>
          <w:rFonts w:hint="eastAsia" w:cs="Times New Roman"/>
          <w:color w:val="auto"/>
          <w:lang w:val="en-US" w:eastAsia="zh-CN"/>
        </w:rPr>
        <w:t xml:space="preserve"> 地下水</w:t>
      </w:r>
      <w:r>
        <w:rPr>
          <w:rFonts w:hint="eastAsia"/>
          <w:color w:val="auto"/>
          <w:lang w:eastAsia="zh-CN"/>
        </w:rPr>
        <w:t>环境质量现状调查及评价</w:t>
      </w:r>
      <w:r>
        <w:rPr>
          <w:color w:val="auto"/>
        </w:rPr>
        <w:tab/>
      </w:r>
      <w:r>
        <w:rPr>
          <w:color w:val="auto"/>
        </w:rPr>
        <w:fldChar w:fldCharType="begin"/>
      </w:r>
      <w:r>
        <w:rPr>
          <w:color w:val="auto"/>
        </w:rPr>
        <w:instrText xml:space="preserve"> PAGEREF _Toc22726 \h </w:instrText>
      </w:r>
      <w:r>
        <w:rPr>
          <w:color w:val="auto"/>
        </w:rPr>
        <w:fldChar w:fldCharType="separate"/>
      </w:r>
      <w:r>
        <w:rPr>
          <w:color w:val="auto"/>
        </w:rPr>
        <w:t>107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_Toc1332 </w:instrText>
      </w:r>
      <w:r>
        <w:rPr>
          <w:rFonts w:hint="eastAsia" w:ascii="宋体" w:hAnsi="宋体" w:eastAsia="宋体" w:cs="宋体"/>
          <w:color w:val="auto"/>
          <w:szCs w:val="24"/>
        </w:rPr>
        <w:fldChar w:fldCharType="separate"/>
      </w:r>
      <w:r>
        <w:rPr>
          <w:rFonts w:hint="eastAsia" w:cs="Times New Roman"/>
          <w:color w:val="auto"/>
          <w:lang w:val="en-US" w:eastAsia="zh-CN"/>
        </w:rPr>
        <w:t>4.6</w:t>
      </w:r>
      <w:r>
        <w:rPr>
          <w:rFonts w:hint="default" w:ascii="Times New Roman" w:hAnsi="Times New Roman" w:cs="Times New Roman"/>
          <w:color w:val="auto"/>
        </w:rPr>
        <w:t>现状评价结果</w:t>
      </w:r>
      <w:r>
        <w:rPr>
          <w:color w:val="auto"/>
        </w:rPr>
        <w:tab/>
      </w:r>
      <w:r>
        <w:rPr>
          <w:color w:val="auto"/>
        </w:rPr>
        <w:fldChar w:fldCharType="begin"/>
      </w:r>
      <w:r>
        <w:rPr>
          <w:color w:val="auto"/>
        </w:rPr>
        <w:instrText xml:space="preserve"> PAGEREF _Toc1332 \h </w:instrText>
      </w:r>
      <w:r>
        <w:rPr>
          <w:color w:val="auto"/>
        </w:rPr>
        <w:fldChar w:fldCharType="separate"/>
      </w:r>
      <w:r>
        <w:rPr>
          <w:color w:val="auto"/>
        </w:rPr>
        <w:t>114</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_Toc30183 </w:instrText>
      </w:r>
      <w:r>
        <w:rPr>
          <w:rFonts w:hint="eastAsia" w:ascii="宋体" w:hAnsi="宋体" w:eastAsia="宋体" w:cs="宋体"/>
          <w:color w:val="auto"/>
          <w:szCs w:val="24"/>
        </w:rPr>
        <w:fldChar w:fldCharType="separate"/>
      </w:r>
      <w:r>
        <w:rPr>
          <w:rFonts w:hint="eastAsia"/>
          <w:color w:val="auto"/>
          <w:lang w:val="en-US" w:eastAsia="zh-CN"/>
        </w:rPr>
        <w:t>5</w:t>
      </w:r>
      <w:r>
        <w:rPr>
          <w:rFonts w:hint="eastAsia"/>
          <w:color w:val="auto"/>
        </w:rPr>
        <w:t>环境影响评价</w:t>
      </w:r>
      <w:r>
        <w:rPr>
          <w:color w:val="auto"/>
        </w:rPr>
        <w:tab/>
      </w:r>
      <w:r>
        <w:rPr>
          <w:color w:val="auto"/>
        </w:rPr>
        <w:fldChar w:fldCharType="begin"/>
      </w:r>
      <w:r>
        <w:rPr>
          <w:color w:val="auto"/>
        </w:rPr>
        <w:instrText xml:space="preserve"> PAGEREF _Toc30183 \h </w:instrText>
      </w:r>
      <w:r>
        <w:rPr>
          <w:color w:val="auto"/>
        </w:rPr>
        <w:fldChar w:fldCharType="separate"/>
      </w:r>
      <w:r>
        <w:rPr>
          <w:color w:val="auto"/>
        </w:rPr>
        <w:t>115</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_Toc4088 </w:instrText>
      </w:r>
      <w:r>
        <w:rPr>
          <w:rFonts w:hint="eastAsia" w:ascii="宋体" w:hAnsi="宋体" w:eastAsia="宋体" w:cs="宋体"/>
          <w:color w:val="auto"/>
          <w:szCs w:val="24"/>
        </w:rPr>
        <w:fldChar w:fldCharType="separate"/>
      </w:r>
      <w:r>
        <w:rPr>
          <w:rFonts w:hint="eastAsia"/>
          <w:color w:val="auto"/>
          <w:lang w:val="en-US" w:eastAsia="zh-CN"/>
        </w:rPr>
        <w:t>5.1</w:t>
      </w:r>
      <w:r>
        <w:rPr>
          <w:rFonts w:hint="eastAsia"/>
          <w:color w:val="auto"/>
        </w:rPr>
        <w:t>施工期环境影响评价</w:t>
      </w:r>
      <w:r>
        <w:rPr>
          <w:color w:val="auto"/>
        </w:rPr>
        <w:tab/>
      </w:r>
      <w:r>
        <w:rPr>
          <w:color w:val="auto"/>
        </w:rPr>
        <w:fldChar w:fldCharType="begin"/>
      </w:r>
      <w:r>
        <w:rPr>
          <w:color w:val="auto"/>
        </w:rPr>
        <w:instrText xml:space="preserve"> PAGEREF _Toc4088 \h </w:instrText>
      </w:r>
      <w:r>
        <w:rPr>
          <w:color w:val="auto"/>
        </w:rPr>
        <w:fldChar w:fldCharType="separate"/>
      </w:r>
      <w:r>
        <w:rPr>
          <w:color w:val="auto"/>
        </w:rPr>
        <w:t>115</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_Toc6842 </w:instrText>
      </w:r>
      <w:r>
        <w:rPr>
          <w:rFonts w:hint="eastAsia" w:ascii="宋体" w:hAnsi="宋体" w:eastAsia="宋体" w:cs="宋体"/>
          <w:color w:val="auto"/>
          <w:szCs w:val="24"/>
        </w:rPr>
        <w:fldChar w:fldCharType="separate"/>
      </w:r>
      <w:r>
        <w:rPr>
          <w:rFonts w:hint="eastAsia" w:cs="Times New Roman"/>
          <w:color w:val="auto"/>
          <w:lang w:val="en-US" w:eastAsia="zh-CN"/>
        </w:rPr>
        <w:t>5</w:t>
      </w:r>
      <w:r>
        <w:rPr>
          <w:rFonts w:hint="default" w:ascii="Times New Roman" w:hAnsi="Times New Roman" w:cs="Times New Roman"/>
          <w:color w:val="auto"/>
          <w:lang w:val="en-US" w:eastAsia="zh-CN"/>
        </w:rPr>
        <w:t>.2</w:t>
      </w:r>
      <w:r>
        <w:rPr>
          <w:rFonts w:hint="default" w:ascii="Times New Roman" w:hAnsi="Times New Roman" w:cs="Times New Roman"/>
          <w:color w:val="auto"/>
        </w:rPr>
        <w:t>营运期环境影响评价</w:t>
      </w:r>
      <w:r>
        <w:rPr>
          <w:color w:val="auto"/>
        </w:rPr>
        <w:tab/>
      </w:r>
      <w:r>
        <w:rPr>
          <w:color w:val="auto"/>
        </w:rPr>
        <w:fldChar w:fldCharType="begin"/>
      </w:r>
      <w:r>
        <w:rPr>
          <w:color w:val="auto"/>
        </w:rPr>
        <w:instrText xml:space="preserve"> PAGEREF _Toc6842 \h </w:instrText>
      </w:r>
      <w:r>
        <w:rPr>
          <w:color w:val="auto"/>
        </w:rPr>
        <w:fldChar w:fldCharType="separate"/>
      </w:r>
      <w:r>
        <w:rPr>
          <w:color w:val="auto"/>
        </w:rPr>
        <w:t>124</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_Toc22339 </w:instrText>
      </w:r>
      <w:r>
        <w:rPr>
          <w:rFonts w:hint="eastAsia" w:ascii="宋体" w:hAnsi="宋体" w:eastAsia="宋体" w:cs="宋体"/>
          <w:color w:val="auto"/>
          <w:szCs w:val="24"/>
        </w:rPr>
        <w:fldChar w:fldCharType="separate"/>
      </w:r>
      <w:r>
        <w:rPr>
          <w:rFonts w:hint="eastAsia"/>
          <w:color w:val="auto"/>
          <w:lang w:val="en-US" w:eastAsia="zh-CN"/>
        </w:rPr>
        <w:t>6</w:t>
      </w:r>
      <w:r>
        <w:rPr>
          <w:rFonts w:hint="eastAsia"/>
          <w:color w:val="auto"/>
        </w:rPr>
        <w:t>环境污染控制对策</w:t>
      </w:r>
      <w:r>
        <w:rPr>
          <w:color w:val="auto"/>
        </w:rPr>
        <w:tab/>
      </w:r>
      <w:r>
        <w:rPr>
          <w:color w:val="auto"/>
        </w:rPr>
        <w:fldChar w:fldCharType="begin"/>
      </w:r>
      <w:r>
        <w:rPr>
          <w:color w:val="auto"/>
        </w:rPr>
        <w:instrText xml:space="preserve"> PAGEREF _Toc22339 \h </w:instrText>
      </w:r>
      <w:r>
        <w:rPr>
          <w:color w:val="auto"/>
        </w:rPr>
        <w:fldChar w:fldCharType="separate"/>
      </w:r>
      <w:r>
        <w:rPr>
          <w:color w:val="auto"/>
        </w:rPr>
        <w:t>169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_Toc5167 </w:instrText>
      </w:r>
      <w:r>
        <w:rPr>
          <w:rFonts w:hint="eastAsia" w:ascii="宋体" w:hAnsi="宋体" w:eastAsia="宋体" w:cs="宋体"/>
          <w:color w:val="auto"/>
          <w:szCs w:val="24"/>
        </w:rPr>
        <w:fldChar w:fldCharType="separate"/>
      </w:r>
      <w:r>
        <w:rPr>
          <w:rFonts w:hint="eastAsia"/>
          <w:color w:val="auto"/>
          <w:lang w:val="en-US" w:eastAsia="zh-CN"/>
        </w:rPr>
        <w:t>6.1</w:t>
      </w:r>
      <w:r>
        <w:rPr>
          <w:rFonts w:hint="eastAsia"/>
          <w:color w:val="auto"/>
        </w:rPr>
        <w:t>施工期环境污染控制对策</w:t>
      </w:r>
      <w:r>
        <w:rPr>
          <w:color w:val="auto"/>
        </w:rPr>
        <w:tab/>
      </w:r>
      <w:r>
        <w:rPr>
          <w:color w:val="auto"/>
        </w:rPr>
        <w:fldChar w:fldCharType="begin"/>
      </w:r>
      <w:r>
        <w:rPr>
          <w:color w:val="auto"/>
        </w:rPr>
        <w:instrText xml:space="preserve"> PAGEREF _Toc5167 \h </w:instrText>
      </w:r>
      <w:r>
        <w:rPr>
          <w:color w:val="auto"/>
        </w:rPr>
        <w:fldChar w:fldCharType="separate"/>
      </w:r>
      <w:r>
        <w:rPr>
          <w:color w:val="auto"/>
        </w:rPr>
        <w:t>169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_Toc11011 </w:instrText>
      </w:r>
      <w:r>
        <w:rPr>
          <w:rFonts w:hint="eastAsia" w:ascii="宋体" w:hAnsi="宋体" w:eastAsia="宋体" w:cs="宋体"/>
          <w:color w:val="auto"/>
          <w:szCs w:val="24"/>
        </w:rPr>
        <w:fldChar w:fldCharType="separate"/>
      </w:r>
      <w:r>
        <w:rPr>
          <w:rFonts w:hint="eastAsia"/>
          <w:color w:val="auto"/>
          <w:lang w:val="en-US" w:eastAsia="zh-CN"/>
        </w:rPr>
        <w:t>6.2</w:t>
      </w:r>
      <w:r>
        <w:rPr>
          <w:rFonts w:hint="eastAsia"/>
          <w:color w:val="auto"/>
        </w:rPr>
        <w:t>营运期环境保护措施分析</w:t>
      </w:r>
      <w:r>
        <w:rPr>
          <w:color w:val="auto"/>
        </w:rPr>
        <w:tab/>
      </w:r>
      <w:r>
        <w:rPr>
          <w:color w:val="auto"/>
        </w:rPr>
        <w:fldChar w:fldCharType="begin"/>
      </w:r>
      <w:r>
        <w:rPr>
          <w:color w:val="auto"/>
        </w:rPr>
        <w:instrText xml:space="preserve"> PAGEREF _Toc11011 \h </w:instrText>
      </w:r>
      <w:r>
        <w:rPr>
          <w:color w:val="auto"/>
        </w:rPr>
        <w:fldChar w:fldCharType="separate"/>
      </w:r>
      <w:r>
        <w:rPr>
          <w:color w:val="auto"/>
        </w:rPr>
        <w:t>176</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_Toc31863 </w:instrText>
      </w:r>
      <w:r>
        <w:rPr>
          <w:rFonts w:hint="eastAsia" w:ascii="宋体" w:hAnsi="宋体" w:eastAsia="宋体" w:cs="宋体"/>
          <w:color w:val="auto"/>
          <w:szCs w:val="24"/>
        </w:rPr>
        <w:fldChar w:fldCharType="separate"/>
      </w:r>
      <w:r>
        <w:rPr>
          <w:rFonts w:hint="eastAsia"/>
          <w:color w:val="auto"/>
          <w:lang w:val="en-US" w:eastAsia="zh-CN"/>
        </w:rPr>
        <w:t>6.3</w:t>
      </w:r>
      <w:r>
        <w:rPr>
          <w:rFonts w:hint="eastAsia"/>
          <w:color w:val="auto"/>
        </w:rPr>
        <w:t>建设项目环保</w:t>
      </w:r>
      <w:r>
        <w:rPr>
          <w:rFonts w:hint="eastAsia"/>
          <w:color w:val="auto"/>
          <w:lang w:val="en-US" w:eastAsia="zh-CN"/>
        </w:rPr>
        <w:t>投资</w:t>
      </w:r>
      <w:r>
        <w:rPr>
          <w:color w:val="auto"/>
        </w:rPr>
        <w:tab/>
      </w:r>
      <w:r>
        <w:rPr>
          <w:color w:val="auto"/>
        </w:rPr>
        <w:fldChar w:fldCharType="begin"/>
      </w:r>
      <w:r>
        <w:rPr>
          <w:color w:val="auto"/>
        </w:rPr>
        <w:instrText xml:space="preserve"> PAGEREF _Toc31863 \h </w:instrText>
      </w:r>
      <w:r>
        <w:rPr>
          <w:color w:val="auto"/>
        </w:rPr>
        <w:fldChar w:fldCharType="separate"/>
      </w:r>
      <w:r>
        <w:rPr>
          <w:color w:val="auto"/>
        </w:rPr>
        <w:t>192</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_Toc32312 </w:instrText>
      </w:r>
      <w:r>
        <w:rPr>
          <w:rFonts w:hint="eastAsia" w:ascii="宋体" w:hAnsi="宋体" w:eastAsia="宋体" w:cs="宋体"/>
          <w:color w:val="auto"/>
          <w:szCs w:val="24"/>
        </w:rPr>
        <w:fldChar w:fldCharType="separate"/>
      </w:r>
      <w:r>
        <w:rPr>
          <w:rFonts w:hint="eastAsia"/>
          <w:color w:val="auto"/>
          <w:lang w:val="en-US" w:eastAsia="zh-CN"/>
        </w:rPr>
        <w:t>7</w:t>
      </w:r>
      <w:r>
        <w:rPr>
          <w:rFonts w:hint="eastAsia"/>
          <w:color w:val="auto"/>
        </w:rPr>
        <w:t>环境风险分析</w:t>
      </w:r>
      <w:r>
        <w:rPr>
          <w:color w:val="auto"/>
        </w:rPr>
        <w:tab/>
      </w:r>
      <w:r>
        <w:rPr>
          <w:color w:val="auto"/>
        </w:rPr>
        <w:fldChar w:fldCharType="begin"/>
      </w:r>
      <w:r>
        <w:rPr>
          <w:color w:val="auto"/>
        </w:rPr>
        <w:instrText xml:space="preserve"> PAGEREF _Toc32312 \h </w:instrText>
      </w:r>
      <w:r>
        <w:rPr>
          <w:color w:val="auto"/>
        </w:rPr>
        <w:fldChar w:fldCharType="separate"/>
      </w:r>
      <w:r>
        <w:rPr>
          <w:color w:val="auto"/>
        </w:rPr>
        <w:t>194</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_Toc5946 </w:instrText>
      </w:r>
      <w:r>
        <w:rPr>
          <w:rFonts w:hint="eastAsia" w:ascii="宋体" w:hAnsi="宋体" w:eastAsia="宋体" w:cs="宋体"/>
          <w:color w:val="auto"/>
          <w:szCs w:val="24"/>
        </w:rPr>
        <w:fldChar w:fldCharType="separate"/>
      </w:r>
      <w:r>
        <w:rPr>
          <w:rFonts w:hint="eastAsia"/>
          <w:color w:val="auto"/>
          <w:lang w:val="en-US" w:eastAsia="zh-CN"/>
        </w:rPr>
        <w:t>7.1</w:t>
      </w:r>
      <w:r>
        <w:rPr>
          <w:rFonts w:hint="eastAsia"/>
          <w:color w:val="auto"/>
        </w:rPr>
        <w:t>风险</w:t>
      </w:r>
      <w:r>
        <w:rPr>
          <w:rFonts w:hint="eastAsia"/>
          <w:color w:val="auto"/>
          <w:lang w:val="en-US" w:eastAsia="zh-CN"/>
        </w:rPr>
        <w:t>调查</w:t>
      </w:r>
      <w:r>
        <w:rPr>
          <w:color w:val="auto"/>
        </w:rPr>
        <w:tab/>
      </w:r>
      <w:r>
        <w:rPr>
          <w:color w:val="auto"/>
        </w:rPr>
        <w:fldChar w:fldCharType="begin"/>
      </w:r>
      <w:r>
        <w:rPr>
          <w:color w:val="auto"/>
        </w:rPr>
        <w:instrText xml:space="preserve"> PAGEREF _Toc5946 \h </w:instrText>
      </w:r>
      <w:r>
        <w:rPr>
          <w:color w:val="auto"/>
        </w:rPr>
        <w:fldChar w:fldCharType="separate"/>
      </w:r>
      <w:r>
        <w:rPr>
          <w:color w:val="auto"/>
        </w:rPr>
        <w:t>194</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_Toc25809 </w:instrText>
      </w:r>
      <w:r>
        <w:rPr>
          <w:rFonts w:hint="eastAsia" w:ascii="宋体" w:hAnsi="宋体" w:eastAsia="宋体" w:cs="宋体"/>
          <w:color w:val="auto"/>
          <w:szCs w:val="24"/>
        </w:rPr>
        <w:fldChar w:fldCharType="separate"/>
      </w:r>
      <w:r>
        <w:rPr>
          <w:rFonts w:hint="eastAsia"/>
          <w:color w:val="auto"/>
          <w:lang w:val="en-US" w:eastAsia="zh-CN"/>
        </w:rPr>
        <w:t>7.2</w:t>
      </w:r>
      <w:r>
        <w:rPr>
          <w:rFonts w:hint="eastAsia"/>
          <w:color w:val="auto"/>
        </w:rPr>
        <w:t>风险</w:t>
      </w:r>
      <w:r>
        <w:rPr>
          <w:rFonts w:hint="eastAsia"/>
          <w:color w:val="auto"/>
          <w:lang w:val="en-US" w:eastAsia="zh-CN"/>
        </w:rPr>
        <w:t>潜势初判</w:t>
      </w:r>
      <w:r>
        <w:rPr>
          <w:color w:val="auto"/>
        </w:rPr>
        <w:tab/>
      </w:r>
      <w:r>
        <w:rPr>
          <w:color w:val="auto"/>
        </w:rPr>
        <w:fldChar w:fldCharType="begin"/>
      </w:r>
      <w:r>
        <w:rPr>
          <w:color w:val="auto"/>
        </w:rPr>
        <w:instrText xml:space="preserve"> PAGEREF _Toc25809 \h </w:instrText>
      </w:r>
      <w:r>
        <w:rPr>
          <w:color w:val="auto"/>
        </w:rPr>
        <w:fldChar w:fldCharType="separate"/>
      </w:r>
      <w:r>
        <w:rPr>
          <w:color w:val="auto"/>
        </w:rPr>
        <w:t>195</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_Toc6116 </w:instrText>
      </w:r>
      <w:r>
        <w:rPr>
          <w:rFonts w:hint="eastAsia" w:ascii="宋体" w:hAnsi="宋体" w:eastAsia="宋体" w:cs="宋体"/>
          <w:color w:val="auto"/>
          <w:szCs w:val="24"/>
        </w:rPr>
        <w:fldChar w:fldCharType="separate"/>
      </w:r>
      <w:r>
        <w:rPr>
          <w:rFonts w:hint="eastAsia" w:cs="Times New Roman"/>
          <w:color w:val="auto"/>
          <w:lang w:val="en-US" w:eastAsia="zh-CN"/>
        </w:rPr>
        <w:t>7</w:t>
      </w:r>
      <w:r>
        <w:rPr>
          <w:rFonts w:hint="eastAsia" w:ascii="Times New Roman" w:hAnsi="Times New Roman" w:cs="Times New Roman"/>
          <w:color w:val="auto"/>
          <w:lang w:val="en-US" w:eastAsia="zh-CN"/>
        </w:rPr>
        <w:t>.3</w:t>
      </w:r>
      <w:r>
        <w:rPr>
          <w:rFonts w:hint="default" w:ascii="Times New Roman" w:hAnsi="Times New Roman" w:cs="Times New Roman"/>
          <w:color w:val="auto"/>
        </w:rPr>
        <w:t>风险识别</w:t>
      </w:r>
      <w:r>
        <w:rPr>
          <w:color w:val="auto"/>
        </w:rPr>
        <w:tab/>
      </w:r>
      <w:r>
        <w:rPr>
          <w:color w:val="auto"/>
        </w:rPr>
        <w:fldChar w:fldCharType="begin"/>
      </w:r>
      <w:r>
        <w:rPr>
          <w:color w:val="auto"/>
        </w:rPr>
        <w:instrText xml:space="preserve"> PAGEREF _Toc6116 \h </w:instrText>
      </w:r>
      <w:r>
        <w:rPr>
          <w:color w:val="auto"/>
        </w:rPr>
        <w:fldChar w:fldCharType="separate"/>
      </w:r>
      <w:r>
        <w:rPr>
          <w:color w:val="auto"/>
        </w:rPr>
        <w:t>196</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_Toc14870 </w:instrText>
      </w:r>
      <w:r>
        <w:rPr>
          <w:rFonts w:hint="eastAsia" w:ascii="宋体" w:hAnsi="宋体" w:eastAsia="宋体" w:cs="宋体"/>
          <w:color w:val="auto"/>
          <w:szCs w:val="24"/>
        </w:rPr>
        <w:fldChar w:fldCharType="separate"/>
      </w:r>
      <w:r>
        <w:rPr>
          <w:rFonts w:hint="eastAsia" w:cs="Times New Roman"/>
          <w:color w:val="auto"/>
          <w:lang w:val="en-US" w:eastAsia="zh-CN"/>
        </w:rPr>
        <w:t>7</w:t>
      </w:r>
      <w:r>
        <w:rPr>
          <w:rFonts w:hint="eastAsia" w:ascii="Times New Roman" w:hAnsi="Times New Roman" w:cs="Times New Roman"/>
          <w:color w:val="auto"/>
          <w:lang w:val="en-US" w:eastAsia="zh-CN"/>
        </w:rPr>
        <w:t>.4</w:t>
      </w:r>
      <w:r>
        <w:rPr>
          <w:rFonts w:hint="default" w:ascii="Times New Roman" w:hAnsi="Times New Roman" w:cs="Times New Roman"/>
          <w:color w:val="auto"/>
        </w:rPr>
        <w:t>风险防范措施</w:t>
      </w:r>
      <w:r>
        <w:rPr>
          <w:color w:val="auto"/>
        </w:rPr>
        <w:tab/>
      </w:r>
      <w:r>
        <w:rPr>
          <w:color w:val="auto"/>
        </w:rPr>
        <w:fldChar w:fldCharType="begin"/>
      </w:r>
      <w:r>
        <w:rPr>
          <w:color w:val="auto"/>
        </w:rPr>
        <w:instrText xml:space="preserve"> PAGEREF _Toc14870 \h </w:instrText>
      </w:r>
      <w:r>
        <w:rPr>
          <w:color w:val="auto"/>
        </w:rPr>
        <w:fldChar w:fldCharType="separate"/>
      </w:r>
      <w:r>
        <w:rPr>
          <w:color w:val="auto"/>
        </w:rPr>
        <w:t>198</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_Toc13422 </w:instrText>
      </w:r>
      <w:r>
        <w:rPr>
          <w:rFonts w:hint="eastAsia" w:ascii="宋体" w:hAnsi="宋体" w:eastAsia="宋体" w:cs="宋体"/>
          <w:color w:val="auto"/>
          <w:szCs w:val="24"/>
        </w:rPr>
        <w:fldChar w:fldCharType="separate"/>
      </w:r>
      <w:r>
        <w:rPr>
          <w:rFonts w:hint="eastAsia"/>
          <w:bCs/>
          <w:color w:val="auto"/>
          <w:lang w:val="en-US" w:eastAsia="zh-CN"/>
        </w:rPr>
        <w:t>7.5</w:t>
      </w:r>
      <w:r>
        <w:rPr>
          <w:rFonts w:hint="eastAsia"/>
          <w:bCs/>
          <w:color w:val="auto"/>
        </w:rPr>
        <w:t>风险管理</w:t>
      </w:r>
      <w:r>
        <w:rPr>
          <w:color w:val="auto"/>
        </w:rPr>
        <w:tab/>
      </w:r>
      <w:r>
        <w:rPr>
          <w:color w:val="auto"/>
        </w:rPr>
        <w:fldChar w:fldCharType="begin"/>
      </w:r>
      <w:r>
        <w:rPr>
          <w:color w:val="auto"/>
        </w:rPr>
        <w:instrText xml:space="preserve"> PAGEREF _Toc13422 \h </w:instrText>
      </w:r>
      <w:r>
        <w:rPr>
          <w:color w:val="auto"/>
        </w:rPr>
        <w:fldChar w:fldCharType="separate"/>
      </w:r>
      <w:r>
        <w:rPr>
          <w:color w:val="auto"/>
        </w:rPr>
        <w:t>202</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_Toc10506 </w:instrText>
      </w:r>
      <w:r>
        <w:rPr>
          <w:rFonts w:hint="eastAsia" w:ascii="宋体" w:hAnsi="宋体" w:eastAsia="宋体" w:cs="宋体"/>
          <w:color w:val="auto"/>
          <w:szCs w:val="24"/>
        </w:rPr>
        <w:fldChar w:fldCharType="separate"/>
      </w:r>
      <w:r>
        <w:rPr>
          <w:rFonts w:hint="eastAsia"/>
          <w:color w:val="auto"/>
          <w:lang w:val="en-US" w:eastAsia="zh-CN"/>
        </w:rPr>
        <w:t>7.6</w:t>
      </w:r>
      <w:r>
        <w:rPr>
          <w:rFonts w:hint="eastAsia"/>
          <w:color w:val="auto"/>
        </w:rPr>
        <w:t>结论</w:t>
      </w:r>
      <w:r>
        <w:rPr>
          <w:color w:val="auto"/>
        </w:rPr>
        <w:tab/>
      </w:r>
      <w:r>
        <w:rPr>
          <w:color w:val="auto"/>
        </w:rPr>
        <w:fldChar w:fldCharType="begin"/>
      </w:r>
      <w:r>
        <w:rPr>
          <w:color w:val="auto"/>
        </w:rPr>
        <w:instrText xml:space="preserve"> PAGEREF _Toc10506 \h </w:instrText>
      </w:r>
      <w:r>
        <w:rPr>
          <w:color w:val="auto"/>
        </w:rPr>
        <w:fldChar w:fldCharType="separate"/>
      </w:r>
      <w:r>
        <w:rPr>
          <w:color w:val="auto"/>
        </w:rPr>
        <w:t>205</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_Toc19708 </w:instrText>
      </w:r>
      <w:r>
        <w:rPr>
          <w:rFonts w:hint="eastAsia" w:ascii="宋体" w:hAnsi="宋体" w:eastAsia="宋体" w:cs="宋体"/>
          <w:color w:val="auto"/>
          <w:szCs w:val="24"/>
        </w:rPr>
        <w:fldChar w:fldCharType="separate"/>
      </w:r>
      <w:r>
        <w:rPr>
          <w:rFonts w:hint="eastAsia"/>
          <w:color w:val="auto"/>
          <w:lang w:val="en-US" w:eastAsia="zh-CN"/>
        </w:rPr>
        <w:t>8</w:t>
      </w:r>
      <w:r>
        <w:rPr>
          <w:rFonts w:hint="eastAsia"/>
          <w:color w:val="auto"/>
        </w:rPr>
        <w:t>环境经济损益分析</w:t>
      </w:r>
      <w:r>
        <w:rPr>
          <w:color w:val="auto"/>
        </w:rPr>
        <w:tab/>
      </w:r>
      <w:r>
        <w:rPr>
          <w:color w:val="auto"/>
        </w:rPr>
        <w:fldChar w:fldCharType="begin"/>
      </w:r>
      <w:r>
        <w:rPr>
          <w:color w:val="auto"/>
        </w:rPr>
        <w:instrText xml:space="preserve"> PAGEREF _Toc19708 \h </w:instrText>
      </w:r>
      <w:r>
        <w:rPr>
          <w:color w:val="auto"/>
        </w:rPr>
        <w:fldChar w:fldCharType="separate"/>
      </w:r>
      <w:r>
        <w:rPr>
          <w:color w:val="auto"/>
        </w:rPr>
        <w:t>207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_Toc5573 </w:instrText>
      </w:r>
      <w:r>
        <w:rPr>
          <w:rFonts w:hint="eastAsia" w:ascii="宋体" w:hAnsi="宋体" w:eastAsia="宋体" w:cs="宋体"/>
          <w:color w:val="auto"/>
          <w:szCs w:val="24"/>
        </w:rPr>
        <w:fldChar w:fldCharType="separate"/>
      </w:r>
      <w:r>
        <w:rPr>
          <w:rFonts w:hint="eastAsia"/>
          <w:color w:val="auto"/>
          <w:lang w:val="en-US" w:eastAsia="zh-CN"/>
        </w:rPr>
        <w:t>8.1</w:t>
      </w:r>
      <w:r>
        <w:rPr>
          <w:rFonts w:hint="eastAsia"/>
          <w:color w:val="auto"/>
        </w:rPr>
        <w:t>社会效益分析</w:t>
      </w:r>
      <w:r>
        <w:rPr>
          <w:color w:val="auto"/>
        </w:rPr>
        <w:tab/>
      </w:r>
      <w:r>
        <w:rPr>
          <w:color w:val="auto"/>
        </w:rPr>
        <w:fldChar w:fldCharType="begin"/>
      </w:r>
      <w:r>
        <w:rPr>
          <w:color w:val="auto"/>
        </w:rPr>
        <w:instrText xml:space="preserve"> PAGEREF _Toc5573 \h </w:instrText>
      </w:r>
      <w:r>
        <w:rPr>
          <w:color w:val="auto"/>
        </w:rPr>
        <w:fldChar w:fldCharType="separate"/>
      </w:r>
      <w:r>
        <w:rPr>
          <w:color w:val="auto"/>
        </w:rPr>
        <w:t>207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_Toc12223 </w:instrText>
      </w:r>
      <w:r>
        <w:rPr>
          <w:rFonts w:hint="eastAsia" w:ascii="宋体" w:hAnsi="宋体" w:eastAsia="宋体" w:cs="宋体"/>
          <w:color w:val="auto"/>
          <w:szCs w:val="24"/>
        </w:rPr>
        <w:fldChar w:fldCharType="separate"/>
      </w:r>
      <w:r>
        <w:rPr>
          <w:rFonts w:hint="eastAsia"/>
          <w:color w:val="auto"/>
          <w:lang w:val="en-US" w:eastAsia="zh-CN"/>
        </w:rPr>
        <w:t>8.2</w:t>
      </w:r>
      <w:r>
        <w:rPr>
          <w:rFonts w:hint="eastAsia"/>
          <w:color w:val="auto"/>
        </w:rPr>
        <w:t>经济效益分析</w:t>
      </w:r>
      <w:r>
        <w:rPr>
          <w:color w:val="auto"/>
        </w:rPr>
        <w:tab/>
      </w:r>
      <w:r>
        <w:rPr>
          <w:color w:val="auto"/>
        </w:rPr>
        <w:fldChar w:fldCharType="begin"/>
      </w:r>
      <w:r>
        <w:rPr>
          <w:color w:val="auto"/>
        </w:rPr>
        <w:instrText xml:space="preserve"> PAGEREF _Toc12223 \h </w:instrText>
      </w:r>
      <w:r>
        <w:rPr>
          <w:color w:val="auto"/>
        </w:rPr>
        <w:fldChar w:fldCharType="separate"/>
      </w:r>
      <w:r>
        <w:rPr>
          <w:color w:val="auto"/>
        </w:rPr>
        <w:t>208</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_Toc3653 </w:instrText>
      </w:r>
      <w:r>
        <w:rPr>
          <w:rFonts w:hint="eastAsia" w:ascii="宋体" w:hAnsi="宋体" w:eastAsia="宋体" w:cs="宋体"/>
          <w:color w:val="auto"/>
          <w:szCs w:val="24"/>
        </w:rPr>
        <w:fldChar w:fldCharType="separate"/>
      </w:r>
      <w:r>
        <w:rPr>
          <w:rFonts w:hint="eastAsia"/>
          <w:color w:val="auto"/>
          <w:lang w:val="en-US" w:eastAsia="zh-CN"/>
        </w:rPr>
        <w:t>8.3</w:t>
      </w:r>
      <w:r>
        <w:rPr>
          <w:rFonts w:hint="eastAsia"/>
          <w:color w:val="auto"/>
        </w:rPr>
        <w:t>环境效益分析</w:t>
      </w:r>
      <w:r>
        <w:rPr>
          <w:color w:val="auto"/>
        </w:rPr>
        <w:tab/>
      </w:r>
      <w:r>
        <w:rPr>
          <w:color w:val="auto"/>
        </w:rPr>
        <w:fldChar w:fldCharType="begin"/>
      </w:r>
      <w:r>
        <w:rPr>
          <w:color w:val="auto"/>
        </w:rPr>
        <w:instrText xml:space="preserve"> PAGEREF _Toc3653 \h </w:instrText>
      </w:r>
      <w:r>
        <w:rPr>
          <w:color w:val="auto"/>
        </w:rPr>
        <w:fldChar w:fldCharType="separate"/>
      </w:r>
      <w:r>
        <w:rPr>
          <w:color w:val="auto"/>
        </w:rPr>
        <w:t>208</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_Toc4355 </w:instrText>
      </w:r>
      <w:r>
        <w:rPr>
          <w:rFonts w:hint="eastAsia" w:ascii="宋体" w:hAnsi="宋体" w:eastAsia="宋体" w:cs="宋体"/>
          <w:color w:val="auto"/>
          <w:szCs w:val="24"/>
        </w:rPr>
        <w:fldChar w:fldCharType="separate"/>
      </w:r>
      <w:r>
        <w:rPr>
          <w:rFonts w:hint="eastAsia"/>
          <w:color w:val="auto"/>
          <w:lang w:val="en-US" w:eastAsia="zh-CN"/>
        </w:rPr>
        <w:t>9</w:t>
      </w:r>
      <w:r>
        <w:rPr>
          <w:rFonts w:hint="eastAsia"/>
          <w:color w:val="auto"/>
        </w:rPr>
        <w:t>环境管理与监测计划</w:t>
      </w:r>
      <w:r>
        <w:rPr>
          <w:color w:val="auto"/>
        </w:rPr>
        <w:tab/>
      </w:r>
      <w:r>
        <w:rPr>
          <w:color w:val="auto"/>
        </w:rPr>
        <w:fldChar w:fldCharType="begin"/>
      </w:r>
      <w:r>
        <w:rPr>
          <w:color w:val="auto"/>
        </w:rPr>
        <w:instrText xml:space="preserve"> PAGEREF _Toc4355 \h </w:instrText>
      </w:r>
      <w:r>
        <w:rPr>
          <w:color w:val="auto"/>
        </w:rPr>
        <w:fldChar w:fldCharType="separate"/>
      </w:r>
      <w:r>
        <w:rPr>
          <w:color w:val="auto"/>
        </w:rPr>
        <w:t>209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_Toc711 </w:instrText>
      </w:r>
      <w:r>
        <w:rPr>
          <w:rFonts w:hint="eastAsia" w:ascii="宋体" w:hAnsi="宋体" w:eastAsia="宋体" w:cs="宋体"/>
          <w:color w:val="auto"/>
          <w:szCs w:val="24"/>
        </w:rPr>
        <w:fldChar w:fldCharType="separate"/>
      </w:r>
      <w:r>
        <w:rPr>
          <w:rFonts w:hint="eastAsia"/>
          <w:color w:val="auto"/>
          <w:lang w:val="en-US" w:eastAsia="zh-CN"/>
        </w:rPr>
        <w:t>9.1环境管理</w:t>
      </w:r>
      <w:r>
        <w:rPr>
          <w:color w:val="auto"/>
        </w:rPr>
        <w:tab/>
      </w:r>
      <w:r>
        <w:rPr>
          <w:color w:val="auto"/>
        </w:rPr>
        <w:fldChar w:fldCharType="begin"/>
      </w:r>
      <w:r>
        <w:rPr>
          <w:color w:val="auto"/>
        </w:rPr>
        <w:instrText xml:space="preserve"> PAGEREF _Toc711 \h </w:instrText>
      </w:r>
      <w:r>
        <w:rPr>
          <w:color w:val="auto"/>
        </w:rPr>
        <w:fldChar w:fldCharType="separate"/>
      </w:r>
      <w:r>
        <w:rPr>
          <w:color w:val="auto"/>
        </w:rPr>
        <w:t>209</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_Toc177 </w:instrText>
      </w:r>
      <w:r>
        <w:rPr>
          <w:rFonts w:hint="eastAsia" w:ascii="宋体" w:hAnsi="宋体" w:eastAsia="宋体" w:cs="宋体"/>
          <w:color w:val="auto"/>
          <w:szCs w:val="24"/>
        </w:rPr>
        <w:fldChar w:fldCharType="separate"/>
      </w:r>
      <w:r>
        <w:rPr>
          <w:rFonts w:hint="eastAsia"/>
          <w:bCs w:val="0"/>
          <w:color w:val="auto"/>
          <w:szCs w:val="28"/>
          <w:lang w:val="en-US" w:eastAsia="zh-CN"/>
        </w:rPr>
        <w:t>9</w:t>
      </w:r>
      <w:r>
        <w:rPr>
          <w:rFonts w:hint="eastAsia" w:eastAsia="宋体"/>
          <w:bCs w:val="0"/>
          <w:color w:val="auto"/>
          <w:szCs w:val="28"/>
          <w:lang w:val="en-US" w:eastAsia="zh-CN"/>
        </w:rPr>
        <w:t>.2排污许可管理</w:t>
      </w:r>
      <w:r>
        <w:rPr>
          <w:color w:val="auto"/>
        </w:rPr>
        <w:tab/>
      </w:r>
      <w:r>
        <w:rPr>
          <w:color w:val="auto"/>
        </w:rPr>
        <w:fldChar w:fldCharType="begin"/>
      </w:r>
      <w:r>
        <w:rPr>
          <w:color w:val="auto"/>
        </w:rPr>
        <w:instrText xml:space="preserve"> PAGEREF _Toc177 \h </w:instrText>
      </w:r>
      <w:r>
        <w:rPr>
          <w:color w:val="auto"/>
        </w:rPr>
        <w:fldChar w:fldCharType="separate"/>
      </w:r>
      <w:r>
        <w:rPr>
          <w:color w:val="auto"/>
        </w:rPr>
        <w:t>211</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_Toc2500 </w:instrText>
      </w:r>
      <w:r>
        <w:rPr>
          <w:rFonts w:hint="eastAsia" w:ascii="宋体" w:hAnsi="宋体" w:eastAsia="宋体" w:cs="宋体"/>
          <w:color w:val="auto"/>
          <w:szCs w:val="24"/>
        </w:rPr>
        <w:fldChar w:fldCharType="separate"/>
      </w:r>
      <w:r>
        <w:rPr>
          <w:rFonts w:hint="eastAsia"/>
          <w:bCs w:val="0"/>
          <w:color w:val="auto"/>
          <w:szCs w:val="28"/>
          <w:lang w:val="en-US" w:eastAsia="zh-CN"/>
        </w:rPr>
        <w:t>9</w:t>
      </w:r>
      <w:r>
        <w:rPr>
          <w:rFonts w:hint="eastAsia" w:eastAsia="宋体"/>
          <w:bCs w:val="0"/>
          <w:color w:val="auto"/>
          <w:szCs w:val="28"/>
          <w:lang w:val="en-US" w:eastAsia="zh-CN"/>
        </w:rPr>
        <w:t>.3</w:t>
      </w:r>
      <w:r>
        <w:rPr>
          <w:bCs w:val="0"/>
          <w:color w:val="auto"/>
          <w:szCs w:val="28"/>
        </w:rPr>
        <w:t>环境</w:t>
      </w:r>
      <w:r>
        <w:rPr>
          <w:rFonts w:hint="eastAsia"/>
          <w:bCs w:val="0"/>
          <w:color w:val="auto"/>
          <w:szCs w:val="28"/>
        </w:rPr>
        <w:t>监测计划</w:t>
      </w:r>
      <w:r>
        <w:rPr>
          <w:color w:val="auto"/>
        </w:rPr>
        <w:tab/>
      </w:r>
      <w:r>
        <w:rPr>
          <w:color w:val="auto"/>
        </w:rPr>
        <w:fldChar w:fldCharType="begin"/>
      </w:r>
      <w:r>
        <w:rPr>
          <w:color w:val="auto"/>
        </w:rPr>
        <w:instrText xml:space="preserve"> PAGEREF _Toc2500 \h </w:instrText>
      </w:r>
      <w:r>
        <w:rPr>
          <w:color w:val="auto"/>
        </w:rPr>
        <w:fldChar w:fldCharType="separate"/>
      </w:r>
      <w:r>
        <w:rPr>
          <w:color w:val="auto"/>
        </w:rPr>
        <w:t>212</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_Toc12484 </w:instrText>
      </w:r>
      <w:r>
        <w:rPr>
          <w:rFonts w:hint="eastAsia" w:ascii="宋体" w:hAnsi="宋体" w:eastAsia="宋体" w:cs="宋体"/>
          <w:color w:val="auto"/>
          <w:szCs w:val="24"/>
        </w:rPr>
        <w:fldChar w:fldCharType="separate"/>
      </w:r>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4</w:t>
      </w:r>
      <w:r>
        <w:rPr>
          <w:rFonts w:hint="eastAsia"/>
          <w:bCs w:val="0"/>
          <w:color w:val="auto"/>
          <w:szCs w:val="28"/>
        </w:rPr>
        <w:t>排污</w:t>
      </w:r>
      <w:r>
        <w:rPr>
          <w:color w:val="auto"/>
        </w:rPr>
        <w:t>口</w:t>
      </w:r>
      <w:r>
        <w:rPr>
          <w:rFonts w:hint="eastAsia"/>
          <w:color w:val="auto"/>
        </w:rPr>
        <w:t>规范化</w:t>
      </w:r>
      <w:r>
        <w:rPr>
          <w:color w:val="auto"/>
        </w:rPr>
        <w:t>设置</w:t>
      </w:r>
      <w:r>
        <w:rPr>
          <w:color w:val="auto"/>
        </w:rPr>
        <w:tab/>
      </w:r>
      <w:r>
        <w:rPr>
          <w:color w:val="auto"/>
        </w:rPr>
        <w:fldChar w:fldCharType="begin"/>
      </w:r>
      <w:r>
        <w:rPr>
          <w:color w:val="auto"/>
        </w:rPr>
        <w:instrText xml:space="preserve"> PAGEREF _Toc12484 \h </w:instrText>
      </w:r>
      <w:r>
        <w:rPr>
          <w:color w:val="auto"/>
        </w:rPr>
        <w:fldChar w:fldCharType="separate"/>
      </w:r>
      <w:r>
        <w:rPr>
          <w:color w:val="auto"/>
        </w:rPr>
        <w:t>213</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_Toc21773 </w:instrText>
      </w:r>
      <w:r>
        <w:rPr>
          <w:rFonts w:hint="eastAsia" w:ascii="宋体" w:hAnsi="宋体" w:eastAsia="宋体" w:cs="宋体"/>
          <w:color w:val="auto"/>
          <w:szCs w:val="24"/>
        </w:rPr>
        <w:fldChar w:fldCharType="separate"/>
      </w:r>
      <w:r>
        <w:rPr>
          <w:rFonts w:hint="eastAsia" w:cs="Times New Roman"/>
          <w:bCs w:val="0"/>
          <w:color w:val="auto"/>
          <w:szCs w:val="28"/>
          <w:lang w:val="en-US" w:eastAsia="zh-CN"/>
        </w:rPr>
        <w:t>9</w:t>
      </w:r>
      <w:r>
        <w:rPr>
          <w:rFonts w:hint="eastAsia" w:ascii="Times New Roman" w:hAnsi="Times New Roman" w:eastAsia="宋体" w:cs="Times New Roman"/>
          <w:bCs w:val="0"/>
          <w:color w:val="auto"/>
          <w:szCs w:val="28"/>
          <w:lang w:val="en-US" w:eastAsia="zh-CN"/>
        </w:rPr>
        <w:t>.5污染物排放清单</w:t>
      </w:r>
      <w:r>
        <w:rPr>
          <w:color w:val="auto"/>
        </w:rPr>
        <w:tab/>
      </w:r>
      <w:r>
        <w:rPr>
          <w:color w:val="auto"/>
        </w:rPr>
        <w:fldChar w:fldCharType="begin"/>
      </w:r>
      <w:r>
        <w:rPr>
          <w:color w:val="auto"/>
        </w:rPr>
        <w:instrText xml:space="preserve"> PAGEREF _Toc21773 \h </w:instrText>
      </w:r>
      <w:r>
        <w:rPr>
          <w:color w:val="auto"/>
        </w:rPr>
        <w:fldChar w:fldCharType="separate"/>
      </w:r>
      <w:r>
        <w:rPr>
          <w:color w:val="auto"/>
        </w:rPr>
        <w:t>214</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_Toc15491 </w:instrText>
      </w:r>
      <w:r>
        <w:rPr>
          <w:rFonts w:hint="eastAsia" w:ascii="宋体" w:hAnsi="宋体" w:eastAsia="宋体" w:cs="宋体"/>
          <w:color w:val="auto"/>
          <w:szCs w:val="24"/>
        </w:rPr>
        <w:fldChar w:fldCharType="separate"/>
      </w:r>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6</w:t>
      </w:r>
      <w:r>
        <w:rPr>
          <w:rFonts w:hint="eastAsia"/>
          <w:bCs w:val="0"/>
          <w:color w:val="auto"/>
          <w:szCs w:val="28"/>
        </w:rPr>
        <w:t>总量控制</w:t>
      </w:r>
      <w:r>
        <w:rPr>
          <w:color w:val="auto"/>
        </w:rPr>
        <w:tab/>
      </w:r>
      <w:r>
        <w:rPr>
          <w:color w:val="auto"/>
        </w:rPr>
        <w:fldChar w:fldCharType="begin"/>
      </w:r>
      <w:r>
        <w:rPr>
          <w:color w:val="auto"/>
        </w:rPr>
        <w:instrText xml:space="preserve"> PAGEREF _Toc15491 \h </w:instrText>
      </w:r>
      <w:r>
        <w:rPr>
          <w:color w:val="auto"/>
        </w:rPr>
        <w:fldChar w:fldCharType="separate"/>
      </w:r>
      <w:r>
        <w:rPr>
          <w:color w:val="auto"/>
        </w:rPr>
        <w:t>217</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_Toc26784 </w:instrText>
      </w:r>
      <w:r>
        <w:rPr>
          <w:rFonts w:hint="eastAsia" w:ascii="宋体" w:hAnsi="宋体" w:eastAsia="宋体" w:cs="宋体"/>
          <w:color w:val="auto"/>
          <w:szCs w:val="24"/>
        </w:rPr>
        <w:fldChar w:fldCharType="separate"/>
      </w:r>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7</w:t>
      </w:r>
      <w:r>
        <w:rPr>
          <w:rFonts w:hint="eastAsia" w:cs="宋体"/>
          <w:bCs w:val="0"/>
          <w:color w:val="auto"/>
          <w:szCs w:val="28"/>
          <w:lang w:eastAsia="zh-CN"/>
        </w:rPr>
        <w:t>“</w:t>
      </w:r>
      <w:r>
        <w:rPr>
          <w:rFonts w:hint="eastAsia"/>
          <w:bCs w:val="0"/>
          <w:color w:val="auto"/>
          <w:szCs w:val="28"/>
        </w:rPr>
        <w:t>三同时</w:t>
      </w:r>
      <w:r>
        <w:rPr>
          <w:rFonts w:hint="eastAsia" w:cs="宋体"/>
          <w:bCs w:val="0"/>
          <w:color w:val="auto"/>
          <w:szCs w:val="28"/>
          <w:lang w:eastAsia="zh-CN"/>
        </w:rPr>
        <w:t>”</w:t>
      </w:r>
      <w:r>
        <w:rPr>
          <w:rFonts w:hint="eastAsia"/>
          <w:bCs w:val="0"/>
          <w:color w:val="auto"/>
          <w:szCs w:val="28"/>
        </w:rPr>
        <w:t>验收</w:t>
      </w:r>
      <w:r>
        <w:rPr>
          <w:color w:val="auto"/>
        </w:rPr>
        <w:tab/>
      </w:r>
      <w:r>
        <w:rPr>
          <w:color w:val="auto"/>
        </w:rPr>
        <w:fldChar w:fldCharType="begin"/>
      </w:r>
      <w:r>
        <w:rPr>
          <w:color w:val="auto"/>
        </w:rPr>
        <w:instrText xml:space="preserve"> PAGEREF _Toc26784 \h </w:instrText>
      </w:r>
      <w:r>
        <w:rPr>
          <w:color w:val="auto"/>
        </w:rPr>
        <w:fldChar w:fldCharType="separate"/>
      </w:r>
      <w:r>
        <w:rPr>
          <w:color w:val="auto"/>
        </w:rPr>
        <w:t>217</w:t>
      </w:r>
      <w:r>
        <w:rPr>
          <w:color w:val="auto"/>
        </w:rPr>
        <w:fldChar w:fldCharType="end"/>
      </w:r>
      <w:r>
        <w:rPr>
          <w:rFonts w:hint="eastAsia" w:ascii="宋体" w:hAnsi="宋体" w:eastAsia="宋体" w:cs="宋体"/>
          <w:color w:val="auto"/>
          <w:szCs w:val="24"/>
        </w:rPr>
        <w:fldChar w:fldCharType="end"/>
      </w:r>
    </w:p>
    <w:p>
      <w:pPr>
        <w:pStyle w:val="34"/>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_Toc24195 </w:instrText>
      </w:r>
      <w:r>
        <w:rPr>
          <w:rFonts w:hint="eastAsia" w:ascii="宋体" w:hAnsi="宋体" w:eastAsia="宋体" w:cs="宋体"/>
          <w:color w:val="auto"/>
          <w:szCs w:val="24"/>
        </w:rPr>
        <w:fldChar w:fldCharType="separate"/>
      </w:r>
      <w:r>
        <w:rPr>
          <w:rFonts w:hint="eastAsia"/>
          <w:bCs/>
          <w:color w:val="auto"/>
          <w:kern w:val="44"/>
          <w:szCs w:val="44"/>
          <w:lang w:val="en-US" w:eastAsia="zh-CN" w:bidi="ar-SA"/>
        </w:rPr>
        <w:t>10</w:t>
      </w:r>
      <w:r>
        <w:rPr>
          <w:rFonts w:hint="eastAsia"/>
          <w:bCs/>
          <w:color w:val="auto"/>
          <w:lang w:val="en-US" w:eastAsia="zh-CN"/>
        </w:rPr>
        <w:t>结论</w:t>
      </w:r>
      <w:r>
        <w:rPr>
          <w:rFonts w:hint="eastAsia"/>
          <w:bCs/>
          <w:color w:val="auto"/>
          <w:kern w:val="44"/>
          <w:szCs w:val="44"/>
          <w:lang w:val="en-US" w:eastAsia="zh-CN" w:bidi="ar-SA"/>
        </w:rPr>
        <w:t>与建议</w:t>
      </w:r>
      <w:r>
        <w:rPr>
          <w:color w:val="auto"/>
        </w:rPr>
        <w:tab/>
      </w:r>
      <w:r>
        <w:rPr>
          <w:color w:val="auto"/>
        </w:rPr>
        <w:fldChar w:fldCharType="begin"/>
      </w:r>
      <w:r>
        <w:rPr>
          <w:color w:val="auto"/>
        </w:rPr>
        <w:instrText xml:space="preserve"> PAGEREF _Toc24195 \h </w:instrText>
      </w:r>
      <w:r>
        <w:rPr>
          <w:color w:val="auto"/>
        </w:rPr>
        <w:fldChar w:fldCharType="separate"/>
      </w:r>
      <w:r>
        <w:rPr>
          <w:color w:val="auto"/>
        </w:rPr>
        <w:t>220</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_Toc26907 </w:instrText>
      </w:r>
      <w:r>
        <w:rPr>
          <w:rFonts w:hint="eastAsia" w:ascii="宋体" w:hAnsi="宋体" w:eastAsia="宋体" w:cs="宋体"/>
          <w:color w:val="auto"/>
          <w:szCs w:val="24"/>
        </w:rPr>
        <w:fldChar w:fldCharType="separate"/>
      </w:r>
      <w:r>
        <w:rPr>
          <w:rFonts w:hint="eastAsia"/>
          <w:color w:val="auto"/>
          <w:lang w:val="en-US" w:eastAsia="zh-CN"/>
        </w:rPr>
        <w:t>10.1</w:t>
      </w:r>
      <w:r>
        <w:rPr>
          <w:rFonts w:hint="eastAsia"/>
          <w:color w:val="auto"/>
        </w:rPr>
        <w:t>结论</w:t>
      </w:r>
      <w:r>
        <w:rPr>
          <w:color w:val="auto"/>
        </w:rPr>
        <w:tab/>
      </w:r>
      <w:r>
        <w:rPr>
          <w:color w:val="auto"/>
        </w:rPr>
        <w:fldChar w:fldCharType="begin"/>
      </w:r>
      <w:r>
        <w:rPr>
          <w:color w:val="auto"/>
        </w:rPr>
        <w:instrText xml:space="preserve"> PAGEREF _Toc26907 \h </w:instrText>
      </w:r>
      <w:r>
        <w:rPr>
          <w:color w:val="auto"/>
        </w:rPr>
        <w:fldChar w:fldCharType="separate"/>
      </w:r>
      <w:r>
        <w:rPr>
          <w:color w:val="auto"/>
        </w:rPr>
        <w:t>220</w:t>
      </w:r>
      <w:r>
        <w:rPr>
          <w:color w:val="auto"/>
        </w:rPr>
        <w:fldChar w:fldCharType="end"/>
      </w:r>
      <w:r>
        <w:rPr>
          <w:rFonts w:hint="eastAsia" w:ascii="宋体" w:hAnsi="宋体" w:eastAsia="宋体" w:cs="宋体"/>
          <w:color w:val="auto"/>
          <w:szCs w:val="24"/>
        </w:rPr>
        <w:fldChar w:fldCharType="end"/>
      </w:r>
    </w:p>
    <w:p>
      <w:pPr>
        <w:pStyle w:val="39"/>
        <w:tabs>
          <w:tab w:val="right" w:leader="dot" w:pos="8306"/>
        </w:tabs>
        <w:rPr>
          <w:color w:val="auto"/>
        </w:rPr>
      </w:pPr>
      <w:r>
        <w:rPr>
          <w:rFonts w:hint="eastAsia" w:ascii="宋体" w:hAnsi="宋体" w:eastAsia="宋体" w:cs="宋体"/>
          <w:color w:val="auto"/>
          <w:szCs w:val="24"/>
        </w:rPr>
        <w:fldChar w:fldCharType="begin"/>
      </w:r>
      <w:r>
        <w:rPr>
          <w:rFonts w:hint="eastAsia" w:ascii="宋体" w:hAnsi="宋体" w:eastAsia="宋体" w:cs="宋体"/>
          <w:color w:val="auto"/>
          <w:szCs w:val="24"/>
        </w:rPr>
        <w:instrText xml:space="preserve"> HYPERLINK \l _Toc13244 </w:instrText>
      </w:r>
      <w:r>
        <w:rPr>
          <w:rFonts w:hint="eastAsia" w:ascii="宋体" w:hAnsi="宋体" w:eastAsia="宋体" w:cs="宋体"/>
          <w:color w:val="auto"/>
          <w:szCs w:val="24"/>
        </w:rPr>
        <w:fldChar w:fldCharType="separate"/>
      </w:r>
      <w:r>
        <w:rPr>
          <w:rFonts w:hint="eastAsia"/>
          <w:color w:val="auto"/>
          <w:lang w:val="en-US" w:eastAsia="zh-CN"/>
        </w:rPr>
        <w:t>10.2</w:t>
      </w:r>
      <w:r>
        <w:rPr>
          <w:rFonts w:hint="eastAsia"/>
          <w:color w:val="auto"/>
        </w:rPr>
        <w:t>建议</w:t>
      </w:r>
      <w:r>
        <w:rPr>
          <w:color w:val="auto"/>
        </w:rPr>
        <w:tab/>
      </w:r>
      <w:r>
        <w:rPr>
          <w:color w:val="auto"/>
        </w:rPr>
        <w:fldChar w:fldCharType="begin"/>
      </w:r>
      <w:r>
        <w:rPr>
          <w:color w:val="auto"/>
        </w:rPr>
        <w:instrText xml:space="preserve"> PAGEREF _Toc13244 \h </w:instrText>
      </w:r>
      <w:r>
        <w:rPr>
          <w:color w:val="auto"/>
        </w:rPr>
        <w:fldChar w:fldCharType="separate"/>
      </w:r>
      <w:r>
        <w:rPr>
          <w:color w:val="auto"/>
        </w:rPr>
        <w:t>223</w:t>
      </w:r>
      <w:r>
        <w:rPr>
          <w:color w:val="auto"/>
        </w:rPr>
        <w:fldChar w:fldCharType="end"/>
      </w:r>
      <w:r>
        <w:rPr>
          <w:rFonts w:hint="eastAsia" w:ascii="宋体" w:hAnsi="宋体" w:eastAsia="宋体" w:cs="宋体"/>
          <w:color w:val="auto"/>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黑体"/>
          <w:color w:val="auto"/>
          <w:sz w:val="36"/>
        </w:rPr>
        <w:sectPr>
          <w:headerReference r:id="rId6" w:type="default"/>
          <w:footerReference r:id="rId7"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linePitch="312" w:charSpace="0"/>
        </w:sectPr>
      </w:pPr>
      <w:r>
        <w:rPr>
          <w:rFonts w:hint="eastAsia" w:ascii="宋体" w:hAnsi="宋体" w:eastAsia="宋体" w:cs="宋体"/>
          <w:color w:val="auto"/>
          <w:szCs w:val="24"/>
        </w:rPr>
        <w:fldChar w:fldCharType="end"/>
      </w:r>
    </w:p>
    <w:p>
      <w:pPr>
        <w:pStyle w:val="3"/>
        <w:spacing w:line="480" w:lineRule="auto"/>
        <w:rPr>
          <w:rStyle w:val="115"/>
          <w:rFonts w:ascii="Times New Roman" w:hAnsi="Times New Roman"/>
          <w:b/>
          <w:bCs w:val="0"/>
          <w:color w:val="auto"/>
          <w:sz w:val="36"/>
          <w:szCs w:val="36"/>
        </w:rPr>
      </w:pPr>
      <w:bookmarkStart w:id="0" w:name="_Toc8052"/>
      <w:bookmarkStart w:id="1" w:name="_Toc32119"/>
      <w:bookmarkStart w:id="2" w:name="_Toc29681"/>
      <w:r>
        <w:rPr>
          <w:rStyle w:val="115"/>
          <w:rFonts w:ascii="Times New Roman" w:hAnsi="Times New Roman"/>
          <w:b/>
          <w:bCs w:val="0"/>
          <w:color w:val="auto"/>
          <w:sz w:val="36"/>
          <w:szCs w:val="36"/>
        </w:rPr>
        <w:t>概述</w:t>
      </w:r>
      <w:bookmarkEnd w:id="0"/>
      <w:bookmarkEnd w:id="1"/>
      <w:bookmarkEnd w:id="2"/>
    </w:p>
    <w:p>
      <w:pPr>
        <w:pStyle w:val="4"/>
        <w:spacing w:before="0" w:after="0" w:line="360" w:lineRule="auto"/>
        <w:rPr>
          <w:rFonts w:ascii="Times New Roman" w:hAnsi="Times New Roman" w:eastAsia="宋体"/>
          <w:color w:val="auto"/>
          <w:sz w:val="28"/>
          <w:szCs w:val="28"/>
        </w:rPr>
      </w:pPr>
      <w:bookmarkStart w:id="3" w:name="_Toc1242"/>
      <w:bookmarkStart w:id="4" w:name="_Toc12096"/>
      <w:bookmarkStart w:id="5" w:name="_Toc9418"/>
      <w:r>
        <w:rPr>
          <w:rFonts w:ascii="Times New Roman" w:hAnsi="Times New Roman" w:eastAsia="宋体"/>
          <w:color w:val="auto"/>
          <w:sz w:val="28"/>
          <w:szCs w:val="28"/>
        </w:rPr>
        <w:t>建设项目由来及特点</w:t>
      </w:r>
      <w:bookmarkEnd w:id="3"/>
      <w:bookmarkEnd w:id="4"/>
      <w:bookmarkEnd w:id="5"/>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安徽省立医院</w:t>
      </w:r>
      <w:r>
        <w:rPr>
          <w:rFonts w:hint="default" w:ascii="Times New Roman" w:hAnsi="Times New Roman" w:eastAsia="宋体" w:cs="Times New Roman"/>
          <w:color w:val="auto"/>
          <w:kern w:val="0"/>
          <w:sz w:val="24"/>
          <w:szCs w:val="24"/>
          <w:highlight w:val="none"/>
          <w:lang w:val="en-US" w:eastAsia="zh-CN" w:bidi="ar"/>
        </w:rPr>
        <w:t>前身为合肥基督医院，始建</w:t>
      </w:r>
      <w:r>
        <w:rPr>
          <w:rFonts w:hint="eastAsia" w:cs="Times New Roman"/>
          <w:color w:val="auto"/>
          <w:kern w:val="0"/>
          <w:sz w:val="24"/>
          <w:szCs w:val="24"/>
          <w:highlight w:val="none"/>
          <w:lang w:val="en-US" w:eastAsia="zh-CN" w:bidi="ar"/>
        </w:rPr>
        <w:t>于</w:t>
      </w:r>
      <w:r>
        <w:rPr>
          <w:rFonts w:hint="default" w:ascii="Times New Roman" w:hAnsi="Times New Roman" w:eastAsia="宋体" w:cs="Times New Roman"/>
          <w:color w:val="auto"/>
          <w:kern w:val="0"/>
          <w:sz w:val="24"/>
          <w:szCs w:val="24"/>
          <w:highlight w:val="none"/>
          <w:lang w:val="en-US" w:eastAsia="zh-CN" w:bidi="ar"/>
        </w:rPr>
        <w:t>1898年，历经风雨洗礼，已发展成为一所设备先进、专科齐全、技术力量雄厚，集医疗、教学、科研、预防、保健、康复、急救为一体的省级大型三级甲等综合性医院。目前，共开放床位5750张，设有47个临床医技学科。近年来，门诊量580余万人次/年，出院患者30余万人次/年，开展手术17余万台次/年，平均住院日6.81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 在最新一轮（2021年度）全国三级公立医院绩效考核排名第21位，等级A+；医院连续五年进入“复旦版中国医院排行榜”全国百强，健康管理中心排名全国第2；5个学科进入全国榜单，27个学科进入华东榜单。在2022年自然指数(Nature Index)年度榜单中，位列全球医疗机构第45位，中国医疗机构第7位。在中国医学科学院发布的2021年度中国医院科技量值（STEM）评价结果中，综合排名位列86位，共有25个学科进入全国学科榜单TOP 100、9个学科进入TOP 50、9个学科位列安徽省首位。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 医院由中国科学技术大学与安徽省卫生健康委员会双重管理，以中国科学技术大学管理为主。目前总占地面积（含规划面积）785亩，总建成面积61.7万平方米，总在建面积（不含规划建筑面积）54.9万平方米。规划建筑面积35万平方米。实行“一院多区”集团化、一体化和差异化发展战略，由总院（院本部）、南区（安徽省脑科医院、安徽省心血管病医院）、西区（安徽省肿瘤医院）、感染病院（合肥市传染病医院）组成，</w:t>
      </w:r>
      <w:r>
        <w:rPr>
          <w:rFonts w:hint="eastAsia" w:cs="Times New Roman"/>
          <w:color w:val="auto"/>
          <w:kern w:val="0"/>
          <w:sz w:val="24"/>
          <w:szCs w:val="24"/>
          <w:highlight w:val="none"/>
          <w:lang w:val="en-US" w:eastAsia="zh-CN" w:bidi="ar"/>
        </w:rPr>
        <w:t>拟</w:t>
      </w:r>
      <w:r>
        <w:rPr>
          <w:rFonts w:hint="default" w:ascii="Times New Roman" w:hAnsi="Times New Roman" w:eastAsia="宋体" w:cs="Times New Roman"/>
          <w:b/>
          <w:bCs/>
          <w:color w:val="auto"/>
          <w:kern w:val="0"/>
          <w:sz w:val="24"/>
          <w:szCs w:val="24"/>
          <w:highlight w:val="none"/>
          <w:lang w:val="en-US" w:eastAsia="zh-CN" w:bidi="ar"/>
        </w:rPr>
        <w:t>建设滨湖院区</w:t>
      </w:r>
      <w:r>
        <w:rPr>
          <w:rFonts w:hint="eastAsia" w:cs="Times New Roman"/>
          <w:b/>
          <w:bCs/>
          <w:color w:val="auto"/>
          <w:kern w:val="0"/>
          <w:sz w:val="24"/>
          <w:szCs w:val="24"/>
          <w:highlight w:val="none"/>
          <w:lang w:val="en-US" w:eastAsia="zh-CN" w:bidi="ar"/>
        </w:rPr>
        <w:t>（本次评价项目）</w:t>
      </w:r>
      <w:r>
        <w:rPr>
          <w:rFonts w:hint="default" w:ascii="Times New Roman" w:hAnsi="Times New Roman" w:eastAsia="宋体" w:cs="Times New Roman"/>
          <w:color w:val="auto"/>
          <w:kern w:val="0"/>
          <w:sz w:val="24"/>
          <w:szCs w:val="24"/>
          <w:highlight w:val="none"/>
          <w:lang w:val="en-US" w:eastAsia="zh-CN" w:bidi="ar"/>
        </w:rPr>
        <w:t>，北城院区已于2022年10月31日试运行（试运行阶段开设特色临床科室门诊和医技相关检查，同步成立上海六院名医工作室）。获批国家创伤区域医疗中心和国家紧急救援基地建设项目。与73家县市级医院和社区卫生服务中心组建了医疗联合体，全面托管长丰、枞阳、涡阳县人民医院建立紧密型医联体，共建包河区望湖城社区医疗服务中心，牵头成立了37个专科联盟，牵头组建了覆盖省内外60余家医院的远程医疗协作网。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 现有在职职工7221人，其中高级职称1116人。拥有特聘院士6人，国家重点人才项目专家13人，省级重点人才项目专家15人，一级主任医师39人；国务院及省政府津贴专家124人次，江淮名医61人次，省学术技术带头人及后备人选119人次。获批国家临床重点专科建设项目8个，省临床重点专科25个，其中优先发展10个，重点专科10个，培育专科3个；安徽省“115”产业创新团队7支。</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为贯彻落实省委、省政府关于加快皖北发展的重大决策部署，提升</w:t>
      </w:r>
      <w:r>
        <w:rPr>
          <w:rFonts w:hint="eastAsia" w:cs="Times New Roman"/>
          <w:color w:val="auto"/>
          <w:kern w:val="0"/>
          <w:sz w:val="24"/>
          <w:szCs w:val="24"/>
          <w:highlight w:val="none"/>
          <w:lang w:val="en-US" w:eastAsia="zh-CN" w:bidi="ar"/>
        </w:rPr>
        <w:t>合肥市滨湖新区</w:t>
      </w:r>
      <w:r>
        <w:rPr>
          <w:rFonts w:hint="default" w:ascii="Times New Roman" w:hAnsi="Times New Roman" w:eastAsia="宋体" w:cs="Times New Roman"/>
          <w:color w:val="auto"/>
          <w:kern w:val="0"/>
          <w:sz w:val="24"/>
          <w:szCs w:val="24"/>
          <w:highlight w:val="none"/>
          <w:lang w:val="en-US" w:eastAsia="zh-CN" w:bidi="ar"/>
        </w:rPr>
        <w:t>及周边地区医疗卫生保障水平，</w:t>
      </w:r>
      <w:r>
        <w:rPr>
          <w:rFonts w:hint="eastAsia" w:cs="Times New Roman"/>
          <w:color w:val="auto"/>
          <w:kern w:val="0"/>
          <w:sz w:val="24"/>
          <w:szCs w:val="24"/>
          <w:highlight w:val="none"/>
          <w:lang w:val="en-US" w:eastAsia="zh-CN" w:bidi="ar"/>
        </w:rPr>
        <w:t>安徽省立医院拟在合肥市滨湖新区江苏路与锦绣大道交口建设安徽省立医院（中国科大附一院）滨湖院区项目</w:t>
      </w:r>
      <w:r>
        <w:rPr>
          <w:rFonts w:hint="default" w:ascii="Times New Roman" w:hAnsi="Times New Roman" w:eastAsia="宋体"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项目</w:t>
      </w:r>
      <w:r>
        <w:rPr>
          <w:rFonts w:hint="eastAsia" w:ascii="Times New Roman" w:hAnsi="Times New Roman" w:eastAsia="宋体" w:cs="Times New Roman"/>
          <w:color w:val="auto"/>
          <w:kern w:val="0"/>
          <w:sz w:val="24"/>
          <w:szCs w:val="24"/>
          <w:highlight w:val="none"/>
          <w:lang w:val="en-US" w:eastAsia="zh-CN" w:bidi="ar"/>
        </w:rPr>
        <w:t>于202</w:t>
      </w:r>
      <w:r>
        <w:rPr>
          <w:rFonts w:hint="eastAsia" w:cs="Times New Roman"/>
          <w:color w:val="auto"/>
          <w:kern w:val="0"/>
          <w:sz w:val="24"/>
          <w:szCs w:val="24"/>
          <w:highlight w:val="none"/>
          <w:lang w:val="en-US" w:eastAsia="zh-CN" w:bidi="ar"/>
        </w:rPr>
        <w:t>2</w:t>
      </w:r>
      <w:r>
        <w:rPr>
          <w:rFonts w:hint="eastAsia" w:ascii="Times New Roman" w:hAnsi="Times New Roman" w:eastAsia="宋体" w:cs="Times New Roman"/>
          <w:color w:val="auto"/>
          <w:kern w:val="0"/>
          <w:sz w:val="24"/>
          <w:szCs w:val="24"/>
          <w:highlight w:val="none"/>
          <w:lang w:val="en-US" w:eastAsia="zh-CN" w:bidi="ar"/>
        </w:rPr>
        <w:t>年</w:t>
      </w:r>
      <w:r>
        <w:rPr>
          <w:rFonts w:hint="eastAsia" w:cs="Times New Roman"/>
          <w:color w:val="auto"/>
          <w:kern w:val="0"/>
          <w:sz w:val="24"/>
          <w:szCs w:val="24"/>
          <w:highlight w:val="none"/>
          <w:lang w:val="en-US" w:eastAsia="zh-CN" w:bidi="ar"/>
        </w:rPr>
        <w:t>2</w:t>
      </w:r>
      <w:r>
        <w:rPr>
          <w:rFonts w:hint="eastAsia" w:ascii="Times New Roman" w:hAnsi="Times New Roman" w:eastAsia="宋体" w:cs="Times New Roman"/>
          <w:color w:val="auto"/>
          <w:kern w:val="0"/>
          <w:sz w:val="24"/>
          <w:szCs w:val="24"/>
          <w:highlight w:val="none"/>
          <w:lang w:val="en-US" w:eastAsia="zh-CN" w:bidi="ar"/>
        </w:rPr>
        <w:t>月</w:t>
      </w:r>
      <w:r>
        <w:rPr>
          <w:rFonts w:hint="eastAsia" w:cs="Times New Roman"/>
          <w:color w:val="auto"/>
          <w:kern w:val="0"/>
          <w:sz w:val="24"/>
          <w:szCs w:val="24"/>
          <w:highlight w:val="none"/>
          <w:lang w:val="en-US" w:eastAsia="zh-CN" w:bidi="ar"/>
        </w:rPr>
        <w:t>23</w:t>
      </w:r>
      <w:r>
        <w:rPr>
          <w:rFonts w:hint="eastAsia" w:ascii="Times New Roman" w:hAnsi="Times New Roman" w:eastAsia="宋体" w:cs="Times New Roman"/>
          <w:color w:val="auto"/>
          <w:kern w:val="0"/>
          <w:sz w:val="24"/>
          <w:szCs w:val="24"/>
          <w:highlight w:val="none"/>
          <w:lang w:val="en-US" w:eastAsia="zh-CN" w:bidi="ar"/>
        </w:rPr>
        <w:t>日</w:t>
      </w:r>
      <w:r>
        <w:rPr>
          <w:rFonts w:hint="eastAsia" w:cs="Times New Roman"/>
          <w:color w:val="auto"/>
          <w:kern w:val="0"/>
          <w:sz w:val="24"/>
          <w:szCs w:val="24"/>
          <w:highlight w:val="none"/>
          <w:lang w:val="en-US" w:eastAsia="zh-CN" w:bidi="ar"/>
        </w:rPr>
        <w:t>经合肥市发展和改革委员会</w:t>
      </w:r>
      <w:r>
        <w:rPr>
          <w:rFonts w:hint="eastAsia" w:ascii="Times New Roman" w:hAnsi="Times New Roman" w:eastAsia="宋体" w:cs="Times New Roman"/>
          <w:color w:val="auto"/>
          <w:kern w:val="0"/>
          <w:sz w:val="24"/>
          <w:szCs w:val="24"/>
          <w:highlight w:val="none"/>
          <w:lang w:val="en-US" w:eastAsia="zh-CN" w:bidi="ar"/>
        </w:rPr>
        <w:t>备案</w:t>
      </w:r>
      <w:r>
        <w:rPr>
          <w:rFonts w:hint="eastAsia" w:cs="Times New Roman"/>
          <w:color w:val="auto"/>
          <w:kern w:val="0"/>
          <w:sz w:val="24"/>
          <w:szCs w:val="24"/>
          <w:highlight w:val="none"/>
          <w:lang w:val="en-US" w:eastAsia="zh-CN" w:bidi="ar"/>
        </w:rPr>
        <w:t>，文号为合发改备【2022】10号</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lang w:eastAsia="zh-CN"/>
        </w:rPr>
        <w:t>项目总投资约</w:t>
      </w:r>
      <w:r>
        <w:rPr>
          <w:rFonts w:hint="eastAsia" w:cs="Times New Roman"/>
          <w:color w:val="auto"/>
          <w:lang w:val="en-US" w:eastAsia="zh-CN"/>
        </w:rPr>
        <w:t>274800万</w:t>
      </w:r>
      <w:r>
        <w:rPr>
          <w:rFonts w:hint="default" w:ascii="Times New Roman" w:hAnsi="Times New Roman" w:cs="Times New Roman"/>
          <w:color w:val="auto"/>
          <w:lang w:eastAsia="zh-CN"/>
        </w:rPr>
        <w:t>元，</w:t>
      </w:r>
      <w:r>
        <w:rPr>
          <w:rFonts w:hint="default" w:ascii="Times New Roman" w:hAnsi="Times New Roman" w:cs="Times New Roman"/>
          <w:color w:val="auto"/>
        </w:rPr>
        <w:t>总占地面积约</w:t>
      </w:r>
      <w:r>
        <w:rPr>
          <w:rFonts w:hint="eastAsia" w:cs="Times New Roman"/>
          <w:color w:val="auto"/>
          <w:lang w:val="en-US" w:eastAsia="zh-CN"/>
        </w:rPr>
        <w:t>118</w:t>
      </w:r>
      <w:r>
        <w:rPr>
          <w:rFonts w:hint="default" w:ascii="Times New Roman" w:hAnsi="Times New Roman" w:cs="Times New Roman"/>
          <w:color w:val="auto"/>
        </w:rPr>
        <w:t>亩</w:t>
      </w:r>
      <w:r>
        <w:rPr>
          <w:rFonts w:hint="eastAsia" w:ascii="Times New Roman" w:hAnsi="Times New Roman" w:cs="宋体"/>
          <w:color w:val="auto"/>
          <w:lang w:eastAsia="zh-CN"/>
        </w:rPr>
        <w:t>；</w:t>
      </w:r>
      <w:r>
        <w:rPr>
          <w:rFonts w:hint="default" w:ascii="Times New Roman" w:hAnsi="Times New Roman" w:cs="Times New Roman"/>
          <w:color w:val="auto"/>
        </w:rPr>
        <w:t>计划建设</w:t>
      </w:r>
      <w:r>
        <w:rPr>
          <w:rFonts w:hint="eastAsia" w:cs="Times New Roman"/>
          <w:color w:val="auto"/>
          <w:lang w:eastAsia="zh-CN"/>
        </w:rPr>
        <w:t>门急诊医技楼、综合住院部大楼、老年保健中心、特殊门诊、综合管理中心</w:t>
      </w:r>
      <w:r>
        <w:rPr>
          <w:rFonts w:hint="default" w:ascii="Times New Roman" w:hAnsi="Times New Roman" w:cs="Times New Roman"/>
          <w:color w:val="auto"/>
        </w:rPr>
        <w:t>等建筑以及配套工程（不含辐射），</w:t>
      </w:r>
      <w:r>
        <w:rPr>
          <w:rFonts w:hint="default" w:ascii="Times New Roman" w:hAnsi="Times New Roman" w:cs="Times New Roman"/>
          <w:color w:val="auto"/>
          <w:lang w:eastAsia="zh-CN"/>
        </w:rPr>
        <w:t>预计总</w:t>
      </w:r>
      <w:r>
        <w:rPr>
          <w:rFonts w:hint="default" w:ascii="Times New Roman" w:hAnsi="Times New Roman" w:cs="Times New Roman"/>
          <w:color w:val="auto"/>
        </w:rPr>
        <w:t>建筑面积约</w:t>
      </w:r>
      <w:r>
        <w:rPr>
          <w:rFonts w:hint="eastAsia" w:cs="Times New Roman"/>
          <w:color w:val="auto"/>
          <w:lang w:val="en-US" w:eastAsia="zh-CN"/>
        </w:rPr>
        <w:t>35</w:t>
      </w:r>
      <w:r>
        <w:rPr>
          <w:rFonts w:hint="default" w:ascii="Times New Roman" w:hAnsi="Times New Roman" w:cs="Times New Roman"/>
          <w:color w:val="auto"/>
        </w:rPr>
        <w:t>万平方米</w:t>
      </w:r>
      <w:r>
        <w:rPr>
          <w:rFonts w:hint="default" w:ascii="Times New Roman" w:hAnsi="Times New Roman" w:cs="Times New Roman"/>
          <w:color w:val="auto"/>
          <w:lang w:eastAsia="zh-CN"/>
        </w:rPr>
        <w:t>。</w:t>
      </w:r>
    </w:p>
    <w:p>
      <w:pPr>
        <w:spacing w:line="360" w:lineRule="auto"/>
        <w:ind w:firstLine="480" w:firstLineChars="200"/>
        <w:rPr>
          <w:bCs/>
          <w:color w:val="auto"/>
          <w:highlight w:val="none"/>
        </w:rPr>
      </w:pPr>
      <w:r>
        <w:rPr>
          <w:rFonts w:hAnsi="宋体"/>
          <w:color w:val="auto"/>
          <w:highlight w:val="none"/>
        </w:rPr>
        <w:t>根据《建设项目环境保护管理条例》和《中华人民共和国环境影响评价法》中有关规定，该项目应进行环境影响评价。</w:t>
      </w:r>
      <w:r>
        <w:rPr>
          <w:rFonts w:hint="eastAsia" w:hAnsi="宋体"/>
          <w:color w:val="auto"/>
          <w:highlight w:val="none"/>
        </w:rPr>
        <w:t>本项目</w:t>
      </w:r>
      <w:r>
        <w:rPr>
          <w:rFonts w:hint="eastAsia" w:hAnsi="宋体"/>
          <w:color w:val="auto"/>
          <w:highlight w:val="none"/>
          <w:lang w:eastAsia="zh-CN"/>
        </w:rPr>
        <w:t>为新建，拟设置</w:t>
      </w:r>
      <w:r>
        <w:rPr>
          <w:rFonts w:hint="eastAsia" w:hAnsi="宋体"/>
          <w:color w:val="auto"/>
          <w:highlight w:val="none"/>
          <w:lang w:val="en-US" w:eastAsia="zh-CN"/>
        </w:rPr>
        <w:t>1500张床位，对照</w:t>
      </w:r>
      <w:r>
        <w:rPr>
          <w:rFonts w:hint="eastAsia"/>
          <w:bCs/>
          <w:color w:val="auto"/>
          <w:kern w:val="0"/>
          <w:highlight w:val="none"/>
        </w:rPr>
        <w:t>《建设项目环境影响评价分类管理名录</w:t>
      </w:r>
      <w:r>
        <w:rPr>
          <w:rFonts w:hint="eastAsia"/>
          <w:bCs/>
          <w:color w:val="auto"/>
          <w:kern w:val="0"/>
          <w:highlight w:val="none"/>
          <w:lang w:eastAsia="zh-CN"/>
        </w:rPr>
        <w:t>（</w:t>
      </w:r>
      <w:r>
        <w:rPr>
          <w:rFonts w:hint="eastAsia"/>
          <w:bCs/>
          <w:color w:val="auto"/>
          <w:kern w:val="0"/>
          <w:highlight w:val="none"/>
          <w:lang w:val="en-US" w:eastAsia="zh-CN"/>
        </w:rPr>
        <w:t>2021年版</w:t>
      </w:r>
      <w:r>
        <w:rPr>
          <w:rFonts w:hint="eastAsia"/>
          <w:bCs/>
          <w:color w:val="auto"/>
          <w:kern w:val="0"/>
          <w:highlight w:val="none"/>
          <w:lang w:eastAsia="zh-CN"/>
        </w:rPr>
        <w:t>）</w:t>
      </w:r>
      <w:r>
        <w:rPr>
          <w:rFonts w:hint="eastAsia"/>
          <w:bCs/>
          <w:color w:val="auto"/>
          <w:kern w:val="0"/>
          <w:highlight w:val="none"/>
        </w:rPr>
        <w:t>》（环保部第44号令）</w:t>
      </w:r>
      <w:r>
        <w:rPr>
          <w:rFonts w:hint="eastAsia"/>
          <w:bCs/>
          <w:color w:val="auto"/>
          <w:kern w:val="0"/>
          <w:highlight w:val="none"/>
          <w:lang w:eastAsia="zh-CN"/>
        </w:rPr>
        <w:t>，</w:t>
      </w:r>
      <w:r>
        <w:rPr>
          <w:rFonts w:hAnsi="宋体"/>
          <w:color w:val="auto"/>
          <w:highlight w:val="none"/>
        </w:rPr>
        <w:t>属于</w:t>
      </w:r>
      <w:r>
        <w:rPr>
          <w:rFonts w:hint="eastAsia" w:hAnsi="宋体"/>
          <w:color w:val="auto"/>
          <w:highlight w:val="none"/>
          <w:lang w:eastAsia="zh-CN"/>
        </w:rPr>
        <w:t>其</w:t>
      </w:r>
      <w:r>
        <w:rPr>
          <w:rFonts w:hAnsi="宋体"/>
          <w:color w:val="auto"/>
          <w:highlight w:val="none"/>
        </w:rPr>
        <w:t>中</w:t>
      </w:r>
      <w:r>
        <w:rPr>
          <w:rFonts w:hint="eastAsia" w:hAnsi="宋体"/>
          <w:color w:val="auto"/>
          <w:highlight w:val="none"/>
          <w:lang w:eastAsia="zh-CN"/>
        </w:rPr>
        <w:t>的</w:t>
      </w:r>
      <w:r>
        <w:rPr>
          <w:rFonts w:hint="eastAsia" w:hAnsi="宋体" w:cs="宋体"/>
          <w:color w:val="auto"/>
          <w:highlight w:val="none"/>
          <w:lang w:eastAsia="zh-CN"/>
        </w:rPr>
        <w:t>“</w:t>
      </w:r>
      <w:r>
        <w:rPr>
          <w:rFonts w:hint="eastAsia" w:hAnsi="宋体"/>
          <w:color w:val="auto"/>
          <w:highlight w:val="none"/>
          <w:lang w:eastAsia="zh-CN"/>
        </w:rPr>
        <w:t>四</w:t>
      </w:r>
      <w:r>
        <w:rPr>
          <w:rFonts w:hint="eastAsia" w:hAnsi="宋体"/>
          <w:color w:val="auto"/>
          <w:highlight w:val="none"/>
        </w:rPr>
        <w:t>十九、卫生，</w:t>
      </w:r>
      <w:r>
        <w:rPr>
          <w:rFonts w:hAnsi="宋体"/>
          <w:color w:val="auto"/>
          <w:highlight w:val="none"/>
        </w:rPr>
        <w:t>1</w:t>
      </w:r>
      <w:r>
        <w:rPr>
          <w:rFonts w:hint="eastAsia" w:hAnsi="宋体"/>
          <w:color w:val="auto"/>
          <w:highlight w:val="none"/>
          <w:lang w:val="en-US" w:eastAsia="zh-CN"/>
        </w:rPr>
        <w:t>08</w:t>
      </w:r>
      <w:r>
        <w:rPr>
          <w:rFonts w:hint="eastAsia" w:hAnsi="宋体"/>
          <w:color w:val="auto"/>
          <w:highlight w:val="none"/>
        </w:rPr>
        <w:t>医院、专科防治院（所、站）</w:t>
      </w:r>
      <w:r>
        <w:rPr>
          <w:rFonts w:hint="eastAsia" w:hAnsi="宋体"/>
          <w:color w:val="auto"/>
          <w:highlight w:val="none"/>
          <w:lang w:eastAsia="zh-CN"/>
        </w:rPr>
        <w:t>、专科疾病防治院（所、站）、妇幼保健院（所、站、急救中心（站）服务、采供血机构服务、基层医疗卫生服务</w:t>
      </w:r>
      <w:r>
        <w:rPr>
          <w:rFonts w:hint="eastAsia" w:hAnsi="宋体"/>
          <w:color w:val="auto"/>
          <w:highlight w:val="none"/>
          <w:lang w:val="en-US" w:eastAsia="zh-CN"/>
        </w:rPr>
        <w:t>，</w:t>
      </w:r>
      <w:r>
        <w:rPr>
          <w:rFonts w:hint="eastAsia" w:hAnsi="宋体"/>
          <w:color w:val="auto"/>
          <w:highlight w:val="none"/>
        </w:rPr>
        <w:t>新建、扩建住院床位500张及以上的</w:t>
      </w:r>
      <w:r>
        <w:rPr>
          <w:rFonts w:hint="eastAsia" w:hAnsi="宋体" w:cs="宋体"/>
          <w:color w:val="auto"/>
          <w:highlight w:val="none"/>
          <w:lang w:eastAsia="zh-CN"/>
        </w:rPr>
        <w:t>”</w:t>
      </w:r>
      <w:r>
        <w:rPr>
          <w:rFonts w:hAnsi="宋体"/>
          <w:color w:val="auto"/>
          <w:highlight w:val="none"/>
        </w:rPr>
        <w:t>类别，应编制</w:t>
      </w:r>
      <w:r>
        <w:rPr>
          <w:rFonts w:hint="eastAsia" w:hAnsi="宋体"/>
          <w:color w:val="auto"/>
          <w:highlight w:val="none"/>
        </w:rPr>
        <w:t>环境影响报告书</w:t>
      </w:r>
      <w:r>
        <w:rPr>
          <w:rFonts w:hAnsi="宋体"/>
          <w:color w:val="auto"/>
          <w:highlight w:val="none"/>
        </w:rPr>
        <w:t>。</w:t>
      </w:r>
      <w:r>
        <w:rPr>
          <w:rFonts w:hint="eastAsia"/>
          <w:bCs/>
          <w:color w:val="auto"/>
          <w:highlight w:val="none"/>
        </w:rPr>
        <w:t>为此，</w:t>
      </w:r>
      <w:r>
        <w:rPr>
          <w:rFonts w:hint="eastAsia"/>
          <w:bCs/>
          <w:color w:val="auto"/>
          <w:highlight w:val="none"/>
          <w:lang w:eastAsia="zh-CN"/>
        </w:rPr>
        <w:t>安徽省立医院</w:t>
      </w:r>
      <w:r>
        <w:rPr>
          <w:bCs/>
          <w:color w:val="auto"/>
          <w:highlight w:val="none"/>
        </w:rPr>
        <w:t>于</w:t>
      </w:r>
      <w:r>
        <w:rPr>
          <w:rFonts w:hint="eastAsia"/>
          <w:bCs/>
          <w:color w:val="auto"/>
          <w:highlight w:val="none"/>
          <w:lang w:val="en-US" w:eastAsia="zh-CN"/>
        </w:rPr>
        <w:t>2022</w:t>
      </w:r>
      <w:r>
        <w:rPr>
          <w:bCs/>
          <w:color w:val="auto"/>
          <w:highlight w:val="none"/>
        </w:rPr>
        <w:t>年</w:t>
      </w:r>
      <w:r>
        <w:rPr>
          <w:rFonts w:hint="eastAsia"/>
          <w:bCs/>
          <w:color w:val="auto"/>
          <w:highlight w:val="none"/>
          <w:lang w:val="en-US" w:eastAsia="zh-CN"/>
        </w:rPr>
        <w:t>11</w:t>
      </w:r>
      <w:r>
        <w:rPr>
          <w:bCs/>
          <w:color w:val="auto"/>
          <w:highlight w:val="none"/>
        </w:rPr>
        <w:t>月</w:t>
      </w:r>
      <w:r>
        <w:rPr>
          <w:rFonts w:hint="eastAsia"/>
          <w:bCs/>
          <w:color w:val="auto"/>
          <w:highlight w:val="none"/>
          <w:lang w:val="en-US" w:eastAsia="zh-CN"/>
        </w:rPr>
        <w:t>25</w:t>
      </w:r>
      <w:r>
        <w:rPr>
          <w:bCs/>
          <w:color w:val="auto"/>
          <w:highlight w:val="none"/>
        </w:rPr>
        <w:t>日正式委托</w:t>
      </w:r>
      <w:r>
        <w:rPr>
          <w:rFonts w:hint="eastAsia"/>
          <w:bCs/>
          <w:color w:val="auto"/>
          <w:highlight w:val="none"/>
        </w:rPr>
        <w:t>安徽华境资环科技</w:t>
      </w:r>
      <w:r>
        <w:rPr>
          <w:bCs/>
          <w:color w:val="auto"/>
          <w:highlight w:val="none"/>
        </w:rPr>
        <w:t>有限公司承担该项目的环境影响评价工作。我公司在接受委托后，立即组织有关技术人员进行项目选址现场踏勘，并收集了与项目有关的技术资料，并依据相关工作程序，在现场调查、工程分析、环境现状监测、预测计算分析等环节工作的基础上，编制完成了本项目的环境影响报告书，呈报</w:t>
      </w:r>
      <w:r>
        <w:rPr>
          <w:rFonts w:hint="eastAsia"/>
          <w:bCs/>
          <w:color w:val="auto"/>
          <w:highlight w:val="none"/>
        </w:rPr>
        <w:t>生态环境</w:t>
      </w:r>
      <w:r>
        <w:rPr>
          <w:bCs/>
          <w:color w:val="auto"/>
          <w:highlight w:val="none"/>
        </w:rPr>
        <w:t>主管部门进行审查。</w:t>
      </w:r>
    </w:p>
    <w:p>
      <w:pPr>
        <w:pStyle w:val="4"/>
        <w:spacing w:before="0" w:after="0" w:line="360" w:lineRule="auto"/>
        <w:rPr>
          <w:rFonts w:ascii="Times New Roman" w:hAnsi="Times New Roman" w:eastAsia="宋体"/>
          <w:color w:val="auto"/>
          <w:sz w:val="28"/>
          <w:szCs w:val="28"/>
        </w:rPr>
      </w:pPr>
      <w:bookmarkStart w:id="6" w:name="_Toc30711"/>
      <w:bookmarkStart w:id="7" w:name="_Toc7416"/>
      <w:bookmarkStart w:id="8" w:name="_Toc27230"/>
      <w:r>
        <w:rPr>
          <w:rFonts w:ascii="Times New Roman" w:hAnsi="Times New Roman" w:eastAsia="宋体"/>
          <w:color w:val="auto"/>
          <w:sz w:val="28"/>
          <w:szCs w:val="28"/>
        </w:rPr>
        <w:t>环境影响评价工作过程</w:t>
      </w:r>
      <w:bookmarkEnd w:id="6"/>
      <w:bookmarkEnd w:id="7"/>
      <w:bookmarkEnd w:id="8"/>
    </w:p>
    <w:p>
      <w:pPr>
        <w:spacing w:line="360" w:lineRule="auto"/>
        <w:ind w:firstLine="480" w:firstLineChars="200"/>
        <w:rPr>
          <w:color w:val="auto"/>
          <w:highlight w:val="none"/>
        </w:rPr>
      </w:pPr>
      <w:r>
        <w:rPr>
          <w:color w:val="auto"/>
          <w:highlight w:val="none"/>
        </w:rPr>
        <w:t>◆</w:t>
      </w:r>
      <w:r>
        <w:rPr>
          <w:rFonts w:hint="eastAsia"/>
          <w:color w:val="auto"/>
          <w:highlight w:val="none"/>
          <w:lang w:eastAsia="zh-CN"/>
        </w:rPr>
        <w:t>202</w:t>
      </w:r>
      <w:r>
        <w:rPr>
          <w:rFonts w:hint="eastAsia"/>
          <w:color w:val="auto"/>
          <w:highlight w:val="none"/>
          <w:lang w:val="en-US" w:eastAsia="zh-CN"/>
        </w:rPr>
        <w:t>2</w:t>
      </w:r>
      <w:r>
        <w:rPr>
          <w:color w:val="auto"/>
          <w:highlight w:val="none"/>
        </w:rPr>
        <w:t>年</w:t>
      </w:r>
      <w:r>
        <w:rPr>
          <w:rFonts w:hint="eastAsia"/>
          <w:color w:val="auto"/>
          <w:highlight w:val="none"/>
          <w:lang w:val="en-US" w:eastAsia="zh-CN"/>
        </w:rPr>
        <w:t>11</w:t>
      </w:r>
      <w:r>
        <w:rPr>
          <w:color w:val="auto"/>
          <w:highlight w:val="none"/>
        </w:rPr>
        <w:t>月</w:t>
      </w:r>
      <w:r>
        <w:rPr>
          <w:rFonts w:hint="eastAsia"/>
          <w:color w:val="auto"/>
          <w:highlight w:val="none"/>
          <w:lang w:val="en-US" w:eastAsia="zh-CN"/>
        </w:rPr>
        <w:t>25</w:t>
      </w:r>
      <w:r>
        <w:rPr>
          <w:color w:val="auto"/>
          <w:highlight w:val="none"/>
        </w:rPr>
        <w:t>日，</w:t>
      </w:r>
      <w:r>
        <w:rPr>
          <w:rFonts w:hint="eastAsia"/>
          <w:color w:val="auto"/>
          <w:highlight w:val="none"/>
        </w:rPr>
        <w:t>安徽华境资环科技</w:t>
      </w:r>
      <w:r>
        <w:rPr>
          <w:color w:val="auto"/>
          <w:highlight w:val="none"/>
        </w:rPr>
        <w:t>有限公司受</w:t>
      </w:r>
      <w:r>
        <w:rPr>
          <w:rFonts w:hint="eastAsia"/>
          <w:color w:val="auto"/>
          <w:highlight w:val="none"/>
          <w:lang w:val="en-US" w:eastAsia="zh-CN"/>
        </w:rPr>
        <w:t>安徽省立医院</w:t>
      </w:r>
      <w:r>
        <w:rPr>
          <w:color w:val="auto"/>
          <w:highlight w:val="none"/>
        </w:rPr>
        <w:t>委托，承担《</w:t>
      </w:r>
      <w:r>
        <w:rPr>
          <w:rFonts w:hint="eastAsia"/>
          <w:bCs/>
          <w:color w:val="auto"/>
          <w:highlight w:val="none"/>
          <w:lang w:eastAsia="zh-CN"/>
        </w:rPr>
        <w:t>安徽省立医院（中国科大附一院）滨湖院区项目</w:t>
      </w:r>
      <w:r>
        <w:rPr>
          <w:color w:val="auto"/>
          <w:highlight w:val="none"/>
        </w:rPr>
        <w:t>环境影响报告书》的编制工作。</w:t>
      </w:r>
    </w:p>
    <w:p>
      <w:pPr>
        <w:spacing w:line="360" w:lineRule="auto"/>
        <w:ind w:firstLine="480" w:firstLineChars="200"/>
        <w:rPr>
          <w:color w:val="auto"/>
          <w:highlight w:val="none"/>
        </w:rPr>
      </w:pPr>
      <w:bookmarkStart w:id="9" w:name="OLE_LINK5"/>
      <w:bookmarkStart w:id="10" w:name="OLE_LINK4"/>
      <w:r>
        <w:rPr>
          <w:color w:val="auto"/>
          <w:highlight w:val="none"/>
        </w:rPr>
        <w:t>◆</w:t>
      </w:r>
      <w:bookmarkEnd w:id="9"/>
      <w:bookmarkEnd w:id="10"/>
      <w:r>
        <w:rPr>
          <w:rFonts w:hint="eastAsia"/>
          <w:color w:val="auto"/>
          <w:highlight w:val="none"/>
          <w:lang w:eastAsia="zh-CN"/>
        </w:rPr>
        <w:t>202</w:t>
      </w:r>
      <w:r>
        <w:rPr>
          <w:rFonts w:hint="eastAsia"/>
          <w:color w:val="auto"/>
          <w:highlight w:val="none"/>
          <w:lang w:val="en-US" w:eastAsia="zh-CN"/>
        </w:rPr>
        <w:t>2</w:t>
      </w:r>
      <w:r>
        <w:rPr>
          <w:color w:val="auto"/>
          <w:highlight w:val="none"/>
        </w:rPr>
        <w:t>年</w:t>
      </w:r>
      <w:r>
        <w:rPr>
          <w:rFonts w:hint="eastAsia"/>
          <w:color w:val="auto"/>
          <w:highlight w:val="none"/>
          <w:lang w:val="en-US" w:eastAsia="zh-CN"/>
        </w:rPr>
        <w:t>11</w:t>
      </w:r>
      <w:r>
        <w:rPr>
          <w:color w:val="auto"/>
          <w:highlight w:val="none"/>
        </w:rPr>
        <w:t>月</w:t>
      </w:r>
      <w:r>
        <w:rPr>
          <w:rFonts w:hint="eastAsia"/>
          <w:color w:val="auto"/>
          <w:highlight w:val="none"/>
          <w:lang w:val="en-US" w:eastAsia="zh-CN"/>
        </w:rPr>
        <w:t>28</w:t>
      </w:r>
      <w:r>
        <w:rPr>
          <w:color w:val="auto"/>
          <w:highlight w:val="none"/>
        </w:rPr>
        <w:t>日，该项目环评第一次公示在</w:t>
      </w:r>
      <w:r>
        <w:rPr>
          <w:rFonts w:hint="eastAsia"/>
          <w:color w:val="auto"/>
          <w:highlight w:val="none"/>
          <w:lang w:val="en-US" w:eastAsia="zh-CN"/>
        </w:rPr>
        <w:t>安徽省立医院</w:t>
      </w:r>
      <w:r>
        <w:rPr>
          <w:color w:val="auto"/>
          <w:highlight w:val="none"/>
        </w:rPr>
        <w:t>网站上发布。</w:t>
      </w:r>
    </w:p>
    <w:p>
      <w:pPr>
        <w:spacing w:line="360" w:lineRule="auto"/>
        <w:ind w:firstLine="480" w:firstLineChars="200"/>
        <w:rPr>
          <w:color w:val="auto"/>
          <w:highlight w:val="none"/>
        </w:rPr>
      </w:pPr>
      <w:r>
        <w:rPr>
          <w:color w:val="auto"/>
          <w:highlight w:val="none"/>
        </w:rPr>
        <w:t>◆</w:t>
      </w:r>
      <w:r>
        <w:rPr>
          <w:rFonts w:hint="eastAsia"/>
          <w:color w:val="auto"/>
          <w:highlight w:val="none"/>
          <w:lang w:eastAsia="zh-CN"/>
        </w:rPr>
        <w:t>202</w:t>
      </w:r>
      <w:r>
        <w:rPr>
          <w:rFonts w:hint="eastAsia"/>
          <w:color w:val="auto"/>
          <w:highlight w:val="none"/>
          <w:lang w:val="en-US" w:eastAsia="zh-CN"/>
        </w:rPr>
        <w:t>2</w:t>
      </w:r>
      <w:r>
        <w:rPr>
          <w:color w:val="auto"/>
          <w:highlight w:val="none"/>
        </w:rPr>
        <w:t>年</w:t>
      </w:r>
      <w:r>
        <w:rPr>
          <w:rFonts w:hint="eastAsia"/>
          <w:color w:val="auto"/>
          <w:highlight w:val="none"/>
          <w:lang w:val="en-US" w:eastAsia="zh-CN"/>
        </w:rPr>
        <w:t>11月下旬-12</w:t>
      </w:r>
      <w:r>
        <w:rPr>
          <w:color w:val="auto"/>
          <w:highlight w:val="none"/>
        </w:rPr>
        <w:t>月</w:t>
      </w:r>
      <w:r>
        <w:rPr>
          <w:rFonts w:hint="eastAsia"/>
          <w:color w:val="auto"/>
          <w:highlight w:val="none"/>
          <w:lang w:eastAsia="zh-CN"/>
        </w:rPr>
        <w:t>中旬</w:t>
      </w:r>
      <w:r>
        <w:rPr>
          <w:color w:val="auto"/>
          <w:highlight w:val="none"/>
        </w:rPr>
        <w:t>，根据可行性研究报告及项目单位提供的其他技术资料进行工程分析，确定评价思路、评价重点及各环境要素评价等级。</w:t>
      </w:r>
    </w:p>
    <w:p>
      <w:pPr>
        <w:spacing w:line="360" w:lineRule="auto"/>
        <w:ind w:firstLine="480" w:firstLineChars="200"/>
        <w:rPr>
          <w:bCs/>
          <w:color w:val="auto"/>
          <w:highlight w:val="none"/>
        </w:rPr>
      </w:pPr>
      <w:r>
        <w:rPr>
          <w:color w:val="auto"/>
          <w:highlight w:val="none"/>
        </w:rPr>
        <w:t>◆</w:t>
      </w:r>
      <w:r>
        <w:rPr>
          <w:rFonts w:hint="eastAsia"/>
          <w:bCs/>
          <w:color w:val="auto"/>
          <w:highlight w:val="none"/>
          <w:lang w:eastAsia="zh-CN"/>
        </w:rPr>
        <w:t>202</w:t>
      </w:r>
      <w:r>
        <w:rPr>
          <w:rFonts w:hint="eastAsia"/>
          <w:bCs/>
          <w:color w:val="auto"/>
          <w:highlight w:val="none"/>
          <w:lang w:val="en-US" w:eastAsia="zh-CN"/>
        </w:rPr>
        <w:t>2</w:t>
      </w:r>
      <w:r>
        <w:rPr>
          <w:bCs/>
          <w:color w:val="auto"/>
          <w:highlight w:val="none"/>
        </w:rPr>
        <w:t>年</w:t>
      </w:r>
      <w:r>
        <w:rPr>
          <w:rFonts w:hint="eastAsia"/>
          <w:bCs/>
          <w:color w:val="auto"/>
          <w:highlight w:val="none"/>
          <w:lang w:val="en-US" w:eastAsia="zh-CN"/>
        </w:rPr>
        <w:t>12</w:t>
      </w:r>
      <w:r>
        <w:rPr>
          <w:bCs/>
          <w:color w:val="auto"/>
          <w:highlight w:val="none"/>
        </w:rPr>
        <w:t>月</w:t>
      </w:r>
      <w:r>
        <w:rPr>
          <w:rFonts w:hint="eastAsia"/>
          <w:bCs/>
          <w:color w:val="auto"/>
          <w:highlight w:val="none"/>
          <w:lang w:val="en-US" w:eastAsia="zh-CN"/>
        </w:rPr>
        <w:t>13</w:t>
      </w:r>
      <w:r>
        <w:rPr>
          <w:bCs/>
          <w:color w:val="auto"/>
          <w:highlight w:val="none"/>
        </w:rPr>
        <w:t>日-</w:t>
      </w:r>
      <w:r>
        <w:rPr>
          <w:rFonts w:hint="eastAsia"/>
          <w:bCs/>
          <w:color w:val="auto"/>
          <w:highlight w:val="none"/>
          <w:lang w:val="en-US" w:eastAsia="zh-CN"/>
        </w:rPr>
        <w:t>12</w:t>
      </w:r>
      <w:r>
        <w:rPr>
          <w:rFonts w:hint="eastAsia"/>
          <w:bCs/>
          <w:color w:val="auto"/>
          <w:highlight w:val="none"/>
        </w:rPr>
        <w:t>月</w:t>
      </w:r>
      <w:r>
        <w:rPr>
          <w:rFonts w:hint="eastAsia"/>
          <w:bCs/>
          <w:color w:val="auto"/>
          <w:highlight w:val="none"/>
          <w:lang w:val="en-US" w:eastAsia="zh-CN"/>
        </w:rPr>
        <w:t>19</w:t>
      </w:r>
      <w:r>
        <w:rPr>
          <w:bCs/>
          <w:color w:val="auto"/>
          <w:highlight w:val="none"/>
        </w:rPr>
        <w:t>日，</w:t>
      </w:r>
      <w:r>
        <w:rPr>
          <w:rFonts w:hint="eastAsia"/>
          <w:bCs/>
          <w:color w:val="auto"/>
          <w:highlight w:val="none"/>
          <w:lang w:eastAsia="zh-CN"/>
        </w:rPr>
        <w:t>安徽省国众检测科技有限公司</w:t>
      </w:r>
      <w:r>
        <w:rPr>
          <w:bCs/>
          <w:color w:val="auto"/>
          <w:highlight w:val="none"/>
        </w:rPr>
        <w:t>对项目区</w:t>
      </w:r>
      <w:r>
        <w:rPr>
          <w:rFonts w:hint="eastAsia"/>
          <w:bCs/>
          <w:color w:val="auto"/>
          <w:highlight w:val="none"/>
          <w:lang w:val="en-US" w:eastAsia="zh-CN"/>
        </w:rPr>
        <w:t>环境空气、声</w:t>
      </w:r>
      <w:r>
        <w:rPr>
          <w:rFonts w:hint="eastAsia"/>
          <w:bCs/>
          <w:color w:val="auto"/>
          <w:highlight w:val="none"/>
        </w:rPr>
        <w:t>及</w:t>
      </w:r>
      <w:r>
        <w:rPr>
          <w:rFonts w:hint="eastAsia"/>
          <w:bCs/>
          <w:color w:val="auto"/>
          <w:highlight w:val="none"/>
          <w:lang w:eastAsia="zh-CN"/>
        </w:rPr>
        <w:t>地下水</w:t>
      </w:r>
      <w:r>
        <w:rPr>
          <w:rFonts w:hint="eastAsia"/>
          <w:bCs/>
          <w:color w:val="auto"/>
          <w:highlight w:val="none"/>
          <w:lang w:val="en-US" w:eastAsia="zh-CN"/>
        </w:rPr>
        <w:t>环境</w:t>
      </w:r>
      <w:r>
        <w:rPr>
          <w:bCs/>
          <w:color w:val="auto"/>
          <w:highlight w:val="none"/>
        </w:rPr>
        <w:t>质量</w:t>
      </w:r>
      <w:r>
        <w:rPr>
          <w:rFonts w:hint="eastAsia"/>
          <w:bCs/>
          <w:color w:val="auto"/>
          <w:highlight w:val="none"/>
        </w:rPr>
        <w:t>进行了</w:t>
      </w:r>
      <w:r>
        <w:rPr>
          <w:bCs/>
          <w:color w:val="auto"/>
          <w:highlight w:val="none"/>
        </w:rPr>
        <w:t>现状监测。</w:t>
      </w:r>
    </w:p>
    <w:p>
      <w:pPr>
        <w:spacing w:line="360" w:lineRule="auto"/>
        <w:ind w:firstLine="480" w:firstLineChars="200"/>
        <w:rPr>
          <w:color w:val="auto"/>
        </w:rPr>
      </w:pPr>
      <w:r>
        <w:rPr>
          <w:color w:val="auto"/>
        </w:rPr>
        <w:t>◆</w:t>
      </w:r>
      <w:r>
        <w:rPr>
          <w:rFonts w:hint="eastAsia"/>
          <w:color w:val="auto"/>
          <w:lang w:eastAsia="zh-CN"/>
        </w:rPr>
        <w:t>202</w:t>
      </w:r>
      <w:r>
        <w:rPr>
          <w:rFonts w:hint="eastAsia"/>
          <w:color w:val="auto"/>
          <w:lang w:val="en-US" w:eastAsia="zh-CN"/>
        </w:rPr>
        <w:t>2</w:t>
      </w:r>
      <w:r>
        <w:rPr>
          <w:color w:val="auto"/>
        </w:rPr>
        <w:t>年</w:t>
      </w:r>
      <w:r>
        <w:rPr>
          <w:rFonts w:hint="eastAsia"/>
          <w:color w:val="auto"/>
          <w:lang w:val="en-US" w:eastAsia="zh-CN"/>
        </w:rPr>
        <w:t>12</w:t>
      </w:r>
      <w:r>
        <w:rPr>
          <w:color w:val="auto"/>
        </w:rPr>
        <w:t>月</w:t>
      </w:r>
      <w:r>
        <w:rPr>
          <w:rFonts w:hint="eastAsia"/>
          <w:color w:val="auto"/>
          <w:lang w:eastAsia="zh-CN"/>
        </w:rPr>
        <w:t>下旬</w:t>
      </w:r>
      <w:r>
        <w:rPr>
          <w:color w:val="auto"/>
        </w:rPr>
        <w:t>，项目课题组根据分工进行各专题编写、汇总，提出污染防治对策并论证其可行性。</w:t>
      </w:r>
    </w:p>
    <w:p>
      <w:pPr>
        <w:spacing w:line="360" w:lineRule="auto"/>
        <w:ind w:firstLine="480" w:firstLineChars="200"/>
        <w:rPr>
          <w:rFonts w:hint="default" w:eastAsia="宋体"/>
          <w:color w:val="auto"/>
          <w:lang w:val="en-US" w:eastAsia="zh-CN"/>
        </w:rPr>
      </w:pPr>
      <w:r>
        <w:rPr>
          <w:rFonts w:hint="eastAsia"/>
          <w:color w:val="auto"/>
          <w:lang w:val="en-US" w:eastAsia="zh-CN"/>
        </w:rPr>
        <w:t>2023年1月17日，合肥市包河区生态环境分局同意了</w:t>
      </w:r>
      <w:r>
        <w:rPr>
          <w:rFonts w:hint="eastAsia"/>
          <w:color w:val="auto"/>
          <w:kern w:val="0"/>
          <w:lang w:val="en-US" w:eastAsia="zh-CN"/>
        </w:rPr>
        <w:t>《关于安徽省立医院（中国科大附一院）滨湖院区项目环境影响评价执行标准的确认函》（包环建标【2023】001号）</w:t>
      </w:r>
    </w:p>
    <w:p>
      <w:pPr>
        <w:spacing w:line="360" w:lineRule="auto"/>
        <w:ind w:firstLine="480" w:firstLineChars="200"/>
        <w:rPr>
          <w:rFonts w:hint="eastAsia"/>
          <w:color w:val="auto"/>
          <w:kern w:val="0"/>
          <w:lang w:val="en-US" w:eastAsia="zh-CN"/>
        </w:rPr>
      </w:pPr>
      <w:r>
        <w:rPr>
          <w:color w:val="auto"/>
          <w:highlight w:val="none"/>
        </w:rPr>
        <w:t>◆</w:t>
      </w:r>
      <w:r>
        <w:rPr>
          <w:rFonts w:hint="eastAsia"/>
          <w:color w:val="auto"/>
          <w:highlight w:val="none"/>
          <w:lang w:eastAsia="zh-CN"/>
        </w:rPr>
        <w:t>202</w:t>
      </w:r>
      <w:r>
        <w:rPr>
          <w:rFonts w:hint="eastAsia"/>
          <w:color w:val="auto"/>
          <w:highlight w:val="none"/>
          <w:lang w:val="en-US" w:eastAsia="zh-CN"/>
        </w:rPr>
        <w:t>3</w:t>
      </w:r>
      <w:r>
        <w:rPr>
          <w:color w:val="auto"/>
          <w:highlight w:val="none"/>
        </w:rPr>
        <w:t>年</w:t>
      </w:r>
      <w:r>
        <w:rPr>
          <w:rFonts w:hint="eastAsia"/>
          <w:color w:val="auto"/>
          <w:highlight w:val="none"/>
          <w:lang w:val="en-US" w:eastAsia="zh-CN"/>
        </w:rPr>
        <w:t>1</w:t>
      </w:r>
      <w:r>
        <w:rPr>
          <w:color w:val="auto"/>
          <w:highlight w:val="none"/>
        </w:rPr>
        <w:t>月</w:t>
      </w:r>
      <w:r>
        <w:rPr>
          <w:rFonts w:hint="eastAsia"/>
          <w:color w:val="auto"/>
          <w:highlight w:val="none"/>
          <w:lang w:val="en-US" w:eastAsia="zh-CN"/>
        </w:rPr>
        <w:t>30</w:t>
      </w:r>
      <w:r>
        <w:rPr>
          <w:rFonts w:hint="eastAsia"/>
          <w:color w:val="auto"/>
          <w:kern w:val="0"/>
          <w:lang w:val="en-US" w:eastAsia="zh-CN"/>
        </w:rPr>
        <w:t>日</w:t>
      </w:r>
      <w:r>
        <w:rPr>
          <w:color w:val="auto"/>
          <w:highlight w:val="none"/>
        </w:rPr>
        <w:t>，该项目</w:t>
      </w:r>
      <w:r>
        <w:rPr>
          <w:rFonts w:hint="eastAsia"/>
          <w:color w:val="auto"/>
          <w:highlight w:val="none"/>
        </w:rPr>
        <w:t>经内部审核后形成征求意见稿，并在</w:t>
      </w:r>
      <w:r>
        <w:rPr>
          <w:rFonts w:hint="eastAsia"/>
          <w:color w:val="auto"/>
          <w:highlight w:val="none"/>
          <w:lang w:val="en-US" w:eastAsia="zh-CN"/>
        </w:rPr>
        <w:t>安徽省立医院</w:t>
      </w:r>
      <w:r>
        <w:rPr>
          <w:color w:val="auto"/>
          <w:highlight w:val="none"/>
        </w:rPr>
        <w:t>网站</w:t>
      </w:r>
      <w:r>
        <w:rPr>
          <w:rFonts w:hint="eastAsia"/>
          <w:color w:val="auto"/>
          <w:highlight w:val="none"/>
          <w:lang w:eastAsia="zh-CN"/>
        </w:rPr>
        <w:t>上进行了二次公示</w:t>
      </w:r>
      <w:r>
        <w:rPr>
          <w:rFonts w:hint="eastAsia"/>
          <w:color w:val="auto"/>
          <w:kern w:val="0"/>
          <w:lang w:val="en-US" w:eastAsia="zh-CN"/>
        </w:rPr>
        <w:t>，</w:t>
      </w:r>
      <w:r>
        <w:rPr>
          <w:rFonts w:hint="default" w:ascii="Times New Roman" w:hAnsi="Times New Roman" w:eastAsia="宋体" w:cs="Times New Roman"/>
          <w:color w:val="auto"/>
        </w:rPr>
        <w:t>同时在项目现场进行张贴公示</w:t>
      </w:r>
      <w:r>
        <w:rPr>
          <w:rFonts w:hint="eastAsia"/>
          <w:color w:val="auto"/>
          <w:highlight w:val="none"/>
          <w:lang w:eastAsia="zh-CN"/>
        </w:rPr>
        <w:t>，公示时间为</w:t>
      </w:r>
      <w:r>
        <w:rPr>
          <w:rFonts w:hint="eastAsia"/>
          <w:color w:val="auto"/>
          <w:highlight w:val="none"/>
          <w:lang w:val="en-US" w:eastAsia="zh-CN"/>
        </w:rPr>
        <w:t>2023年1</w:t>
      </w:r>
      <w:r>
        <w:rPr>
          <w:color w:val="auto"/>
          <w:highlight w:val="none"/>
        </w:rPr>
        <w:t>月</w:t>
      </w:r>
      <w:r>
        <w:rPr>
          <w:rFonts w:hint="eastAsia"/>
          <w:color w:val="auto"/>
          <w:kern w:val="0"/>
          <w:lang w:val="en-US" w:eastAsia="zh-CN"/>
        </w:rPr>
        <w:t>30日至</w:t>
      </w:r>
      <w:r>
        <w:rPr>
          <w:rFonts w:hint="eastAsia"/>
          <w:color w:val="auto"/>
          <w:highlight w:val="none"/>
          <w:lang w:val="en-US" w:eastAsia="zh-CN"/>
        </w:rPr>
        <w:t>2</w:t>
      </w:r>
      <w:r>
        <w:rPr>
          <w:color w:val="auto"/>
          <w:highlight w:val="none"/>
        </w:rPr>
        <w:t>月</w:t>
      </w:r>
      <w:r>
        <w:rPr>
          <w:rFonts w:hint="eastAsia"/>
          <w:color w:val="auto"/>
          <w:highlight w:val="none"/>
          <w:lang w:val="en-US" w:eastAsia="zh-CN"/>
        </w:rPr>
        <w:t>10</w:t>
      </w:r>
      <w:r>
        <w:rPr>
          <w:rFonts w:hint="eastAsia"/>
          <w:color w:val="auto"/>
          <w:kern w:val="0"/>
          <w:lang w:val="en-US" w:eastAsia="zh-CN"/>
        </w:rPr>
        <w:t>日</w:t>
      </w:r>
      <w:r>
        <w:rPr>
          <w:rFonts w:hint="eastAsia" w:cs="宋体"/>
          <w:color w:val="auto"/>
          <w:highlight w:val="none"/>
          <w:lang w:eastAsia="zh-CN"/>
        </w:rPr>
        <w:t>；</w:t>
      </w:r>
      <w:r>
        <w:rPr>
          <w:rFonts w:hint="eastAsia"/>
          <w:color w:val="auto"/>
          <w:highlight w:val="none"/>
          <w:lang w:val="en-US" w:eastAsia="zh-CN"/>
        </w:rPr>
        <w:t>2023年2</w:t>
      </w:r>
      <w:r>
        <w:rPr>
          <w:color w:val="auto"/>
          <w:highlight w:val="none"/>
        </w:rPr>
        <w:t>月</w:t>
      </w:r>
      <w:r>
        <w:rPr>
          <w:rFonts w:hint="eastAsia"/>
          <w:color w:val="auto"/>
          <w:highlight w:val="none"/>
          <w:lang w:val="en-US" w:eastAsia="zh-CN"/>
        </w:rPr>
        <w:t>3</w:t>
      </w:r>
      <w:r>
        <w:rPr>
          <w:rFonts w:hint="eastAsia"/>
          <w:color w:val="auto"/>
          <w:kern w:val="0"/>
          <w:lang w:val="en-US" w:eastAsia="zh-CN"/>
        </w:rPr>
        <w:t>日和2</w:t>
      </w:r>
      <w:r>
        <w:rPr>
          <w:color w:val="auto"/>
          <w:highlight w:val="none"/>
        </w:rPr>
        <w:t>月</w:t>
      </w:r>
      <w:r>
        <w:rPr>
          <w:rFonts w:hint="eastAsia"/>
          <w:color w:val="auto"/>
          <w:highlight w:val="none"/>
          <w:lang w:val="en-US" w:eastAsia="zh-CN"/>
        </w:rPr>
        <w:t>7</w:t>
      </w:r>
      <w:r>
        <w:rPr>
          <w:rFonts w:hint="eastAsia"/>
          <w:color w:val="auto"/>
          <w:kern w:val="0"/>
          <w:lang w:val="en-US" w:eastAsia="zh-CN"/>
        </w:rPr>
        <w:t>日该项目在《安徽日报》上进行了报纸公示。</w:t>
      </w:r>
    </w:p>
    <w:p>
      <w:pPr>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◆202</w:t>
      </w:r>
      <w:r>
        <w:rPr>
          <w:rFonts w:hint="eastAsia" w:cs="Times New Roman"/>
          <w:color w:val="auto"/>
          <w:lang w:val="en-US" w:eastAsia="zh-CN"/>
        </w:rPr>
        <w:t>3</w:t>
      </w:r>
      <w:r>
        <w:rPr>
          <w:rFonts w:hint="default" w:ascii="Times New Roman" w:hAnsi="Times New Roman" w:eastAsia="宋体" w:cs="Times New Roman"/>
          <w:color w:val="auto"/>
        </w:rPr>
        <w:t>年</w:t>
      </w:r>
      <w:r>
        <w:rPr>
          <w:rFonts w:hint="eastAsia" w:cs="Times New Roman"/>
          <w:color w:val="auto"/>
          <w:lang w:val="en-US" w:eastAsia="zh-CN"/>
        </w:rPr>
        <w:t>2</w:t>
      </w:r>
      <w:r>
        <w:rPr>
          <w:rFonts w:hint="default" w:ascii="Times New Roman" w:hAnsi="Times New Roman" w:eastAsia="宋体" w:cs="Times New Roman"/>
          <w:color w:val="auto"/>
        </w:rPr>
        <w:t>月</w:t>
      </w:r>
      <w:r>
        <w:rPr>
          <w:rFonts w:hint="eastAsia" w:cs="Times New Roman"/>
          <w:color w:val="auto"/>
          <w:lang w:eastAsia="zh-CN"/>
        </w:rPr>
        <w:t>初</w:t>
      </w:r>
      <w:r>
        <w:rPr>
          <w:rFonts w:hint="default" w:ascii="Times New Roman" w:hAnsi="Times New Roman" w:eastAsia="宋体" w:cs="Times New Roman"/>
          <w:color w:val="auto"/>
        </w:rPr>
        <w:t>，该项目环境影响报告书进入安徽华境资环科技有限公司内审程序，经校核、审核、审定后定稿。</w:t>
      </w:r>
    </w:p>
    <w:p>
      <w:pPr>
        <w:spacing w:line="360" w:lineRule="auto"/>
        <w:ind w:firstLine="480" w:firstLineChars="200"/>
        <w:rPr>
          <w:color w:val="auto"/>
        </w:rPr>
      </w:pPr>
      <w:r>
        <w:rPr>
          <w:color w:val="auto"/>
        </w:rPr>
        <w:t>本次环评工作程序如下：</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eastAsia="宋体"/>
          <w:color w:val="auto"/>
          <w:kern w:val="0"/>
          <w:lang w:val="en-US" w:eastAsia="zh-CN"/>
        </w:rPr>
      </w:pPr>
      <w:r>
        <w:rPr>
          <w:color w:val="auto"/>
          <w:kern w:val="0"/>
        </w:rPr>
        <w:t>第一阶段：调查分析和工作方案制定阶段</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①按照《建设项目环境影响评价技术导则总纲》(HJ2.1-2016)要求，在接受企业委托后，研究国家和地方有关环境保护的法律法规、政策、标准及相关规划等，确定项目环境影响评价文件类型为报告书。</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②根据项目特点，研究相关技术文件和其他有关文件，明确本项目的评价重点，识别环境影响因素、筛选评价因子，对项目进行初步工程分析。对项目选址地进行实地踏勘，对</w:t>
      </w:r>
      <w:r>
        <w:rPr>
          <w:rFonts w:hint="eastAsia"/>
          <w:color w:val="auto"/>
          <w:kern w:val="0"/>
          <w:lang w:val="en-US" w:eastAsia="zh-CN"/>
        </w:rPr>
        <w:t>院区</w:t>
      </w:r>
      <w:r>
        <w:rPr>
          <w:color w:val="auto"/>
          <w:kern w:val="0"/>
        </w:rPr>
        <w:t>及周围地区社会、气象、水文、项目所在地周围污染源分布情况进行了调查分析，确定项目环境保护目标、环评工作等级、评价范围和标准。</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③制定工作方案</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第二阶段：分析论证和预测评价阶段</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①收集项目所在区域环境现状监测数据，并进行分析。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②根据建设单位提供的项目</w:t>
      </w:r>
      <w:r>
        <w:rPr>
          <w:color w:val="auto"/>
          <w:highlight w:val="none"/>
        </w:rPr>
        <w:t>可行性研究报告</w:t>
      </w:r>
      <w:r>
        <w:rPr>
          <w:color w:val="auto"/>
          <w:kern w:val="0"/>
        </w:rPr>
        <w:t>及其他相关资料，完成建设项目工程分析章节，确定项目总量控制指标。</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③收集所在地环境特征资料包括自然环境、区域污染源情况。完成环境现状调查与评价章节。</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④根据工程分析，完成大气环境影响预测与评价、水环境影响预测与评价、声环境影响预测与评价、固废影响分析、地下水环境影响分析等。</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第三阶段：环境影响报告书编制阶段</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①根据工程分析，完成环境保护措施及可行性论证章节。</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②给出污染物排放清单。</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③给出建设项目环境影响评价结论。</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④编制环境影响报告书。</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color w:val="auto"/>
          <w:kern w:val="0"/>
        </w:rPr>
      </w:pPr>
      <w:r>
        <w:rPr>
          <w:color w:val="auto"/>
          <w:kern w:val="0"/>
        </w:rPr>
        <w:t>具体工作流程图见图1.2-1。</w:t>
      </w:r>
    </w:p>
    <w:p>
      <w:pPr>
        <w:spacing w:line="360" w:lineRule="auto"/>
        <w:ind w:left="0" w:leftChars="0" w:firstLine="0" w:firstLineChars="0"/>
        <w:rPr>
          <w:color w:val="auto"/>
        </w:rPr>
      </w:pPr>
      <w:r>
        <w:rPr>
          <w:color w:val="auto"/>
        </w:rPr>
        <w:drawing>
          <wp:inline distT="0" distB="0" distL="114300" distR="114300">
            <wp:extent cx="5288280" cy="5732780"/>
            <wp:effectExtent l="9525" t="9525" r="17145" b="10795"/>
            <wp:docPr id="177" name="图片 130" descr="QQ截图2017030613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0" descr="QQ截图20170306133918"/>
                    <pic:cNvPicPr>
                      <a:picLocks noChangeAspect="1"/>
                    </pic:cNvPicPr>
                  </pic:nvPicPr>
                  <pic:blipFill>
                    <a:blip r:embed="rId16"/>
                    <a:stretch>
                      <a:fillRect/>
                    </a:stretch>
                  </pic:blipFill>
                  <pic:spPr>
                    <a:xfrm>
                      <a:off x="0" y="0"/>
                      <a:ext cx="5288280" cy="5732780"/>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240" w:lineRule="auto"/>
        <w:jc w:val="center"/>
        <w:rPr>
          <w:b/>
          <w:bCs/>
          <w:color w:val="auto"/>
          <w:sz w:val="21"/>
          <w:szCs w:val="21"/>
        </w:rPr>
      </w:pPr>
      <w:r>
        <w:rPr>
          <w:b/>
          <w:bCs/>
          <w:color w:val="auto"/>
          <w:sz w:val="21"/>
          <w:szCs w:val="21"/>
        </w:rPr>
        <w:t>图1.2-1  环评工作流程</w:t>
      </w:r>
    </w:p>
    <w:p>
      <w:pPr>
        <w:pStyle w:val="4"/>
        <w:spacing w:before="0" w:after="0" w:line="360" w:lineRule="auto"/>
        <w:rPr>
          <w:rFonts w:ascii="Times New Roman" w:hAnsi="Times New Roman" w:eastAsia="宋体"/>
          <w:color w:val="auto"/>
          <w:sz w:val="28"/>
          <w:szCs w:val="28"/>
        </w:rPr>
      </w:pPr>
      <w:bookmarkStart w:id="11" w:name="_Toc10820"/>
      <w:bookmarkStart w:id="12" w:name="_Toc23141"/>
      <w:bookmarkStart w:id="13" w:name="_Toc19766"/>
      <w:r>
        <w:rPr>
          <w:rFonts w:ascii="Times New Roman" w:hAnsi="Times New Roman" w:eastAsia="宋体"/>
          <w:color w:val="auto"/>
          <w:sz w:val="28"/>
          <w:szCs w:val="28"/>
        </w:rPr>
        <w:t>分析判定相关情况</w:t>
      </w:r>
      <w:bookmarkEnd w:id="11"/>
      <w:bookmarkEnd w:id="12"/>
      <w:bookmarkEnd w:id="13"/>
    </w:p>
    <w:p>
      <w:pPr>
        <w:numPr>
          <w:ilvl w:val="0"/>
          <w:numId w:val="4"/>
        </w:numPr>
        <w:spacing w:line="360" w:lineRule="auto"/>
        <w:ind w:firstLine="482" w:firstLineChars="200"/>
        <w:rPr>
          <w:b/>
          <w:bCs/>
          <w:color w:val="auto"/>
          <w:highlight w:val="none"/>
        </w:rPr>
      </w:pPr>
      <w:r>
        <w:rPr>
          <w:b/>
          <w:bCs/>
          <w:color w:val="auto"/>
          <w:highlight w:val="none"/>
        </w:rPr>
        <w:t>与国家产业政策相符性</w:t>
      </w:r>
    </w:p>
    <w:p>
      <w:pPr>
        <w:pStyle w:val="180"/>
        <w:widowControl w:val="0"/>
        <w:autoSpaceDE w:val="0"/>
        <w:autoSpaceDN w:val="0"/>
        <w:spacing w:before="0" w:after="0" w:line="360" w:lineRule="auto"/>
        <w:ind w:firstLine="480" w:firstLineChars="200"/>
        <w:jc w:val="left"/>
        <w:rPr>
          <w:rFonts w:eastAsia="宋体"/>
          <w:color w:val="auto"/>
          <w:sz w:val="24"/>
          <w:highlight w:val="none"/>
          <w:lang w:eastAsia="zh-CN"/>
        </w:rPr>
      </w:pPr>
      <w:r>
        <w:rPr>
          <w:color w:val="auto"/>
          <w:sz w:val="24"/>
          <w:highlight w:val="none"/>
          <w:lang w:eastAsia="zh-CN"/>
        </w:rPr>
        <w:t>对照《产业结构调整指导目录</w:t>
      </w:r>
      <w:r>
        <w:rPr>
          <w:rFonts w:hint="eastAsia"/>
          <w:color w:val="auto"/>
          <w:sz w:val="24"/>
          <w:highlight w:val="none"/>
          <w:lang w:eastAsia="zh-CN"/>
        </w:rPr>
        <w:t>》(</w:t>
      </w:r>
      <w:r>
        <w:rPr>
          <w:color w:val="auto"/>
          <w:sz w:val="24"/>
          <w:highlight w:val="none"/>
          <w:lang w:eastAsia="zh-CN"/>
        </w:rPr>
        <w:t>201</w:t>
      </w:r>
      <w:r>
        <w:rPr>
          <w:rFonts w:hint="eastAsia"/>
          <w:color w:val="auto"/>
          <w:sz w:val="24"/>
          <w:highlight w:val="none"/>
          <w:lang w:val="en-US" w:eastAsia="zh-CN"/>
        </w:rPr>
        <w:t>9</w:t>
      </w:r>
      <w:r>
        <w:rPr>
          <w:color w:val="auto"/>
          <w:sz w:val="24"/>
          <w:highlight w:val="none"/>
          <w:lang w:eastAsia="zh-CN"/>
        </w:rPr>
        <w:t>年本)中</w:t>
      </w:r>
      <w:r>
        <w:rPr>
          <w:rFonts w:hint="eastAsia"/>
          <w:color w:val="auto"/>
          <w:sz w:val="24"/>
          <w:highlight w:val="none"/>
          <w:lang w:val="en-US" w:eastAsia="zh-CN"/>
        </w:rPr>
        <w:t>的</w:t>
      </w:r>
      <w:r>
        <w:rPr>
          <w:color w:val="auto"/>
          <w:sz w:val="24"/>
          <w:highlight w:val="none"/>
          <w:lang w:eastAsia="zh-CN"/>
        </w:rPr>
        <w:t>内容，本项目</w:t>
      </w:r>
      <w:r>
        <w:rPr>
          <w:rFonts w:eastAsia="宋体"/>
          <w:color w:val="auto"/>
          <w:sz w:val="24"/>
          <w:highlight w:val="none"/>
          <w:lang w:val="en-US" w:eastAsia="zh-CN"/>
        </w:rPr>
        <w:t>属于</w:t>
      </w:r>
      <w:r>
        <w:rPr>
          <w:color w:val="auto"/>
          <w:sz w:val="24"/>
          <w:highlight w:val="none"/>
          <w:lang w:eastAsia="zh-CN"/>
        </w:rPr>
        <w:t>《产业结构调整指导目录</w:t>
      </w:r>
      <w:r>
        <w:rPr>
          <w:rFonts w:hint="eastAsia"/>
          <w:color w:val="auto"/>
          <w:sz w:val="24"/>
          <w:highlight w:val="none"/>
          <w:lang w:eastAsia="zh-CN"/>
        </w:rPr>
        <w:t>》(</w:t>
      </w:r>
      <w:r>
        <w:rPr>
          <w:color w:val="auto"/>
          <w:sz w:val="24"/>
          <w:highlight w:val="none"/>
          <w:lang w:eastAsia="zh-CN"/>
        </w:rPr>
        <w:t>201</w:t>
      </w:r>
      <w:r>
        <w:rPr>
          <w:rFonts w:hint="eastAsia"/>
          <w:color w:val="auto"/>
          <w:sz w:val="24"/>
          <w:highlight w:val="none"/>
          <w:lang w:val="en-US" w:eastAsia="zh-CN"/>
        </w:rPr>
        <w:t>9</w:t>
      </w:r>
      <w:r>
        <w:rPr>
          <w:color w:val="auto"/>
          <w:sz w:val="24"/>
          <w:highlight w:val="none"/>
          <w:lang w:eastAsia="zh-CN"/>
        </w:rPr>
        <w:t>年本)</w:t>
      </w:r>
      <w:r>
        <w:rPr>
          <w:rFonts w:hint="eastAsia"/>
          <w:color w:val="auto"/>
          <w:sz w:val="24"/>
          <w:highlight w:val="none"/>
          <w:lang w:val="en-US" w:eastAsia="zh-CN"/>
        </w:rPr>
        <w:t>中鼓励类</w:t>
      </w:r>
      <w:r>
        <w:rPr>
          <w:rFonts w:hint="eastAsia" w:cs="宋体"/>
          <w:color w:val="auto"/>
          <w:sz w:val="24"/>
          <w:highlight w:val="none"/>
          <w:lang w:val="en-US" w:eastAsia="zh-CN"/>
        </w:rPr>
        <w:t>“</w:t>
      </w:r>
      <w:r>
        <w:rPr>
          <w:rFonts w:hint="eastAsia"/>
          <w:color w:val="auto"/>
          <w:sz w:val="24"/>
          <w:highlight w:val="none"/>
          <w:lang w:val="en-US" w:eastAsia="zh-CN"/>
        </w:rPr>
        <w:t>三十七、卫生健康——5、医疗卫生服务设施建设</w:t>
      </w:r>
      <w:r>
        <w:rPr>
          <w:rFonts w:hint="eastAsia" w:cs="宋体"/>
          <w:color w:val="auto"/>
          <w:sz w:val="24"/>
          <w:highlight w:val="none"/>
          <w:lang w:val="en-US" w:eastAsia="zh-CN"/>
        </w:rPr>
        <w:t>”</w:t>
      </w:r>
      <w:r>
        <w:rPr>
          <w:rFonts w:eastAsia="宋体"/>
          <w:snapToGrid w:val="0"/>
          <w:color w:val="auto"/>
          <w:sz w:val="24"/>
          <w:szCs w:val="24"/>
          <w:highlight w:val="none"/>
          <w:lang w:eastAsia="zh-CN"/>
        </w:rPr>
        <w:t>。因此，项目建设符合国家产业政策。</w:t>
      </w:r>
    </w:p>
    <w:p>
      <w:pPr>
        <w:pStyle w:val="180"/>
        <w:widowControl w:val="0"/>
        <w:autoSpaceDE w:val="0"/>
        <w:autoSpaceDN w:val="0"/>
        <w:spacing w:before="0" w:after="0" w:line="360" w:lineRule="auto"/>
        <w:ind w:firstLine="482" w:firstLineChars="200"/>
        <w:jc w:val="left"/>
        <w:rPr>
          <w:rFonts w:eastAsia="宋体"/>
          <w:b/>
          <w:bCs/>
          <w:color w:val="auto"/>
          <w:sz w:val="24"/>
          <w:highlight w:val="none"/>
          <w:lang w:val="en-US" w:eastAsia="zh-CN"/>
        </w:rPr>
      </w:pPr>
      <w:r>
        <w:rPr>
          <w:rFonts w:eastAsia="宋体"/>
          <w:b/>
          <w:bCs/>
          <w:color w:val="auto"/>
          <w:sz w:val="24"/>
          <w:highlight w:val="none"/>
          <w:lang w:val="en-US" w:eastAsia="zh-CN"/>
        </w:rPr>
        <w:t>2、与规划相符性</w:t>
      </w:r>
    </w:p>
    <w:p>
      <w:pPr>
        <w:widowControl/>
        <w:spacing w:line="360" w:lineRule="auto"/>
        <w:ind w:firstLine="480" w:firstLineChars="200"/>
        <w:rPr>
          <w:color w:val="auto"/>
          <w:kern w:val="0"/>
          <w:szCs w:val="22"/>
          <w:highlight w:val="none"/>
        </w:rPr>
      </w:pPr>
      <w:r>
        <w:rPr>
          <w:color w:val="auto"/>
          <w:kern w:val="0"/>
          <w:szCs w:val="22"/>
          <w:highlight w:val="none"/>
        </w:rPr>
        <w:t>本项目位于</w:t>
      </w:r>
      <w:r>
        <w:rPr>
          <w:rFonts w:hint="eastAsia"/>
          <w:color w:val="auto"/>
          <w:kern w:val="0"/>
          <w:szCs w:val="22"/>
          <w:highlight w:val="none"/>
          <w:lang w:val="en-US" w:eastAsia="zh-CN"/>
        </w:rPr>
        <w:t>合肥市滨湖新区锦绣大道与江苏路交口西南侧</w:t>
      </w:r>
      <w:r>
        <w:rPr>
          <w:color w:val="auto"/>
          <w:kern w:val="0"/>
          <w:szCs w:val="22"/>
          <w:highlight w:val="none"/>
          <w:lang w:val="zh-CN"/>
        </w:rPr>
        <w:t>，</w:t>
      </w:r>
      <w:r>
        <w:rPr>
          <w:rFonts w:hint="eastAsia"/>
          <w:color w:val="auto"/>
          <w:highlight w:val="none"/>
          <w:lang w:val="en-US" w:eastAsia="zh-CN"/>
        </w:rPr>
        <w:t>根据建设项目选址意见书（详见附件4，用字第340111202200047）及安徽省卫生健康委员会“关于安徽省立医院（中国科大附一院）滨湖院区项目的批复”（详见附件3）、《合肥市城市总体规划（2011-2020年）》可知（详见图2.7-1），建设项目地块属于规划中的医疗卫生用地</w:t>
      </w:r>
      <w:r>
        <w:rPr>
          <w:rFonts w:hint="eastAsia"/>
          <w:color w:val="auto"/>
          <w:kern w:val="0"/>
          <w:szCs w:val="22"/>
          <w:highlight w:val="none"/>
        </w:rPr>
        <w:t>，因此建设项目用地性质符合</w:t>
      </w:r>
      <w:r>
        <w:rPr>
          <w:rFonts w:hint="eastAsia"/>
          <w:color w:val="auto"/>
          <w:kern w:val="0"/>
          <w:szCs w:val="22"/>
          <w:highlight w:val="none"/>
          <w:lang w:eastAsia="zh-CN"/>
        </w:rPr>
        <w:t>区域总体</w:t>
      </w:r>
      <w:r>
        <w:rPr>
          <w:rFonts w:hint="eastAsia"/>
          <w:color w:val="auto"/>
          <w:kern w:val="0"/>
          <w:szCs w:val="22"/>
          <w:highlight w:val="none"/>
        </w:rPr>
        <w:t>规划要求</w:t>
      </w:r>
      <w:r>
        <w:rPr>
          <w:color w:val="auto"/>
          <w:kern w:val="0"/>
          <w:szCs w:val="22"/>
          <w:highlight w:val="none"/>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color w:val="auto"/>
          <w:sz w:val="28"/>
          <w:szCs w:val="28"/>
        </w:rPr>
      </w:pPr>
      <w:bookmarkStart w:id="14" w:name="_Toc5663"/>
      <w:r>
        <w:rPr>
          <w:rFonts w:hint="eastAsia" w:ascii="Times New Roman" w:hAnsi="Times New Roman" w:eastAsia="宋体"/>
          <w:b/>
          <w:bCs/>
          <w:color w:val="auto"/>
          <w:sz w:val="28"/>
          <w:szCs w:val="28"/>
        </w:rPr>
        <w:t>主要关注的环境问题</w:t>
      </w:r>
      <w:bookmarkEnd w:id="14"/>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本次环境影响评价过程中关注的主要问题如下</w:t>
      </w:r>
      <w:r>
        <w:rPr>
          <w:rFonts w:hint="eastAsia"/>
          <w:color w:val="auto"/>
        </w:rPr>
        <w:t>：</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rPr>
        <w:t>（1）</w:t>
      </w:r>
      <w:r>
        <w:rPr>
          <w:color w:val="auto"/>
        </w:rPr>
        <w:t>项目概况及工程分析</w:t>
      </w:r>
      <w:r>
        <w:rPr>
          <w:rFonts w:hint="eastAsia" w:cs="宋体"/>
          <w:color w:val="auto"/>
          <w:lang w:eastAsia="zh-CN"/>
        </w:rPr>
        <w:t>；</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rPr>
        <w:t>（2）项目运营过程中产生的废水对区域地表水环境的影响</w:t>
      </w:r>
      <w:r>
        <w:rPr>
          <w:rFonts w:hint="eastAsia" w:cs="宋体"/>
          <w:color w:val="auto"/>
          <w:lang w:eastAsia="zh-CN"/>
        </w:rPr>
        <w:t>；</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rPr>
        <w:t>（3）</w:t>
      </w:r>
      <w:r>
        <w:rPr>
          <w:rFonts w:hint="eastAsia"/>
          <w:color w:val="auto"/>
          <w:lang w:eastAsia="zh-CN"/>
        </w:rPr>
        <w:t>食堂油烟、</w:t>
      </w:r>
      <w:r>
        <w:rPr>
          <w:rFonts w:hint="eastAsia"/>
          <w:color w:val="auto"/>
        </w:rPr>
        <w:t>汽车尾气、</w:t>
      </w:r>
      <w:r>
        <w:rPr>
          <w:rFonts w:hint="eastAsia" w:hAnsi="宋体"/>
          <w:color w:val="auto"/>
          <w:highlight w:val="none"/>
        </w:rPr>
        <w:t>柴油发电机</w:t>
      </w:r>
      <w:r>
        <w:rPr>
          <w:rFonts w:hint="eastAsia"/>
          <w:color w:val="auto"/>
        </w:rPr>
        <w:t>废气</w:t>
      </w:r>
      <w:r>
        <w:rPr>
          <w:rFonts w:hint="eastAsia"/>
          <w:color w:val="auto"/>
          <w:lang w:eastAsia="zh-CN"/>
        </w:rPr>
        <w:t>、</w:t>
      </w:r>
      <w:r>
        <w:rPr>
          <w:rFonts w:hint="eastAsia"/>
          <w:color w:val="auto"/>
        </w:rPr>
        <w:t>污水处理站恶臭和</w:t>
      </w:r>
      <w:r>
        <w:rPr>
          <w:rFonts w:hint="eastAsia"/>
          <w:color w:val="auto"/>
          <w:lang w:eastAsia="zh-CN"/>
        </w:rPr>
        <w:t>锅炉燃烧</w:t>
      </w:r>
      <w:r>
        <w:rPr>
          <w:rFonts w:hint="eastAsia"/>
          <w:color w:val="auto"/>
        </w:rPr>
        <w:t>废气对大气环境的影响</w:t>
      </w:r>
      <w:r>
        <w:rPr>
          <w:rFonts w:hint="eastAsia" w:cs="宋体"/>
          <w:color w:val="auto"/>
          <w:lang w:eastAsia="zh-CN"/>
        </w:rPr>
        <w:t>；</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rPr>
        <w:t>（4）设备噪声对声环境的影响以及固体废物对环境的影响</w:t>
      </w:r>
      <w:r>
        <w:rPr>
          <w:rFonts w:hint="eastAsia" w:cs="宋体"/>
          <w:color w:val="auto"/>
          <w:lang w:eastAsia="zh-CN"/>
        </w:rPr>
        <w:t>；</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（5）</w:t>
      </w:r>
      <w:r>
        <w:rPr>
          <w:rFonts w:hint="eastAsia"/>
          <w:color w:val="auto"/>
          <w:lang w:eastAsia="zh-CN"/>
        </w:rPr>
        <w:t>交通噪声</w:t>
      </w:r>
      <w:r>
        <w:rPr>
          <w:rFonts w:hint="eastAsia"/>
          <w:color w:val="auto"/>
        </w:rPr>
        <w:t>对本项目的影响。</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color w:val="auto"/>
          <w:sz w:val="28"/>
          <w:szCs w:val="28"/>
        </w:rPr>
      </w:pPr>
      <w:bookmarkStart w:id="15" w:name="_Toc646"/>
      <w:r>
        <w:rPr>
          <w:rFonts w:hint="eastAsia" w:ascii="Times New Roman" w:hAnsi="Times New Roman" w:eastAsia="宋体"/>
          <w:b/>
          <w:bCs/>
          <w:color w:val="auto"/>
          <w:sz w:val="28"/>
          <w:szCs w:val="28"/>
          <w:lang w:val="en-US" w:eastAsia="zh-CN"/>
        </w:rPr>
        <w:t>报告书的</w:t>
      </w:r>
      <w:r>
        <w:rPr>
          <w:rFonts w:hint="eastAsia" w:ascii="Times New Roman" w:hAnsi="Times New Roman" w:eastAsia="宋体"/>
          <w:b/>
          <w:bCs/>
          <w:color w:val="auto"/>
          <w:sz w:val="28"/>
          <w:szCs w:val="28"/>
        </w:rPr>
        <w:t>主要结论</w:t>
      </w:r>
      <w:bookmarkEnd w:id="15"/>
    </w:p>
    <w:p>
      <w:pPr>
        <w:spacing w:line="360" w:lineRule="auto"/>
        <w:ind w:left="0" w:leftChars="0" w:firstLine="480" w:firstLineChars="200"/>
        <w:rPr>
          <w:rFonts w:hint="eastAsia"/>
          <w:color w:val="auto"/>
          <w:highlight w:val="none"/>
        </w:rPr>
      </w:pPr>
      <w:r>
        <w:rPr>
          <w:rFonts w:hint="eastAsia"/>
          <w:color w:val="auto"/>
          <w:highlight w:val="none"/>
          <w:lang w:val="en-US" w:eastAsia="zh-CN"/>
        </w:rPr>
        <w:t>安徽省立医院（中国科大附一院）滨湖院区项目</w:t>
      </w:r>
      <w:r>
        <w:rPr>
          <w:color w:val="auto"/>
          <w:highlight w:val="none"/>
        </w:rPr>
        <w:t>符合</w:t>
      </w:r>
      <w:r>
        <w:rPr>
          <w:rFonts w:hint="eastAsia"/>
          <w:color w:val="auto"/>
          <w:highlight w:val="none"/>
        </w:rPr>
        <w:t>国家</w:t>
      </w:r>
      <w:r>
        <w:rPr>
          <w:color w:val="auto"/>
          <w:highlight w:val="none"/>
        </w:rPr>
        <w:t>产业政策的要求</w:t>
      </w:r>
      <w:r>
        <w:rPr>
          <w:rFonts w:hint="eastAsia"/>
          <w:color w:val="auto"/>
          <w:highlight w:val="none"/>
        </w:rPr>
        <w:t>。</w:t>
      </w:r>
      <w:r>
        <w:rPr>
          <w:color w:val="auto"/>
          <w:sz w:val="24"/>
          <w:highlight w:val="none"/>
        </w:rPr>
        <w:t>工程应认真贯彻落实建设项目</w:t>
      </w:r>
      <w:r>
        <w:rPr>
          <w:rFonts w:hint="eastAsia"/>
          <w:color w:val="auto"/>
          <w:sz w:val="24"/>
          <w:highlight w:val="none"/>
        </w:rPr>
        <w:t>环保</w:t>
      </w:r>
      <w:r>
        <w:rPr>
          <w:rFonts w:hint="eastAsia" w:cs="宋体"/>
          <w:color w:val="auto"/>
          <w:sz w:val="24"/>
          <w:highlight w:val="none"/>
          <w:lang w:eastAsia="zh-CN"/>
        </w:rPr>
        <w:t>“</w:t>
      </w:r>
      <w:r>
        <w:rPr>
          <w:color w:val="auto"/>
          <w:sz w:val="24"/>
          <w:highlight w:val="none"/>
        </w:rPr>
        <w:t>三同时</w:t>
      </w:r>
      <w:r>
        <w:rPr>
          <w:rFonts w:hint="eastAsia" w:cs="宋体"/>
          <w:color w:val="auto"/>
          <w:sz w:val="24"/>
          <w:highlight w:val="none"/>
          <w:lang w:eastAsia="zh-CN"/>
        </w:rPr>
        <w:t>”</w:t>
      </w:r>
      <w:r>
        <w:rPr>
          <w:color w:val="auto"/>
          <w:sz w:val="24"/>
          <w:highlight w:val="none"/>
        </w:rPr>
        <w:t>制度，将各项环保治理措施落实到位，确保各项污染物的达标排放。</w:t>
      </w:r>
      <w:r>
        <w:rPr>
          <w:rFonts w:hint="eastAsia" w:ascii="宋体"/>
          <w:color w:val="auto"/>
          <w:sz w:val="24"/>
          <w:highlight w:val="none"/>
        </w:rPr>
        <w:t>工程在采取相应的污染防治措施后，</w:t>
      </w:r>
      <w:r>
        <w:rPr>
          <w:color w:val="auto"/>
          <w:sz w:val="24"/>
          <w:highlight w:val="none"/>
        </w:rPr>
        <w:t>能确保项目对周围水环境、空气环境、声环境</w:t>
      </w:r>
      <w:r>
        <w:rPr>
          <w:rFonts w:hint="eastAsia"/>
          <w:color w:val="auto"/>
          <w:sz w:val="24"/>
          <w:highlight w:val="none"/>
          <w:lang w:eastAsia="zh-CN"/>
        </w:rPr>
        <w:t>、土壤环境、地下水环境</w:t>
      </w:r>
      <w:r>
        <w:rPr>
          <w:color w:val="auto"/>
          <w:sz w:val="24"/>
          <w:highlight w:val="none"/>
        </w:rPr>
        <w:t>造成的影响降到最低，</w:t>
      </w:r>
      <w:r>
        <w:rPr>
          <w:rFonts w:hint="eastAsia" w:ascii="宋体"/>
          <w:color w:val="auto"/>
          <w:sz w:val="24"/>
          <w:highlight w:val="none"/>
        </w:rPr>
        <w:t>不会对周围环境产生明显不利影响</w:t>
      </w:r>
      <w:r>
        <w:rPr>
          <w:color w:val="auto"/>
          <w:sz w:val="24"/>
          <w:highlight w:val="none"/>
        </w:rPr>
        <w:t>。</w:t>
      </w:r>
      <w:r>
        <w:rPr>
          <w:rFonts w:hint="eastAsia"/>
          <w:color w:val="auto"/>
          <w:highlight w:val="none"/>
        </w:rPr>
        <w:t>在此基础上，</w:t>
      </w:r>
      <w:r>
        <w:rPr>
          <w:color w:val="auto"/>
          <w:highlight w:val="none"/>
        </w:rPr>
        <w:t>从环境影响</w:t>
      </w:r>
      <w:r>
        <w:rPr>
          <w:rFonts w:hint="eastAsia"/>
          <w:color w:val="auto"/>
          <w:highlight w:val="none"/>
          <w:lang w:val="en-US" w:eastAsia="zh-CN"/>
        </w:rPr>
        <w:t>评价</w:t>
      </w:r>
      <w:r>
        <w:rPr>
          <w:color w:val="auto"/>
          <w:highlight w:val="none"/>
        </w:rPr>
        <w:t>的角度出发，该项目的建设是可行的</w:t>
      </w:r>
      <w:r>
        <w:rPr>
          <w:rFonts w:hint="eastAsia"/>
          <w:color w:val="auto"/>
          <w:highlight w:val="none"/>
        </w:rPr>
        <w:t>。</w:t>
      </w:r>
    </w:p>
    <w:p>
      <w:pPr>
        <w:ind w:firstLine="480"/>
        <w:rPr>
          <w:rFonts w:hint="eastAsia"/>
          <w:color w:val="auto"/>
        </w:rPr>
      </w:pPr>
    </w:p>
    <w:p>
      <w:pPr>
        <w:pStyle w:val="3"/>
        <w:ind w:left="0" w:leftChars="0" w:firstLine="0" w:firstLineChars="0"/>
        <w:jc w:val="center"/>
        <w:rPr>
          <w:rFonts w:hint="eastAsia"/>
          <w:color w:val="auto"/>
        </w:rPr>
      </w:pPr>
      <w:r>
        <w:rPr>
          <w:rFonts w:hint="eastAsia"/>
          <w:color w:val="auto"/>
        </w:rPr>
        <w:br w:type="page"/>
      </w:r>
      <w:bookmarkStart w:id="16" w:name="_Toc21920"/>
      <w:r>
        <w:rPr>
          <w:rFonts w:hint="eastAsia"/>
          <w:color w:val="auto"/>
        </w:rPr>
        <w:t>总</w:t>
      </w:r>
      <w:r>
        <w:rPr>
          <w:rFonts w:hint="eastAsia"/>
          <w:color w:val="auto"/>
          <w:lang w:val="en-US" w:eastAsia="zh-CN"/>
        </w:rPr>
        <w:t>则</w:t>
      </w:r>
      <w:bookmarkEnd w:id="16"/>
    </w:p>
    <w:p>
      <w:pPr>
        <w:pStyle w:val="4"/>
        <w:rPr>
          <w:rFonts w:hint="eastAsia"/>
          <w:color w:val="auto"/>
        </w:rPr>
      </w:pPr>
      <w:bookmarkStart w:id="17" w:name="_Toc2638"/>
      <w:r>
        <w:rPr>
          <w:rFonts w:hint="eastAsia"/>
          <w:color w:val="auto"/>
        </w:rPr>
        <w:t>评价目的与指导思想</w:t>
      </w:r>
      <w:bookmarkEnd w:id="17"/>
    </w:p>
    <w:p>
      <w:pPr>
        <w:pStyle w:val="5"/>
        <w:spacing w:before="120"/>
        <w:ind w:left="480"/>
        <w:rPr>
          <w:rFonts w:hint="eastAsia"/>
          <w:color w:val="auto"/>
        </w:rPr>
      </w:pPr>
      <w:r>
        <w:rPr>
          <w:rFonts w:hint="eastAsia"/>
          <w:color w:val="auto"/>
        </w:rPr>
        <w:t>评价目的</w:t>
      </w:r>
    </w:p>
    <w:p>
      <w:pPr>
        <w:adjustRightInd w:val="0"/>
        <w:snapToGrid w:val="0"/>
        <w:spacing w:line="360" w:lineRule="auto"/>
        <w:ind w:firstLine="480"/>
        <w:rPr>
          <w:color w:val="auto"/>
        </w:rPr>
      </w:pPr>
      <w:r>
        <w:rPr>
          <w:color w:val="auto"/>
        </w:rPr>
        <w:t>本次评价从环境保护的角度出发，根据工程所在区域环境特点以及环境质量现状，结合工程污染物排放特征，依据客观、科学为原则，论证本工程各阶段实施可能带来的环境影响，并通过评价达到如下目的：</w:t>
      </w:r>
    </w:p>
    <w:p>
      <w:pPr>
        <w:adjustRightInd w:val="0"/>
        <w:snapToGrid w:val="0"/>
        <w:spacing w:line="360" w:lineRule="auto"/>
        <w:ind w:firstLine="480"/>
        <w:rPr>
          <w:color w:val="auto"/>
        </w:rPr>
      </w:pPr>
      <w:r>
        <w:rPr>
          <w:color w:val="auto"/>
        </w:rPr>
        <w:t>（1）通过对项目区域自然环境和环境质量现状的调查和分析，掌握该区域的环境质量现状。</w:t>
      </w:r>
    </w:p>
    <w:p>
      <w:pPr>
        <w:adjustRightInd w:val="0"/>
        <w:snapToGrid w:val="0"/>
        <w:spacing w:line="360" w:lineRule="auto"/>
        <w:ind w:firstLine="480"/>
        <w:rPr>
          <w:color w:val="auto"/>
        </w:rPr>
      </w:pPr>
      <w:r>
        <w:rPr>
          <w:color w:val="auto"/>
        </w:rPr>
        <w:t>（2）通过对</w:t>
      </w:r>
      <w:r>
        <w:rPr>
          <w:rFonts w:hint="eastAsia"/>
          <w:color w:val="auto"/>
          <w:lang w:val="en-US" w:eastAsia="zh-CN"/>
        </w:rPr>
        <w:t>医院拟建工程的调查以及</w:t>
      </w:r>
      <w:r>
        <w:rPr>
          <w:color w:val="auto"/>
        </w:rPr>
        <w:t>同类建设项目的类比调查，在工程分析的基础上，识别与确定本项目的环境影响评价因子，并核算污染物源强，提出防治措施，并对该项目可能造成的环境影响进行评价，提出污染物排放总量控制目标。</w:t>
      </w:r>
    </w:p>
    <w:p>
      <w:pPr>
        <w:adjustRightInd w:val="0"/>
        <w:snapToGrid w:val="0"/>
        <w:spacing w:line="360" w:lineRule="auto"/>
        <w:ind w:firstLine="480"/>
        <w:rPr>
          <w:color w:val="auto"/>
        </w:rPr>
      </w:pPr>
      <w:r>
        <w:rPr>
          <w:color w:val="auto"/>
        </w:rPr>
        <w:t>（3）</w:t>
      </w:r>
      <w:r>
        <w:rPr>
          <w:rFonts w:hint="eastAsia"/>
          <w:color w:val="auto"/>
          <w:lang w:val="en-US" w:eastAsia="zh-CN"/>
        </w:rPr>
        <w:t>对项目</w:t>
      </w:r>
      <w:r>
        <w:rPr>
          <w:color w:val="auto"/>
        </w:rPr>
        <w:t>拟采取的环保措施的可行性和合理性进行论证，并提出切实可行的防止或减缓影响的措施。</w:t>
      </w:r>
    </w:p>
    <w:p>
      <w:pPr>
        <w:adjustRightInd w:val="0"/>
        <w:snapToGrid w:val="0"/>
        <w:spacing w:line="360" w:lineRule="auto"/>
        <w:ind w:firstLine="480"/>
        <w:rPr>
          <w:color w:val="auto"/>
        </w:rPr>
      </w:pPr>
      <w:r>
        <w:rPr>
          <w:color w:val="auto"/>
        </w:rPr>
        <w:t>（4）从环境保护角度出发，对项目选址合理性、相关规划符合性进行分析，对项目建设的可行性做出明确结论，为设计单位优化设计、管理部门审批决策和建设单位的环境管理提供科学依据。</w:t>
      </w:r>
    </w:p>
    <w:p>
      <w:pPr>
        <w:adjustRightInd w:val="0"/>
        <w:snapToGrid w:val="0"/>
        <w:spacing w:line="360" w:lineRule="auto"/>
        <w:ind w:firstLine="480"/>
        <w:rPr>
          <w:rFonts w:hint="eastAsia" w:ascii="宋体" w:hAnsi="宋体"/>
          <w:color w:val="auto"/>
        </w:rPr>
      </w:pPr>
      <w:r>
        <w:rPr>
          <w:color w:val="auto"/>
        </w:rPr>
        <w:t>（5）为项目决策、建设及环保管理提供依据</w:t>
      </w:r>
      <w:r>
        <w:rPr>
          <w:rFonts w:hint="eastAsia" w:ascii="宋体" w:hAnsi="宋体"/>
          <w:color w:val="auto"/>
        </w:rPr>
        <w:t>。</w:t>
      </w:r>
    </w:p>
    <w:p>
      <w:pPr>
        <w:pStyle w:val="5"/>
        <w:spacing w:before="120"/>
        <w:ind w:left="480"/>
        <w:rPr>
          <w:rFonts w:hint="eastAsia"/>
          <w:color w:val="auto"/>
        </w:rPr>
      </w:pPr>
      <w:r>
        <w:rPr>
          <w:rFonts w:hint="eastAsia"/>
          <w:color w:val="auto"/>
        </w:rPr>
        <w:t>评价指导思想</w:t>
      </w:r>
    </w:p>
    <w:p>
      <w:pPr>
        <w:adjustRightInd w:val="0"/>
        <w:snapToGrid w:val="0"/>
        <w:spacing w:line="360" w:lineRule="auto"/>
        <w:ind w:firstLine="480"/>
        <w:rPr>
          <w:rFonts w:hint="eastAsia"/>
          <w:color w:val="auto"/>
        </w:rPr>
      </w:pPr>
      <w:r>
        <w:rPr>
          <w:color w:val="auto"/>
        </w:rPr>
        <w:t>本次评价的指导思想是在对项目进行详细工程分析的基础上，依据《环境影响评价技术导则》（HJ2.1-2016，HJ2.2-20</w:t>
      </w:r>
      <w:r>
        <w:rPr>
          <w:rFonts w:hint="eastAsia"/>
          <w:color w:val="auto"/>
          <w:lang w:val="en-US" w:eastAsia="zh-CN"/>
        </w:rPr>
        <w:t>1</w:t>
      </w:r>
      <w:r>
        <w:rPr>
          <w:color w:val="auto"/>
        </w:rPr>
        <w:t>8，HJ2.3-</w:t>
      </w:r>
      <w:r>
        <w:rPr>
          <w:rFonts w:hint="eastAsia"/>
          <w:color w:val="auto"/>
          <w:lang w:val="en-US" w:eastAsia="zh-CN"/>
        </w:rPr>
        <w:t>2018</w:t>
      </w:r>
      <w:r>
        <w:rPr>
          <w:color w:val="auto"/>
        </w:rPr>
        <w:t>，</w:t>
      </w:r>
      <w:r>
        <w:rPr>
          <w:color w:val="auto"/>
        </w:rPr>
        <w:t>HJ2.4-20</w:t>
      </w:r>
      <w:r>
        <w:rPr>
          <w:rFonts w:hint="eastAsia"/>
          <w:color w:val="auto"/>
          <w:lang w:val="en-US" w:eastAsia="zh-CN"/>
        </w:rPr>
        <w:t>21</w:t>
      </w:r>
      <w:r>
        <w:rPr>
          <w:color w:val="auto"/>
        </w:rPr>
        <w:t>，</w:t>
      </w:r>
      <w:r>
        <w:rPr>
          <w:color w:val="auto"/>
          <w:lang w:val="zh-CN"/>
        </w:rPr>
        <w:t>HJ19-20</w:t>
      </w:r>
      <w:r>
        <w:rPr>
          <w:rFonts w:hint="eastAsia"/>
          <w:color w:val="auto"/>
          <w:lang w:val="en-US" w:eastAsia="zh-CN"/>
        </w:rPr>
        <w:t>22</w:t>
      </w:r>
      <w:r>
        <w:rPr>
          <w:color w:val="auto"/>
          <w:lang w:val="zh-CN"/>
        </w:rPr>
        <w:t>、</w:t>
      </w:r>
      <w:r>
        <w:rPr>
          <w:color w:val="auto"/>
        </w:rPr>
        <w:t>HJ610-2016</w:t>
      </w:r>
      <w:r>
        <w:rPr>
          <w:rFonts w:hint="eastAsia"/>
          <w:color w:val="auto"/>
          <w:lang w:eastAsia="zh-CN"/>
        </w:rPr>
        <w:t>、</w:t>
      </w:r>
      <w:r>
        <w:rPr>
          <w:rFonts w:hint="eastAsia"/>
          <w:color w:val="auto"/>
          <w:lang w:val="en-US" w:eastAsia="zh-CN"/>
        </w:rPr>
        <w:t>HJ964-2018</w:t>
      </w:r>
      <w:r>
        <w:rPr>
          <w:color w:val="auto"/>
        </w:rPr>
        <w:t>）和国家、安徽省颁布的有关环境保护法规、法令、标准和规范，充分利用现有基础资料和借鉴有关项目评价成果，合理确定评价范围、监测项目，并根据工程特点，选择有代表性的监测点位、监测因子、预测模型。结论力求做到科学、客观、公正、明确与可信</w:t>
      </w:r>
      <w:r>
        <w:rPr>
          <w:rFonts w:hint="eastAsia"/>
          <w:color w:val="auto"/>
        </w:rPr>
        <w:t>。</w:t>
      </w:r>
    </w:p>
    <w:p>
      <w:pPr>
        <w:pStyle w:val="4"/>
        <w:rPr>
          <w:rFonts w:hint="eastAsia"/>
          <w:color w:val="auto"/>
        </w:rPr>
      </w:pPr>
      <w:bookmarkStart w:id="18" w:name="_Toc15742"/>
      <w:r>
        <w:rPr>
          <w:rFonts w:hint="eastAsia"/>
          <w:color w:val="auto"/>
        </w:rPr>
        <w:t>编制依据</w:t>
      </w:r>
      <w:bookmarkEnd w:id="18"/>
    </w:p>
    <w:p>
      <w:pPr>
        <w:pStyle w:val="5"/>
        <w:spacing w:before="120" w:line="360" w:lineRule="auto"/>
        <w:ind w:left="480"/>
        <w:rPr>
          <w:rFonts w:hint="eastAsia"/>
          <w:color w:val="auto"/>
        </w:rPr>
      </w:pPr>
      <w:r>
        <w:rPr>
          <w:rFonts w:hint="eastAsia"/>
          <w:color w:val="auto"/>
        </w:rPr>
        <w:t>国家相关法律</w:t>
      </w:r>
    </w:p>
    <w:p>
      <w:pPr>
        <w:keepNext w:val="0"/>
        <w:keepLines w:val="0"/>
        <w:pageBreakBefore w:val="0"/>
        <w:widowControl w:val="0"/>
        <w:kinsoku/>
        <w:wordWrap/>
        <w:overflowPunct/>
        <w:topLinePunct w:val="0"/>
        <w:autoSpaceDE/>
        <w:autoSpaceDN/>
        <w:bidi w:val="0"/>
        <w:spacing w:line="360" w:lineRule="auto"/>
        <w:ind w:leftChars="0" w:firstLine="480" w:firstLineChars="200"/>
        <w:textAlignment w:val="auto"/>
        <w:rPr>
          <w:rFonts w:hint="eastAsia" w:eastAsia="宋体"/>
          <w:color w:val="auto"/>
          <w:lang w:eastAsia="zh-CN"/>
        </w:rPr>
      </w:pPr>
      <w:r>
        <w:rPr>
          <w:color w:val="auto"/>
        </w:rPr>
        <w:t>（1）《中华人民共和国环境保护法》（2014年4月24日修订，2015年1月1日起施行）</w:t>
      </w:r>
      <w:r>
        <w:rPr>
          <w:rFonts w:hint="eastAsia" w:cs="宋体"/>
          <w:color w:val="auto"/>
          <w:lang w:eastAsia="zh-CN"/>
        </w:rPr>
        <w:t>；</w:t>
      </w:r>
    </w:p>
    <w:p>
      <w:pPr>
        <w:keepNext w:val="0"/>
        <w:keepLines w:val="0"/>
        <w:pageBreakBefore w:val="0"/>
        <w:widowControl w:val="0"/>
        <w:kinsoku/>
        <w:wordWrap/>
        <w:overflowPunct/>
        <w:topLinePunct w:val="0"/>
        <w:autoSpaceDE/>
        <w:autoSpaceDN/>
        <w:bidi w:val="0"/>
        <w:spacing w:line="360" w:lineRule="auto"/>
        <w:ind w:leftChars="0" w:firstLine="480" w:firstLineChars="200"/>
        <w:textAlignment w:val="auto"/>
        <w:rPr>
          <w:rFonts w:hint="eastAsia" w:eastAsia="宋体"/>
          <w:color w:val="auto"/>
          <w:lang w:eastAsia="zh-CN"/>
        </w:rPr>
      </w:pPr>
      <w:r>
        <w:rPr>
          <w:color w:val="auto"/>
        </w:rPr>
        <w:t>（2）《中华人民共和国水污染防治法》（20</w:t>
      </w:r>
      <w:r>
        <w:rPr>
          <w:rFonts w:hint="eastAsia"/>
          <w:color w:val="auto"/>
        </w:rPr>
        <w:t>1</w:t>
      </w:r>
      <w:r>
        <w:rPr>
          <w:color w:val="auto"/>
        </w:rPr>
        <w:t>8年</w:t>
      </w:r>
      <w:r>
        <w:rPr>
          <w:rFonts w:hint="eastAsia"/>
          <w:color w:val="auto"/>
        </w:rPr>
        <w:t>1</w:t>
      </w:r>
      <w:r>
        <w:rPr>
          <w:color w:val="auto"/>
        </w:rPr>
        <w:t>月1日起施行）</w:t>
      </w:r>
      <w:r>
        <w:rPr>
          <w:rFonts w:hint="eastAsia" w:cs="宋体"/>
          <w:color w:val="auto"/>
          <w:lang w:eastAsia="zh-CN"/>
        </w:rPr>
        <w:t>；</w:t>
      </w:r>
    </w:p>
    <w:p>
      <w:pPr>
        <w:keepNext w:val="0"/>
        <w:keepLines w:val="0"/>
        <w:pageBreakBefore w:val="0"/>
        <w:widowControl w:val="0"/>
        <w:numPr>
          <w:ilvl w:val="0"/>
          <w:numId w:val="0"/>
        </w:numPr>
        <w:tabs>
          <w:tab w:val="left" w:pos="0"/>
          <w:tab w:val="left" w:pos="113"/>
        </w:tabs>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olor w:val="auto"/>
          <w:lang w:eastAsia="zh-CN"/>
        </w:rPr>
      </w:pPr>
      <w:r>
        <w:rPr>
          <w:color w:val="auto"/>
        </w:rPr>
        <w:t>（3）</w:t>
      </w:r>
      <w:r>
        <w:rPr>
          <w:color w:val="auto"/>
          <w:szCs w:val="21"/>
        </w:rPr>
        <w:t>《中华人民共和国大气污染防治法》</w:t>
      </w:r>
      <w:r>
        <w:rPr>
          <w:rFonts w:hint="eastAsia"/>
          <w:color w:val="auto"/>
          <w:szCs w:val="21"/>
          <w:lang w:eastAsia="zh-CN"/>
        </w:rPr>
        <w:t>（</w:t>
      </w:r>
      <w:r>
        <w:rPr>
          <w:color w:val="auto"/>
          <w:szCs w:val="21"/>
        </w:rPr>
        <w:t>201</w:t>
      </w:r>
      <w:r>
        <w:rPr>
          <w:rFonts w:hint="eastAsia"/>
          <w:color w:val="auto"/>
          <w:szCs w:val="21"/>
        </w:rPr>
        <w:t>8</w:t>
      </w:r>
      <w:r>
        <w:rPr>
          <w:color w:val="auto"/>
          <w:szCs w:val="21"/>
        </w:rPr>
        <w:t>年</w:t>
      </w:r>
      <w:r>
        <w:rPr>
          <w:rFonts w:hint="eastAsia"/>
          <w:color w:val="auto"/>
          <w:szCs w:val="21"/>
        </w:rPr>
        <w:t>10</w:t>
      </w:r>
      <w:r>
        <w:rPr>
          <w:color w:val="auto"/>
          <w:szCs w:val="21"/>
        </w:rPr>
        <w:t>月</w:t>
      </w:r>
      <w:r>
        <w:rPr>
          <w:rFonts w:hint="eastAsia"/>
          <w:color w:val="auto"/>
          <w:szCs w:val="21"/>
        </w:rPr>
        <w:t>26</w:t>
      </w:r>
      <w:r>
        <w:rPr>
          <w:color w:val="auto"/>
          <w:szCs w:val="21"/>
        </w:rPr>
        <w:t>日</w:t>
      </w:r>
      <w:r>
        <w:rPr>
          <w:rFonts w:hint="eastAsia"/>
          <w:color w:val="auto"/>
          <w:szCs w:val="21"/>
        </w:rPr>
        <w:t>修订并</w:t>
      </w:r>
      <w:r>
        <w:rPr>
          <w:color w:val="auto"/>
          <w:szCs w:val="21"/>
        </w:rPr>
        <w:t>施行</w:t>
      </w:r>
      <w:r>
        <w:rPr>
          <w:rFonts w:hint="eastAsia"/>
          <w:color w:val="auto"/>
          <w:szCs w:val="21"/>
          <w:lang w:eastAsia="zh-CN"/>
        </w:rPr>
        <w:t>）</w:t>
      </w:r>
      <w:r>
        <w:rPr>
          <w:rFonts w:hint="eastAsia" w:cs="宋体"/>
          <w:color w:val="auto"/>
          <w:lang w:eastAsia="zh-CN"/>
        </w:rPr>
        <w:t>；</w:t>
      </w:r>
    </w:p>
    <w:p>
      <w:pPr>
        <w:keepNext w:val="0"/>
        <w:keepLines w:val="0"/>
        <w:pageBreakBefore w:val="0"/>
        <w:widowControl w:val="0"/>
        <w:numPr>
          <w:ilvl w:val="0"/>
          <w:numId w:val="0"/>
        </w:numPr>
        <w:tabs>
          <w:tab w:val="left" w:pos="0"/>
          <w:tab w:val="left" w:pos="113"/>
        </w:tabs>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olor w:val="auto"/>
          <w:lang w:eastAsia="zh-CN"/>
        </w:rPr>
      </w:pPr>
      <w:r>
        <w:rPr>
          <w:color w:val="auto"/>
        </w:rPr>
        <w:t>（4）《中华人民共和国环境噪声污染防治法》</w:t>
      </w:r>
      <w:r>
        <w:rPr>
          <w:rFonts w:hint="eastAsia"/>
          <w:color w:val="auto"/>
          <w:lang w:eastAsia="zh-CN"/>
        </w:rPr>
        <w:t>（</w:t>
      </w:r>
      <w:r>
        <w:rPr>
          <w:rFonts w:hint="eastAsia"/>
          <w:color w:val="auto"/>
        </w:rPr>
        <w:t>20</w:t>
      </w:r>
      <w:r>
        <w:rPr>
          <w:rFonts w:hint="eastAsia"/>
          <w:color w:val="auto"/>
          <w:lang w:val="en-US" w:eastAsia="zh-CN"/>
        </w:rPr>
        <w:t>22</w:t>
      </w:r>
      <w:r>
        <w:rPr>
          <w:rFonts w:hint="eastAsia"/>
          <w:color w:val="auto"/>
        </w:rPr>
        <w:t>年</w:t>
      </w:r>
      <w:r>
        <w:rPr>
          <w:rFonts w:hint="eastAsia"/>
          <w:color w:val="auto"/>
          <w:lang w:val="en-US" w:eastAsia="zh-CN"/>
        </w:rPr>
        <w:t>06</w:t>
      </w:r>
      <w:r>
        <w:rPr>
          <w:rFonts w:hint="eastAsia"/>
          <w:color w:val="auto"/>
        </w:rPr>
        <w:t>月</w:t>
      </w:r>
      <w:r>
        <w:rPr>
          <w:rFonts w:hint="eastAsia"/>
          <w:color w:val="auto"/>
          <w:lang w:val="en-US" w:eastAsia="zh-CN"/>
        </w:rPr>
        <w:t>05</w:t>
      </w:r>
      <w:r>
        <w:rPr>
          <w:rFonts w:hint="eastAsia"/>
          <w:color w:val="auto"/>
        </w:rPr>
        <w:t>日施行</w:t>
      </w:r>
      <w:r>
        <w:rPr>
          <w:rFonts w:hint="eastAsia"/>
          <w:color w:val="auto"/>
          <w:lang w:eastAsia="zh-CN"/>
        </w:rPr>
        <w:t>）</w:t>
      </w:r>
      <w:r>
        <w:rPr>
          <w:rFonts w:hint="eastAsia" w:cs="宋体"/>
          <w:color w:val="auto"/>
          <w:lang w:eastAsia="zh-CN"/>
        </w:rPr>
        <w:t>；</w:t>
      </w:r>
    </w:p>
    <w:p>
      <w:pPr>
        <w:keepNext w:val="0"/>
        <w:keepLines w:val="0"/>
        <w:pageBreakBefore w:val="0"/>
        <w:widowControl w:val="0"/>
        <w:numPr>
          <w:ilvl w:val="0"/>
          <w:numId w:val="0"/>
        </w:numPr>
        <w:tabs>
          <w:tab w:val="left" w:pos="0"/>
          <w:tab w:val="left" w:pos="113"/>
        </w:tabs>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《中华人民共和国土壤污染防治法》</w:t>
      </w:r>
      <w:r>
        <w:rPr>
          <w:rFonts w:hint="eastAsia"/>
          <w:color w:val="auto"/>
          <w:lang w:eastAsia="zh-CN"/>
        </w:rPr>
        <w:t>（</w:t>
      </w:r>
      <w:r>
        <w:rPr>
          <w:rFonts w:hint="eastAsia"/>
          <w:color w:val="auto"/>
        </w:rPr>
        <w:t>2019年1月1日施行</w:t>
      </w:r>
      <w:r>
        <w:rPr>
          <w:rFonts w:hint="eastAsia"/>
          <w:color w:val="auto"/>
          <w:lang w:eastAsia="zh-CN"/>
        </w:rPr>
        <w:t>）</w:t>
      </w:r>
      <w:r>
        <w:rPr>
          <w:rFonts w:hint="eastAsia" w:cs="宋体"/>
          <w:color w:val="auto"/>
          <w:lang w:eastAsia="zh-CN"/>
        </w:rPr>
        <w:t>；</w:t>
      </w:r>
    </w:p>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eastAsia="宋体"/>
          <w:color w:val="auto"/>
          <w:lang w:eastAsia="zh-CN"/>
        </w:rPr>
      </w:pPr>
      <w:r>
        <w:rPr>
          <w:color w:val="auto"/>
        </w:rPr>
        <w:t>（</w:t>
      </w:r>
      <w:r>
        <w:rPr>
          <w:rFonts w:hint="eastAsia"/>
          <w:color w:val="auto"/>
          <w:lang w:val="en-US" w:eastAsia="zh-CN"/>
        </w:rPr>
        <w:t>6</w:t>
      </w:r>
      <w:r>
        <w:rPr>
          <w:color w:val="auto"/>
        </w:rPr>
        <w:t>）《中华人民共和国固体废物污染环境防治法》（20</w:t>
      </w:r>
      <w:r>
        <w:rPr>
          <w:rFonts w:hint="eastAsia"/>
          <w:color w:val="auto"/>
          <w:lang w:val="en-US" w:eastAsia="zh-CN"/>
        </w:rPr>
        <w:t>20年4月29日修订，2020年9月1日起施行</w:t>
      </w:r>
      <w:r>
        <w:rPr>
          <w:color w:val="auto"/>
        </w:rPr>
        <w:t>）</w:t>
      </w:r>
      <w:r>
        <w:rPr>
          <w:rFonts w:hint="eastAsia" w:cs="宋体"/>
          <w:color w:val="auto"/>
          <w:lang w:eastAsia="zh-CN"/>
        </w:rPr>
        <w:t>；</w:t>
      </w:r>
    </w:p>
    <w:p>
      <w:pPr>
        <w:keepNext w:val="0"/>
        <w:keepLines w:val="0"/>
        <w:pageBreakBefore w:val="0"/>
        <w:widowControl w:val="0"/>
        <w:kinsoku/>
        <w:wordWrap/>
        <w:overflowPunct/>
        <w:topLinePunct w:val="0"/>
        <w:autoSpaceDE/>
        <w:autoSpaceDN/>
        <w:bidi w:val="0"/>
        <w:spacing w:line="360" w:lineRule="auto"/>
        <w:ind w:leftChars="0" w:firstLine="480" w:firstLineChars="200"/>
        <w:textAlignment w:val="auto"/>
        <w:rPr>
          <w:rFonts w:hint="eastAsia" w:eastAsia="宋体"/>
          <w:color w:val="auto"/>
          <w:lang w:eastAsia="zh-CN"/>
        </w:rPr>
      </w:pPr>
      <w:r>
        <w:rPr>
          <w:color w:val="auto"/>
        </w:rPr>
        <w:t>（</w:t>
      </w:r>
      <w:r>
        <w:rPr>
          <w:rFonts w:hint="eastAsia"/>
          <w:color w:val="auto"/>
          <w:lang w:val="en-US" w:eastAsia="zh-CN"/>
        </w:rPr>
        <w:t>7</w:t>
      </w:r>
      <w:r>
        <w:rPr>
          <w:color w:val="auto"/>
        </w:rPr>
        <w:t>）《中华人民共和国环境影响评价法》</w:t>
      </w:r>
      <w:r>
        <w:rPr>
          <w:rFonts w:hint="eastAsia"/>
          <w:color w:val="auto"/>
          <w:lang w:eastAsia="zh-CN"/>
        </w:rPr>
        <w:t>（</w:t>
      </w:r>
      <w:r>
        <w:rPr>
          <w:rFonts w:hint="eastAsia"/>
          <w:color w:val="auto"/>
        </w:rPr>
        <w:t>2018年12月29日修订并施行</w:t>
      </w:r>
      <w:r>
        <w:rPr>
          <w:rFonts w:hint="eastAsia"/>
          <w:color w:val="auto"/>
          <w:lang w:eastAsia="zh-CN"/>
        </w:rPr>
        <w:t>）</w:t>
      </w:r>
      <w:r>
        <w:rPr>
          <w:rFonts w:hint="eastAsia" w:cs="宋体"/>
          <w:color w:val="auto"/>
          <w:lang w:eastAsia="zh-CN"/>
        </w:rPr>
        <w:t>；</w:t>
      </w:r>
    </w:p>
    <w:p>
      <w:pPr>
        <w:keepNext w:val="0"/>
        <w:keepLines w:val="0"/>
        <w:pageBreakBefore w:val="0"/>
        <w:widowControl w:val="0"/>
        <w:kinsoku/>
        <w:wordWrap/>
        <w:overflowPunct/>
        <w:topLinePunct w:val="0"/>
        <w:autoSpaceDE/>
        <w:autoSpaceDN/>
        <w:bidi w:val="0"/>
        <w:spacing w:line="360" w:lineRule="auto"/>
        <w:ind w:leftChars="0" w:firstLine="480" w:firstLineChars="200"/>
        <w:textAlignment w:val="auto"/>
        <w:rPr>
          <w:rFonts w:hint="eastAsia" w:eastAsia="宋体"/>
          <w:color w:val="auto"/>
          <w:lang w:eastAsia="zh-CN"/>
        </w:rPr>
      </w:pPr>
      <w:r>
        <w:rPr>
          <w:color w:val="auto"/>
        </w:rPr>
        <w:t>（</w:t>
      </w:r>
      <w:r>
        <w:rPr>
          <w:rFonts w:hint="eastAsia"/>
          <w:color w:val="auto"/>
          <w:lang w:val="en-US" w:eastAsia="zh-CN"/>
        </w:rPr>
        <w:t>8</w:t>
      </w:r>
      <w:r>
        <w:rPr>
          <w:color w:val="auto"/>
        </w:rPr>
        <w:t>）《中华人民共和国清洁生产促进法》（201</w:t>
      </w:r>
      <w:r>
        <w:rPr>
          <w:rFonts w:hint="eastAsia"/>
          <w:color w:val="auto"/>
          <w:lang w:val="en-US" w:eastAsia="zh-CN"/>
        </w:rPr>
        <w:t>2</w:t>
      </w:r>
      <w:r>
        <w:rPr>
          <w:color w:val="auto"/>
        </w:rPr>
        <w:t>年</w:t>
      </w:r>
      <w:r>
        <w:rPr>
          <w:rFonts w:hint="eastAsia"/>
          <w:color w:val="auto"/>
          <w:lang w:val="en-US" w:eastAsia="zh-CN"/>
        </w:rPr>
        <w:t>2月29日</w:t>
      </w:r>
      <w:r>
        <w:rPr>
          <w:color w:val="auto"/>
        </w:rPr>
        <w:t>修</w:t>
      </w:r>
      <w:r>
        <w:rPr>
          <w:rFonts w:hint="eastAsia"/>
          <w:color w:val="auto"/>
          <w:lang w:eastAsia="zh-CN"/>
        </w:rPr>
        <w:t>正，</w:t>
      </w:r>
      <w:r>
        <w:rPr>
          <w:color w:val="auto"/>
        </w:rPr>
        <w:t>201</w:t>
      </w:r>
      <w:r>
        <w:rPr>
          <w:rFonts w:hint="eastAsia"/>
          <w:color w:val="auto"/>
          <w:lang w:val="en-US" w:eastAsia="zh-CN"/>
        </w:rPr>
        <w:t>2</w:t>
      </w:r>
      <w:r>
        <w:rPr>
          <w:color w:val="auto"/>
        </w:rPr>
        <w:t>年</w:t>
      </w:r>
      <w:r>
        <w:rPr>
          <w:rFonts w:hint="eastAsia"/>
          <w:color w:val="auto"/>
          <w:lang w:val="en-US" w:eastAsia="zh-CN"/>
        </w:rPr>
        <w:t>7月1日起施行</w:t>
      </w:r>
      <w:r>
        <w:rPr>
          <w:color w:val="auto"/>
        </w:rPr>
        <w:t>）</w:t>
      </w:r>
      <w:r>
        <w:rPr>
          <w:rFonts w:hint="eastAsia" w:cs="宋体"/>
          <w:color w:val="auto"/>
          <w:lang w:eastAsia="zh-CN"/>
        </w:rPr>
        <w:t>；</w:t>
      </w:r>
    </w:p>
    <w:p>
      <w:pPr>
        <w:keepNext w:val="0"/>
        <w:keepLines w:val="0"/>
        <w:pageBreakBefore w:val="0"/>
        <w:widowControl w:val="0"/>
        <w:numPr>
          <w:ilvl w:val="0"/>
          <w:numId w:val="0"/>
        </w:numPr>
        <w:tabs>
          <w:tab w:val="left" w:pos="0"/>
          <w:tab w:val="left" w:pos="113"/>
        </w:tabs>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olor w:val="auto"/>
          <w:lang w:eastAsia="zh-CN"/>
        </w:rPr>
      </w:pPr>
      <w:r>
        <w:rPr>
          <w:color w:val="auto"/>
        </w:rPr>
        <w:t>（</w:t>
      </w:r>
      <w:r>
        <w:rPr>
          <w:rFonts w:hint="eastAsia"/>
          <w:color w:val="auto"/>
          <w:lang w:val="en-US" w:eastAsia="zh-CN"/>
        </w:rPr>
        <w:t>9</w:t>
      </w:r>
      <w:r>
        <w:rPr>
          <w:color w:val="auto"/>
        </w:rPr>
        <w:t>）《中华人民共和国城乡规划法》</w:t>
      </w:r>
      <w:r>
        <w:rPr>
          <w:rFonts w:hint="eastAsia"/>
          <w:color w:val="auto"/>
          <w:lang w:eastAsia="zh-CN"/>
        </w:rPr>
        <w:t>（</w:t>
      </w:r>
      <w:r>
        <w:rPr>
          <w:color w:val="auto"/>
        </w:rPr>
        <w:t>20</w:t>
      </w:r>
      <w:r>
        <w:rPr>
          <w:rFonts w:hint="eastAsia"/>
          <w:color w:val="auto"/>
          <w:lang w:val="en-US" w:eastAsia="zh-CN"/>
        </w:rPr>
        <w:t>19</w:t>
      </w:r>
      <w:r>
        <w:rPr>
          <w:color w:val="auto"/>
        </w:rPr>
        <w:t>年</w:t>
      </w:r>
      <w:r>
        <w:rPr>
          <w:rFonts w:hint="eastAsia"/>
          <w:color w:val="auto"/>
          <w:lang w:val="en-US" w:eastAsia="zh-CN"/>
        </w:rPr>
        <w:t>4</w:t>
      </w:r>
      <w:r>
        <w:rPr>
          <w:color w:val="auto"/>
        </w:rPr>
        <w:t>月</w:t>
      </w:r>
      <w:r>
        <w:rPr>
          <w:rFonts w:hint="eastAsia"/>
          <w:color w:val="auto"/>
          <w:lang w:val="en-US" w:eastAsia="zh-CN"/>
        </w:rPr>
        <w:t>23日</w:t>
      </w:r>
      <w:r>
        <w:rPr>
          <w:rFonts w:hint="eastAsia"/>
          <w:color w:val="auto"/>
        </w:rPr>
        <w:t>修</w:t>
      </w:r>
      <w:r>
        <w:rPr>
          <w:rFonts w:hint="eastAsia"/>
          <w:color w:val="auto"/>
          <w:lang w:eastAsia="zh-CN"/>
        </w:rPr>
        <w:t>正）</w:t>
      </w:r>
      <w:r>
        <w:rPr>
          <w:rFonts w:hint="eastAsia" w:cs="宋体"/>
          <w:color w:val="auto"/>
          <w:lang w:eastAsia="zh-CN"/>
        </w:rPr>
        <w:t>；</w:t>
      </w:r>
    </w:p>
    <w:p>
      <w:pPr>
        <w:keepNext w:val="0"/>
        <w:keepLines w:val="0"/>
        <w:pageBreakBefore w:val="0"/>
        <w:widowControl w:val="0"/>
        <w:numPr>
          <w:ilvl w:val="0"/>
          <w:numId w:val="0"/>
        </w:numPr>
        <w:tabs>
          <w:tab w:val="left" w:pos="0"/>
          <w:tab w:val="left" w:pos="113"/>
        </w:tabs>
        <w:kinsoku/>
        <w:wordWrap/>
        <w:overflowPunct/>
        <w:topLinePunct w:val="0"/>
        <w:autoSpaceDE/>
        <w:autoSpaceDN/>
        <w:bidi w:val="0"/>
        <w:adjustRightInd w:val="0"/>
        <w:snapToGrid w:val="0"/>
        <w:spacing w:line="360" w:lineRule="auto"/>
        <w:ind w:leftChars="0" w:firstLine="500" w:firstLineChars="200"/>
        <w:textAlignment w:val="auto"/>
        <w:rPr>
          <w:rFonts w:hint="eastAsia" w:eastAsia="宋体"/>
          <w:color w:val="auto"/>
          <w:lang w:eastAsia="zh-CN"/>
        </w:rPr>
      </w:pPr>
      <w:r>
        <w:rPr>
          <w:rFonts w:hint="eastAsia" w:hAnsi="宋体" w:cs="宋体"/>
          <w:color w:val="auto"/>
          <w:spacing w:val="5"/>
          <w:szCs w:val="24"/>
          <w:shd w:val="clear" w:color="auto" w:fill="FFFFFF"/>
          <w:lang w:eastAsia="zh-CN"/>
        </w:rPr>
        <w:t>（</w:t>
      </w:r>
      <w:r>
        <w:rPr>
          <w:rFonts w:hint="eastAsia" w:hAnsi="宋体" w:cs="宋体"/>
          <w:color w:val="auto"/>
          <w:spacing w:val="5"/>
          <w:szCs w:val="24"/>
          <w:shd w:val="clear" w:color="auto" w:fill="FFFFFF"/>
          <w:lang w:val="en-US" w:eastAsia="zh-CN"/>
        </w:rPr>
        <w:t>10</w:t>
      </w:r>
      <w:r>
        <w:rPr>
          <w:rFonts w:hint="eastAsia" w:hAnsi="宋体" w:cs="宋体"/>
          <w:color w:val="auto"/>
          <w:spacing w:val="5"/>
          <w:szCs w:val="24"/>
          <w:shd w:val="clear" w:color="auto" w:fill="FFFFFF"/>
          <w:lang w:eastAsia="zh-CN"/>
        </w:rPr>
        <w:t>）</w:t>
      </w:r>
      <w:r>
        <w:rPr>
          <w:rFonts w:hint="eastAsia" w:hAnsi="宋体" w:cs="宋体"/>
          <w:color w:val="auto"/>
          <w:spacing w:val="5"/>
          <w:szCs w:val="24"/>
          <w:shd w:val="clear" w:color="auto" w:fill="FFFFFF"/>
        </w:rPr>
        <w:t>《中华人民共和国节约能源法》</w:t>
      </w:r>
      <w:r>
        <w:rPr>
          <w:rFonts w:hint="eastAsia" w:hAnsi="宋体" w:cs="宋体"/>
          <w:color w:val="auto"/>
          <w:spacing w:val="5"/>
          <w:szCs w:val="24"/>
          <w:shd w:val="clear" w:color="auto" w:fill="FFFFFF"/>
          <w:lang w:eastAsia="zh-CN"/>
        </w:rPr>
        <w:t>（</w:t>
      </w:r>
      <w:r>
        <w:rPr>
          <w:rFonts w:hint="eastAsia" w:hAnsi="宋体" w:cs="宋体"/>
          <w:color w:val="auto"/>
          <w:spacing w:val="5"/>
          <w:szCs w:val="24"/>
          <w:shd w:val="clear" w:color="auto" w:fill="FFFFFF"/>
        </w:rPr>
        <w:t>2018年10月26日修订并施行</w:t>
      </w:r>
      <w:r>
        <w:rPr>
          <w:rFonts w:hint="eastAsia" w:hAnsi="宋体" w:cs="宋体"/>
          <w:color w:val="auto"/>
          <w:spacing w:val="5"/>
          <w:szCs w:val="24"/>
          <w:shd w:val="clear" w:color="auto" w:fill="FFFFFF"/>
          <w:lang w:eastAsia="zh-CN"/>
        </w:rPr>
        <w:t>）；</w:t>
      </w:r>
    </w:p>
    <w:p>
      <w:pPr>
        <w:pStyle w:val="5"/>
        <w:spacing w:beforeLines="0"/>
        <w:ind w:left="480"/>
        <w:rPr>
          <w:rFonts w:hint="eastAsia"/>
          <w:color w:val="auto"/>
        </w:rPr>
      </w:pPr>
      <w:r>
        <w:rPr>
          <w:rFonts w:hint="eastAsia"/>
          <w:color w:val="auto"/>
        </w:rPr>
        <w:t>国家相关行政法规</w:t>
      </w:r>
      <w:r>
        <w:rPr>
          <w:color w:val="auto"/>
        </w:rPr>
        <w:t>及国务院规范性文件</w:t>
      </w:r>
    </w:p>
    <w:p>
      <w:pPr>
        <w:spacing w:line="360" w:lineRule="auto"/>
        <w:ind w:firstLine="480"/>
        <w:rPr>
          <w:rFonts w:hint="eastAsia" w:eastAsia="宋体"/>
          <w:color w:val="auto"/>
          <w:lang w:eastAsia="zh-CN"/>
        </w:rPr>
      </w:pPr>
      <w:r>
        <w:rPr>
          <w:color w:val="auto"/>
        </w:rPr>
        <w:t>（1）《建设项目环境保护管理条例》（国务院201</w:t>
      </w:r>
      <w:r>
        <w:rPr>
          <w:rFonts w:hint="eastAsia"/>
          <w:color w:val="auto"/>
        </w:rPr>
        <w:t>7</w:t>
      </w:r>
      <w:r>
        <w:rPr>
          <w:color w:val="auto"/>
        </w:rPr>
        <w:t>年第</w:t>
      </w:r>
      <w:r>
        <w:rPr>
          <w:rFonts w:hint="eastAsia"/>
          <w:color w:val="auto"/>
        </w:rPr>
        <w:t>682</w:t>
      </w:r>
      <w:r>
        <w:rPr>
          <w:color w:val="auto"/>
        </w:rPr>
        <w:t>号令，201</w:t>
      </w:r>
      <w:r>
        <w:rPr>
          <w:rFonts w:hint="eastAsia"/>
          <w:color w:val="auto"/>
        </w:rPr>
        <w:t>7</w:t>
      </w:r>
      <w:r>
        <w:rPr>
          <w:color w:val="auto"/>
        </w:rPr>
        <w:t>年</w:t>
      </w:r>
      <w:r>
        <w:rPr>
          <w:rFonts w:hint="eastAsia"/>
          <w:color w:val="auto"/>
        </w:rPr>
        <w:t>10</w:t>
      </w:r>
      <w:r>
        <w:rPr>
          <w:color w:val="auto"/>
        </w:rPr>
        <w:t>月1日起施行）</w:t>
      </w:r>
      <w:r>
        <w:rPr>
          <w:rFonts w:hint="eastAsia"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240" w:firstLineChars="100"/>
        <w:textAlignment w:val="auto"/>
        <w:rPr>
          <w:rFonts w:hint="eastAsia" w:eastAsia="宋体"/>
          <w:color w:val="auto"/>
          <w:lang w:eastAsia="zh-CN"/>
        </w:rPr>
      </w:pPr>
      <w:r>
        <w:rPr>
          <w:color w:val="auto"/>
        </w:rPr>
        <w:t>（2）《建设项目环境影响评价分类管理名录</w:t>
      </w:r>
      <w:r>
        <w:rPr>
          <w:rFonts w:hint="eastAsia"/>
          <w:color w:val="auto"/>
          <w:lang w:eastAsia="zh-CN"/>
        </w:rPr>
        <w:t>（</w:t>
      </w:r>
      <w:r>
        <w:rPr>
          <w:rFonts w:hint="eastAsia"/>
          <w:color w:val="auto"/>
          <w:lang w:val="en-US" w:eastAsia="zh-CN"/>
        </w:rPr>
        <w:t>2021年版</w:t>
      </w:r>
      <w:r>
        <w:rPr>
          <w:rFonts w:hint="eastAsia"/>
          <w:color w:val="auto"/>
          <w:lang w:eastAsia="zh-CN"/>
        </w:rPr>
        <w:t>）</w:t>
      </w:r>
      <w:r>
        <w:rPr>
          <w:color w:val="auto"/>
        </w:rPr>
        <w:t>》</w:t>
      </w:r>
      <w:r>
        <w:rPr>
          <w:rFonts w:hint="eastAsia"/>
          <w:color w:val="auto"/>
          <w:lang w:eastAsia="zh-CN"/>
        </w:rPr>
        <w:t>（</w:t>
      </w:r>
      <w:r>
        <w:rPr>
          <w:rFonts w:hint="eastAsia"/>
          <w:color w:val="auto"/>
        </w:rPr>
        <w:t>生态环境部 部令第16号</w:t>
      </w:r>
      <w:r>
        <w:rPr>
          <w:rFonts w:hint="eastAsia"/>
          <w:color w:val="auto"/>
          <w:lang w:eastAsia="zh-CN"/>
        </w:rPr>
        <w:t>，</w:t>
      </w:r>
      <w:r>
        <w:rPr>
          <w:color w:val="auto"/>
        </w:rPr>
        <w:t>2021年1月1日起施行</w:t>
      </w:r>
      <w:r>
        <w:rPr>
          <w:rFonts w:hint="eastAsia"/>
          <w:color w:val="auto"/>
          <w:lang w:eastAsia="zh-CN"/>
        </w:rPr>
        <w:t>）</w:t>
      </w:r>
      <w:r>
        <w:rPr>
          <w:rFonts w:hint="eastAsia" w:cs="宋体"/>
          <w:color w:val="auto"/>
          <w:lang w:eastAsia="zh-CN"/>
        </w:rPr>
        <w:t>；</w:t>
      </w:r>
    </w:p>
    <w:p>
      <w:pPr>
        <w:spacing w:line="360" w:lineRule="auto"/>
        <w:ind w:firstLine="480"/>
        <w:rPr>
          <w:rFonts w:hint="eastAsia" w:eastAsia="宋体"/>
          <w:color w:val="auto"/>
          <w:lang w:eastAsia="zh-CN"/>
        </w:rPr>
      </w:pPr>
      <w:r>
        <w:rPr>
          <w:color w:val="auto"/>
        </w:rPr>
        <w:t>（</w:t>
      </w:r>
      <w:r>
        <w:rPr>
          <w:rFonts w:hint="eastAsia"/>
          <w:color w:val="auto"/>
        </w:rPr>
        <w:t>3</w:t>
      </w:r>
      <w:r>
        <w:rPr>
          <w:color w:val="auto"/>
        </w:rPr>
        <w:t>）《</w:t>
      </w:r>
      <w:r>
        <w:rPr>
          <w:rFonts w:hint="eastAsia" w:cs="宋体"/>
          <w:color w:val="auto"/>
          <w:lang w:eastAsia="zh-CN"/>
        </w:rPr>
        <w:t>“</w:t>
      </w:r>
      <w:r>
        <w:rPr>
          <w:rFonts w:hint="eastAsia"/>
          <w:color w:val="auto"/>
        </w:rPr>
        <w:t>十三五</w:t>
      </w:r>
      <w:r>
        <w:rPr>
          <w:rFonts w:hint="eastAsia" w:cs="宋体"/>
          <w:color w:val="auto"/>
          <w:lang w:eastAsia="zh-CN"/>
        </w:rPr>
        <w:t>”</w:t>
      </w:r>
      <w:r>
        <w:rPr>
          <w:rFonts w:hint="eastAsia"/>
          <w:color w:val="auto"/>
        </w:rPr>
        <w:t>生态环境保护规划</w:t>
      </w:r>
      <w:r>
        <w:rPr>
          <w:color w:val="auto"/>
        </w:rPr>
        <w:t>》（</w:t>
      </w:r>
      <w:r>
        <w:rPr>
          <w:rFonts w:hint="eastAsia"/>
          <w:color w:val="auto"/>
        </w:rPr>
        <w:t>国发〔2016〕65号</w:t>
      </w:r>
      <w:r>
        <w:rPr>
          <w:color w:val="auto"/>
        </w:rPr>
        <w:t>，201</w:t>
      </w:r>
      <w:r>
        <w:rPr>
          <w:rFonts w:hint="eastAsia"/>
          <w:color w:val="auto"/>
        </w:rPr>
        <w:t>6</w:t>
      </w:r>
      <w:r>
        <w:rPr>
          <w:color w:val="auto"/>
        </w:rPr>
        <w:t>年</w:t>
      </w:r>
      <w:r>
        <w:rPr>
          <w:rFonts w:hint="eastAsia"/>
          <w:color w:val="auto"/>
        </w:rPr>
        <w:t>11</w:t>
      </w:r>
      <w:r>
        <w:rPr>
          <w:color w:val="auto"/>
        </w:rPr>
        <w:t>月</w:t>
      </w:r>
      <w:r>
        <w:rPr>
          <w:rFonts w:hint="eastAsia"/>
          <w:color w:val="auto"/>
        </w:rPr>
        <w:t>24</w:t>
      </w:r>
      <w:r>
        <w:rPr>
          <w:color w:val="auto"/>
        </w:rPr>
        <w:t>日）</w:t>
      </w:r>
      <w:r>
        <w:rPr>
          <w:rFonts w:hint="eastAsia"/>
          <w:color w:val="auto"/>
          <w:lang w:eastAsia="zh-CN"/>
        </w:rPr>
        <w:t>；</w:t>
      </w:r>
    </w:p>
    <w:p>
      <w:pPr>
        <w:spacing w:line="360" w:lineRule="auto"/>
        <w:ind w:firstLine="480"/>
        <w:rPr>
          <w:rFonts w:hint="eastAsia" w:ascii="Times New Roman" w:hAnsi="Times New Roman" w:eastAsia="宋体" w:cs="Times New Roman"/>
          <w:color w:val="auto"/>
          <w:lang w:eastAsia="zh-CN"/>
        </w:rPr>
      </w:pPr>
      <w:r>
        <w:rPr>
          <w:color w:val="auto"/>
        </w:rPr>
        <w:t>（</w:t>
      </w:r>
      <w:r>
        <w:rPr>
          <w:rFonts w:hint="eastAsia"/>
          <w:color w:val="auto"/>
          <w:lang w:val="en-US" w:eastAsia="zh-CN"/>
        </w:rPr>
        <w:t>4</w:t>
      </w:r>
      <w:r>
        <w:rPr>
          <w:color w:val="auto"/>
        </w:rPr>
        <w:t>）</w:t>
      </w:r>
      <w:r>
        <w:rPr>
          <w:rFonts w:hint="eastAsia"/>
          <w:color w:val="auto"/>
        </w:rPr>
        <w:t>《环境影响评价公众参与办法》（生态环境部 部令第4号，自2019</w:t>
      </w:r>
      <w:r>
        <w:rPr>
          <w:rFonts w:hint="default" w:ascii="Times New Roman" w:hAnsi="Times New Roman" w:eastAsia="宋体" w:cs="Times New Roman"/>
          <w:color w:val="auto"/>
        </w:rPr>
        <w:t>年1月1日起施行</w:t>
      </w:r>
      <w:r>
        <w:rPr>
          <w:rFonts w:hint="eastAsia"/>
          <w:color w:val="auto"/>
        </w:rPr>
        <w:t>）</w:t>
      </w:r>
      <w:r>
        <w:rPr>
          <w:rFonts w:hint="eastAsia" w:cs="宋体"/>
          <w:color w:val="auto"/>
          <w:lang w:eastAsia="zh-CN"/>
        </w:rPr>
        <w:t>；</w:t>
      </w:r>
    </w:p>
    <w:p>
      <w:pPr>
        <w:spacing w:line="360" w:lineRule="auto"/>
        <w:ind w:firstLine="480"/>
        <w:rPr>
          <w:rFonts w:hint="eastAsia" w:ascii="Times New Roman" w:hAnsi="Times New Roman" w:eastAsia="宋体" w:cs="Times New Roman"/>
          <w:color w:val="auto"/>
          <w:lang w:eastAsia="zh-CN"/>
        </w:rPr>
      </w:pPr>
      <w:r>
        <w:rPr>
          <w:rFonts w:hint="eastAsia"/>
          <w:color w:val="auto"/>
          <w:kern w:val="0"/>
          <w:lang w:val="en-US" w:eastAsia="zh-CN"/>
        </w:rPr>
        <w:t>（5）《排污许可管理办法（试行）》</w:t>
      </w:r>
      <w:r>
        <w:rPr>
          <w:rFonts w:hint="eastAsia"/>
          <w:color w:val="auto"/>
        </w:rPr>
        <w:t>（</w:t>
      </w:r>
      <w:r>
        <w:rPr>
          <w:color w:val="auto"/>
        </w:rPr>
        <w:t>原国家环境保护部</w:t>
      </w:r>
      <w:r>
        <w:rPr>
          <w:rFonts w:hint="eastAsia"/>
          <w:color w:val="auto"/>
        </w:rPr>
        <w:t xml:space="preserve"> 部令第4</w:t>
      </w:r>
      <w:r>
        <w:rPr>
          <w:rFonts w:hint="eastAsia"/>
          <w:color w:val="auto"/>
          <w:lang w:val="en-US" w:eastAsia="zh-CN"/>
        </w:rPr>
        <w:t>8</w:t>
      </w:r>
      <w:r>
        <w:rPr>
          <w:rFonts w:hint="eastAsia"/>
          <w:color w:val="auto"/>
        </w:rPr>
        <w:t>号</w:t>
      </w:r>
      <w:r>
        <w:rPr>
          <w:rFonts w:hint="eastAsia"/>
          <w:color w:val="auto"/>
          <w:lang w:eastAsia="zh-CN"/>
        </w:rPr>
        <w:t>，</w:t>
      </w:r>
      <w:r>
        <w:rPr>
          <w:rFonts w:hint="eastAsia"/>
          <w:color w:val="auto"/>
        </w:rPr>
        <w:t>自201</w:t>
      </w:r>
      <w:r>
        <w:rPr>
          <w:rFonts w:hint="eastAsia"/>
          <w:color w:val="auto"/>
          <w:lang w:val="en-US" w:eastAsia="zh-CN"/>
        </w:rPr>
        <w:t>8</w:t>
      </w:r>
      <w:r>
        <w:rPr>
          <w:rFonts w:hint="default" w:ascii="Times New Roman" w:hAnsi="Times New Roman" w:eastAsia="宋体" w:cs="Times New Roman"/>
          <w:color w:val="auto"/>
        </w:rPr>
        <w:t>年1月1</w:t>
      </w:r>
      <w:r>
        <w:rPr>
          <w:rFonts w:hint="eastAsia" w:ascii="Times New Roman" w:hAnsi="Times New Roman" w:eastAsia="宋体" w:cs="Times New Roman"/>
          <w:color w:val="auto"/>
          <w:lang w:val="en-US" w:eastAsia="zh-CN"/>
        </w:rPr>
        <w:t>0</w:t>
      </w:r>
      <w:r>
        <w:rPr>
          <w:rFonts w:hint="default" w:ascii="Times New Roman" w:hAnsi="Times New Roman" w:eastAsia="宋体" w:cs="Times New Roman"/>
          <w:color w:val="auto"/>
        </w:rPr>
        <w:t>日起施行</w:t>
      </w:r>
      <w:r>
        <w:rPr>
          <w:rFonts w:hint="eastAsia"/>
          <w:color w:val="auto"/>
        </w:rPr>
        <w:t>）</w:t>
      </w:r>
      <w:r>
        <w:rPr>
          <w:rFonts w:hint="eastAsia" w:cs="宋体"/>
          <w:color w:val="auto"/>
          <w:lang w:eastAsia="zh-CN"/>
        </w:rPr>
        <w:t>；</w:t>
      </w:r>
    </w:p>
    <w:p>
      <w:pPr>
        <w:pStyle w:val="19"/>
        <w:numPr>
          <w:ilvl w:val="0"/>
          <w:numId w:val="0"/>
        </w:numPr>
        <w:tabs>
          <w:tab w:val="left" w:pos="0"/>
          <w:tab w:val="left" w:pos="420"/>
        </w:tabs>
        <w:spacing w:line="360" w:lineRule="auto"/>
        <w:ind w:firstLine="480" w:firstLineChars="200"/>
        <w:rPr>
          <w:rFonts w:hint="eastAsia" w:eastAsia="宋体"/>
          <w:color w:val="auto"/>
          <w:kern w:val="0"/>
          <w:lang w:eastAsia="zh-CN"/>
        </w:rPr>
      </w:pPr>
      <w:r>
        <w:rPr>
          <w:rFonts w:hint="eastAsia"/>
          <w:color w:val="auto"/>
          <w:kern w:val="0"/>
          <w:lang w:eastAsia="zh-CN"/>
        </w:rPr>
        <w:t>（</w:t>
      </w:r>
      <w:r>
        <w:rPr>
          <w:rFonts w:hint="eastAsia"/>
          <w:color w:val="auto"/>
          <w:kern w:val="0"/>
          <w:lang w:val="en-US" w:eastAsia="zh-CN"/>
        </w:rPr>
        <w:t>6</w:t>
      </w:r>
      <w:r>
        <w:rPr>
          <w:rFonts w:hint="eastAsia"/>
          <w:color w:val="auto"/>
          <w:kern w:val="0"/>
          <w:lang w:eastAsia="zh-CN"/>
        </w:rPr>
        <w:t>）</w:t>
      </w:r>
      <w:r>
        <w:rPr>
          <w:color w:val="auto"/>
          <w:kern w:val="0"/>
        </w:rPr>
        <w:t>《水污染防治行动计划》</w:t>
      </w:r>
      <w:r>
        <w:rPr>
          <w:rFonts w:hint="eastAsia"/>
          <w:color w:val="auto"/>
          <w:kern w:val="0"/>
          <w:lang w:eastAsia="zh-CN"/>
        </w:rPr>
        <w:t>（</w:t>
      </w:r>
      <w:r>
        <w:rPr>
          <w:color w:val="auto"/>
          <w:kern w:val="0"/>
        </w:rPr>
        <w:t>中华人民共和国国务院，国发【2015】17号文，2015</w:t>
      </w:r>
      <w:r>
        <w:rPr>
          <w:rFonts w:hint="eastAsia"/>
          <w:color w:val="auto"/>
          <w:kern w:val="0"/>
          <w:lang w:eastAsia="zh-CN"/>
        </w:rPr>
        <w:t>年</w:t>
      </w:r>
      <w:r>
        <w:rPr>
          <w:color w:val="auto"/>
          <w:kern w:val="0"/>
        </w:rPr>
        <w:t>4</w:t>
      </w:r>
      <w:r>
        <w:rPr>
          <w:rFonts w:hint="eastAsia"/>
          <w:color w:val="auto"/>
          <w:kern w:val="0"/>
          <w:lang w:eastAsia="zh-CN"/>
        </w:rPr>
        <w:t>月</w:t>
      </w:r>
      <w:r>
        <w:rPr>
          <w:color w:val="auto"/>
          <w:kern w:val="0"/>
        </w:rPr>
        <w:t>2</w:t>
      </w:r>
      <w:r>
        <w:rPr>
          <w:rFonts w:hint="eastAsia"/>
          <w:color w:val="auto"/>
          <w:kern w:val="0"/>
          <w:lang w:eastAsia="zh-CN"/>
        </w:rPr>
        <w:t>日</w:t>
      </w:r>
      <w:r>
        <w:rPr>
          <w:color w:val="auto"/>
          <w:kern w:val="0"/>
        </w:rPr>
        <w:t>发布</w:t>
      </w:r>
      <w:r>
        <w:rPr>
          <w:rFonts w:hint="eastAsia"/>
          <w:color w:val="auto"/>
          <w:kern w:val="0"/>
          <w:lang w:eastAsia="zh-CN"/>
        </w:rPr>
        <w:t>）</w:t>
      </w:r>
      <w:r>
        <w:rPr>
          <w:rFonts w:hint="eastAsia" w:cs="宋体"/>
          <w:color w:val="auto"/>
          <w:kern w:val="0"/>
          <w:lang w:eastAsia="zh-CN"/>
        </w:rPr>
        <w:t>；</w:t>
      </w:r>
    </w:p>
    <w:p>
      <w:pPr>
        <w:pStyle w:val="19"/>
        <w:numPr>
          <w:ilvl w:val="0"/>
          <w:numId w:val="0"/>
        </w:numPr>
        <w:tabs>
          <w:tab w:val="left" w:pos="0"/>
          <w:tab w:val="left" w:pos="420"/>
        </w:tabs>
        <w:spacing w:line="360" w:lineRule="auto"/>
        <w:ind w:firstLine="480" w:firstLineChars="200"/>
        <w:rPr>
          <w:rFonts w:hint="eastAsia" w:eastAsia="宋体"/>
          <w:color w:val="auto"/>
          <w:kern w:val="0"/>
          <w:lang w:eastAsia="zh-CN"/>
        </w:rPr>
      </w:pPr>
      <w:r>
        <w:rPr>
          <w:rFonts w:hint="eastAsia"/>
          <w:color w:val="auto"/>
          <w:kern w:val="0"/>
          <w:lang w:eastAsia="zh-CN"/>
        </w:rPr>
        <w:t>（</w:t>
      </w:r>
      <w:r>
        <w:rPr>
          <w:rFonts w:hint="eastAsia"/>
          <w:color w:val="auto"/>
          <w:kern w:val="0"/>
          <w:lang w:val="en-US" w:eastAsia="zh-CN"/>
        </w:rPr>
        <w:t>7</w:t>
      </w:r>
      <w:r>
        <w:rPr>
          <w:rFonts w:hint="eastAsia"/>
          <w:color w:val="auto"/>
          <w:kern w:val="0"/>
          <w:lang w:eastAsia="zh-CN"/>
        </w:rPr>
        <w:t>）</w:t>
      </w:r>
      <w:r>
        <w:rPr>
          <w:color w:val="auto"/>
          <w:kern w:val="0"/>
        </w:rPr>
        <w:t>《大气污染防治行动计划》</w:t>
      </w:r>
      <w:r>
        <w:rPr>
          <w:rFonts w:hint="eastAsia"/>
          <w:color w:val="auto"/>
          <w:kern w:val="0"/>
          <w:lang w:eastAsia="zh-CN"/>
        </w:rPr>
        <w:t>（</w:t>
      </w:r>
      <w:r>
        <w:rPr>
          <w:color w:val="auto"/>
          <w:kern w:val="0"/>
        </w:rPr>
        <w:t>中华人民共和国国务院，国发【2013】37号文，2013</w:t>
      </w:r>
      <w:r>
        <w:rPr>
          <w:rFonts w:hint="eastAsia"/>
          <w:color w:val="auto"/>
          <w:kern w:val="0"/>
          <w:lang w:eastAsia="zh-CN"/>
        </w:rPr>
        <w:t>年</w:t>
      </w:r>
      <w:r>
        <w:rPr>
          <w:color w:val="auto"/>
          <w:kern w:val="0"/>
        </w:rPr>
        <w:t>9</w:t>
      </w:r>
      <w:r>
        <w:rPr>
          <w:rFonts w:hint="eastAsia"/>
          <w:color w:val="auto"/>
          <w:kern w:val="0"/>
          <w:lang w:eastAsia="zh-CN"/>
        </w:rPr>
        <w:t>月</w:t>
      </w:r>
      <w:r>
        <w:rPr>
          <w:color w:val="auto"/>
          <w:kern w:val="0"/>
        </w:rPr>
        <w:t>10</w:t>
      </w:r>
      <w:r>
        <w:rPr>
          <w:rFonts w:hint="eastAsia"/>
          <w:color w:val="auto"/>
          <w:kern w:val="0"/>
          <w:lang w:eastAsia="zh-CN"/>
        </w:rPr>
        <w:t>日</w:t>
      </w:r>
      <w:r>
        <w:rPr>
          <w:color w:val="auto"/>
          <w:kern w:val="0"/>
        </w:rPr>
        <w:t>发布</w:t>
      </w:r>
      <w:r>
        <w:rPr>
          <w:rFonts w:hint="eastAsia"/>
          <w:color w:val="auto"/>
          <w:kern w:val="0"/>
          <w:lang w:eastAsia="zh-CN"/>
        </w:rPr>
        <w:t>）</w:t>
      </w:r>
      <w:r>
        <w:rPr>
          <w:rFonts w:hint="eastAsia" w:cs="宋体"/>
          <w:color w:val="auto"/>
          <w:kern w:val="0"/>
          <w:lang w:eastAsia="zh-CN"/>
        </w:rPr>
        <w:t>；</w:t>
      </w:r>
    </w:p>
    <w:p>
      <w:pPr>
        <w:numPr>
          <w:ilvl w:val="0"/>
          <w:numId w:val="0"/>
        </w:numPr>
        <w:tabs>
          <w:tab w:val="left" w:pos="0"/>
          <w:tab w:val="left" w:pos="420"/>
        </w:tabs>
        <w:spacing w:line="360" w:lineRule="auto"/>
        <w:ind w:firstLine="480" w:firstLineChars="200"/>
        <w:rPr>
          <w:rFonts w:hint="eastAsia" w:eastAsia="宋体"/>
          <w:color w:val="auto"/>
          <w:kern w:val="0"/>
          <w:lang w:eastAsia="zh-CN"/>
        </w:rPr>
      </w:pPr>
      <w:r>
        <w:rPr>
          <w:rFonts w:hint="eastAsia"/>
          <w:color w:val="auto"/>
          <w:kern w:val="0"/>
          <w:lang w:eastAsia="zh-CN"/>
        </w:rPr>
        <w:t>（</w:t>
      </w:r>
      <w:r>
        <w:rPr>
          <w:rFonts w:hint="eastAsia"/>
          <w:color w:val="auto"/>
          <w:kern w:val="0"/>
          <w:lang w:val="en-US" w:eastAsia="zh-CN"/>
        </w:rPr>
        <w:t>8</w:t>
      </w:r>
      <w:r>
        <w:rPr>
          <w:rFonts w:hint="eastAsia"/>
          <w:color w:val="auto"/>
          <w:kern w:val="0"/>
          <w:lang w:eastAsia="zh-CN"/>
        </w:rPr>
        <w:t>）</w:t>
      </w:r>
      <w:r>
        <w:rPr>
          <w:color w:val="auto"/>
          <w:kern w:val="0"/>
        </w:rPr>
        <w:t>《土壤污染防治行动计划》</w:t>
      </w:r>
      <w:r>
        <w:rPr>
          <w:rFonts w:hint="eastAsia"/>
          <w:color w:val="auto"/>
          <w:kern w:val="0"/>
          <w:lang w:eastAsia="zh-CN"/>
        </w:rPr>
        <w:t>（</w:t>
      </w:r>
      <w:r>
        <w:rPr>
          <w:color w:val="auto"/>
          <w:kern w:val="0"/>
        </w:rPr>
        <w:t>中华人民共和国国务院，国发【2016】31号，2016年5月28日发布</w:t>
      </w:r>
      <w:r>
        <w:rPr>
          <w:rFonts w:hint="eastAsia"/>
          <w:color w:val="auto"/>
          <w:kern w:val="0"/>
          <w:lang w:eastAsia="zh-CN"/>
        </w:rPr>
        <w:t>）</w:t>
      </w:r>
      <w:r>
        <w:rPr>
          <w:rFonts w:hint="eastAsia" w:cs="宋体"/>
          <w:color w:val="auto"/>
          <w:kern w:val="0"/>
          <w:lang w:eastAsia="zh-CN"/>
        </w:rPr>
        <w:t>；</w:t>
      </w:r>
    </w:p>
    <w:p>
      <w:pPr>
        <w:numPr>
          <w:ilvl w:val="0"/>
          <w:numId w:val="0"/>
        </w:numPr>
        <w:tabs>
          <w:tab w:val="left" w:pos="0"/>
          <w:tab w:val="left" w:pos="420"/>
        </w:tabs>
        <w:spacing w:line="360" w:lineRule="auto"/>
        <w:ind w:firstLine="480" w:firstLineChars="200"/>
        <w:rPr>
          <w:color w:val="auto"/>
        </w:rPr>
      </w:pPr>
      <w:r>
        <w:rPr>
          <w:rFonts w:hint="eastAsia"/>
          <w:color w:val="auto"/>
          <w:kern w:val="0"/>
          <w:lang w:val="en-US" w:eastAsia="zh-CN"/>
        </w:rPr>
        <w:t>（9）</w:t>
      </w:r>
      <w:r>
        <w:rPr>
          <w:color w:val="auto"/>
        </w:rPr>
        <w:t>《产业结构调整指导目录（201</w:t>
      </w:r>
      <w:r>
        <w:rPr>
          <w:rFonts w:hint="eastAsia"/>
          <w:color w:val="auto"/>
          <w:lang w:val="en-US" w:eastAsia="zh-CN"/>
        </w:rPr>
        <w:t>9</w:t>
      </w:r>
      <w:r>
        <w:rPr>
          <w:color w:val="auto"/>
        </w:rPr>
        <w:t>年本）</w:t>
      </w:r>
      <w:r>
        <w:rPr>
          <w:rFonts w:hint="eastAsia"/>
          <w:color w:val="auto"/>
          <w:kern w:val="0"/>
          <w:lang w:val="en-US" w:eastAsia="zh-CN"/>
        </w:rPr>
        <w:t>》（</w:t>
      </w:r>
      <w:r>
        <w:rPr>
          <w:color w:val="auto"/>
        </w:rPr>
        <w:t>国家发改委201</w:t>
      </w:r>
      <w:r>
        <w:rPr>
          <w:rFonts w:hint="eastAsia"/>
          <w:color w:val="auto"/>
          <w:lang w:val="en-US" w:eastAsia="zh-CN"/>
        </w:rPr>
        <w:t>9</w:t>
      </w:r>
      <w:r>
        <w:rPr>
          <w:color w:val="auto"/>
        </w:rPr>
        <w:t>年第</w:t>
      </w:r>
      <w:r>
        <w:rPr>
          <w:rFonts w:hint="eastAsia"/>
          <w:color w:val="auto"/>
          <w:lang w:val="en-US" w:eastAsia="zh-CN"/>
        </w:rPr>
        <w:t>29</w:t>
      </w:r>
      <w:r>
        <w:rPr>
          <w:color w:val="auto"/>
        </w:rPr>
        <w:t>号令，20</w:t>
      </w:r>
      <w:r>
        <w:rPr>
          <w:rFonts w:hint="eastAsia"/>
          <w:color w:val="auto"/>
          <w:lang w:val="en-US" w:eastAsia="zh-CN"/>
        </w:rPr>
        <w:t>19</w:t>
      </w:r>
      <w:r>
        <w:rPr>
          <w:color w:val="auto"/>
        </w:rPr>
        <w:t>年</w:t>
      </w:r>
      <w:r>
        <w:rPr>
          <w:rFonts w:hint="eastAsia"/>
          <w:color w:val="auto"/>
          <w:lang w:val="en-US" w:eastAsia="zh-CN"/>
        </w:rPr>
        <w:t>10</w:t>
      </w:r>
      <w:r>
        <w:rPr>
          <w:color w:val="auto"/>
        </w:rPr>
        <w:t>月</w:t>
      </w:r>
      <w:r>
        <w:rPr>
          <w:rFonts w:hint="eastAsia"/>
          <w:color w:val="auto"/>
          <w:lang w:val="en-US" w:eastAsia="zh-CN"/>
        </w:rPr>
        <w:t>30</w:t>
      </w:r>
      <w:r>
        <w:rPr>
          <w:color w:val="auto"/>
        </w:rPr>
        <w:t>日</w:t>
      </w:r>
      <w:r>
        <w:rPr>
          <w:rFonts w:hint="eastAsia"/>
          <w:color w:val="auto"/>
          <w:lang w:val="en-US" w:eastAsia="zh-CN"/>
        </w:rPr>
        <w:t>发布</w:t>
      </w:r>
      <w:r>
        <w:rPr>
          <w:rFonts w:hint="eastAsia"/>
          <w:color w:val="auto"/>
          <w:kern w:val="0"/>
          <w:lang w:val="en-US" w:eastAsia="zh-CN"/>
        </w:rPr>
        <w:t>）；</w:t>
      </w:r>
    </w:p>
    <w:p>
      <w:pPr>
        <w:spacing w:line="360" w:lineRule="auto"/>
        <w:ind w:firstLine="480"/>
        <w:rPr>
          <w:rFonts w:hint="eastAsia" w:eastAsia="宋体"/>
          <w:color w:val="auto"/>
          <w:lang w:eastAsia="zh-CN"/>
        </w:rPr>
      </w:pPr>
      <w:r>
        <w:rPr>
          <w:color w:val="auto"/>
        </w:rPr>
        <w:t>（</w:t>
      </w:r>
      <w:r>
        <w:rPr>
          <w:rFonts w:hint="eastAsia"/>
          <w:color w:val="auto"/>
          <w:lang w:val="en-US" w:eastAsia="zh-CN"/>
        </w:rPr>
        <w:t>10</w:t>
      </w:r>
      <w:r>
        <w:rPr>
          <w:color w:val="auto"/>
        </w:rPr>
        <w:t>）</w:t>
      </w:r>
      <w:r>
        <w:rPr>
          <w:rFonts w:hint="eastAsia"/>
          <w:color w:val="auto"/>
          <w:lang w:eastAsia="zh-CN"/>
        </w:rPr>
        <w:t>《关于印发医疗机构废弃物综合治理工作方案的通知》（国卫医发〔2020〕3号 ）</w:t>
      </w:r>
      <w:r>
        <w:rPr>
          <w:rFonts w:hint="eastAsia" w:cs="宋体"/>
          <w:color w:val="auto"/>
          <w:lang w:eastAsia="zh-CN"/>
        </w:rPr>
        <w:t>；</w:t>
      </w:r>
    </w:p>
    <w:p>
      <w:pPr>
        <w:spacing w:line="360" w:lineRule="auto"/>
        <w:ind w:firstLine="480"/>
        <w:rPr>
          <w:rFonts w:hint="eastAsia" w:eastAsia="宋体"/>
          <w:color w:val="auto"/>
          <w:lang w:eastAsia="zh-CN"/>
        </w:rPr>
      </w:pPr>
      <w:r>
        <w:rPr>
          <w:rFonts w:hint="eastAsia"/>
          <w:color w:val="auto"/>
        </w:rPr>
        <w:t>（1</w:t>
      </w:r>
      <w:r>
        <w:rPr>
          <w:rFonts w:hint="eastAsia"/>
          <w:color w:val="auto"/>
          <w:lang w:val="en-US" w:eastAsia="zh-CN"/>
        </w:rPr>
        <w:t>1</w:t>
      </w:r>
      <w:r>
        <w:rPr>
          <w:rFonts w:hint="eastAsia"/>
          <w:color w:val="auto"/>
        </w:rPr>
        <w:t>）《医疗废物管理条例》</w:t>
      </w:r>
      <w:r>
        <w:rPr>
          <w:rFonts w:hint="eastAsia"/>
          <w:color w:val="auto"/>
          <w:lang w:eastAsia="zh-CN"/>
        </w:rPr>
        <w:t>（</w:t>
      </w:r>
      <w:r>
        <w:rPr>
          <w:rFonts w:hint="eastAsia"/>
          <w:color w:val="auto"/>
        </w:rPr>
        <w:t>国务院[2003]第380号令</w:t>
      </w:r>
      <w:r>
        <w:rPr>
          <w:rFonts w:hint="eastAsia"/>
          <w:color w:val="auto"/>
          <w:lang w:eastAsia="zh-CN"/>
        </w:rPr>
        <w:t>，</w:t>
      </w:r>
      <w:r>
        <w:rPr>
          <w:rFonts w:hint="eastAsia"/>
          <w:color w:val="auto"/>
          <w:lang w:val="en-US" w:eastAsia="zh-CN"/>
        </w:rPr>
        <w:t>2011年修订</w:t>
      </w:r>
      <w:r>
        <w:rPr>
          <w:rFonts w:hint="eastAsia"/>
          <w:color w:val="auto"/>
          <w:lang w:eastAsia="zh-CN"/>
        </w:rPr>
        <w:t>）</w:t>
      </w:r>
      <w:r>
        <w:rPr>
          <w:rFonts w:hint="eastAsia" w:cs="宋体"/>
          <w:color w:val="auto"/>
          <w:lang w:eastAsia="zh-CN"/>
        </w:rPr>
        <w:t>；</w:t>
      </w:r>
    </w:p>
    <w:p>
      <w:pPr>
        <w:spacing w:line="360" w:lineRule="auto"/>
        <w:ind w:firstLine="480"/>
        <w:rPr>
          <w:rFonts w:hint="eastAsia" w:eastAsia="宋体"/>
          <w:color w:val="auto"/>
          <w:lang w:eastAsia="zh-CN"/>
        </w:rPr>
      </w:pPr>
      <w:r>
        <w:rPr>
          <w:rFonts w:hint="eastAsia"/>
          <w:color w:val="auto"/>
        </w:rPr>
        <w:t>（1</w:t>
      </w:r>
      <w:r>
        <w:rPr>
          <w:rFonts w:hint="eastAsia"/>
          <w:color w:val="auto"/>
          <w:lang w:val="en-US" w:eastAsia="zh-CN"/>
        </w:rPr>
        <w:t>2</w:t>
      </w:r>
      <w:r>
        <w:rPr>
          <w:rFonts w:hint="eastAsia"/>
          <w:color w:val="auto"/>
        </w:rPr>
        <w:t>）《医疗卫生机构医疗废物管理办法》</w:t>
      </w:r>
      <w:r>
        <w:rPr>
          <w:rFonts w:hint="eastAsia"/>
          <w:color w:val="auto"/>
          <w:lang w:eastAsia="zh-CN"/>
        </w:rPr>
        <w:t>（</w:t>
      </w:r>
      <w:r>
        <w:rPr>
          <w:rFonts w:hint="eastAsia"/>
          <w:color w:val="auto"/>
        </w:rPr>
        <w:t>卫生部[2003]第36号令</w:t>
      </w:r>
      <w:r>
        <w:rPr>
          <w:rFonts w:hint="eastAsia"/>
          <w:color w:val="auto"/>
          <w:lang w:eastAsia="zh-CN"/>
        </w:rPr>
        <w:t>）</w:t>
      </w:r>
      <w:r>
        <w:rPr>
          <w:rFonts w:hint="eastAsia" w:cs="宋体"/>
          <w:color w:val="auto"/>
          <w:lang w:eastAsia="zh-CN"/>
        </w:rPr>
        <w:t>；</w:t>
      </w:r>
    </w:p>
    <w:p>
      <w:pPr>
        <w:spacing w:line="360" w:lineRule="auto"/>
        <w:ind w:firstLine="480"/>
        <w:rPr>
          <w:rFonts w:hint="eastAsia"/>
          <w:color w:val="auto"/>
          <w:lang w:eastAsia="zh-CN"/>
        </w:rPr>
      </w:pPr>
      <w:r>
        <w:rPr>
          <w:rFonts w:hint="eastAsia"/>
          <w:color w:val="auto"/>
        </w:rPr>
        <w:t>（1</w:t>
      </w:r>
      <w:r>
        <w:rPr>
          <w:rFonts w:hint="eastAsia"/>
          <w:color w:val="auto"/>
          <w:lang w:val="en-US" w:eastAsia="zh-CN"/>
        </w:rPr>
        <w:t>3</w:t>
      </w:r>
      <w:r>
        <w:rPr>
          <w:rFonts w:hint="eastAsia"/>
          <w:color w:val="auto"/>
        </w:rPr>
        <w:t>）《关于以改善环境质量为核心加强环境影响评价管理的通知》（环境保护部环环评[2016]150号</w:t>
      </w:r>
      <w:r>
        <w:rPr>
          <w:rFonts w:hint="eastAsia"/>
          <w:color w:val="auto"/>
          <w:lang w:eastAsia="zh-CN"/>
        </w:rPr>
        <w:t>，</w:t>
      </w:r>
      <w:r>
        <w:rPr>
          <w:rFonts w:hint="eastAsia"/>
          <w:color w:val="auto"/>
        </w:rPr>
        <w:t>2016</w:t>
      </w:r>
      <w:r>
        <w:rPr>
          <w:rFonts w:hint="eastAsia"/>
          <w:color w:val="auto"/>
          <w:lang w:eastAsia="zh-CN"/>
        </w:rPr>
        <w:t>年</w:t>
      </w:r>
      <w:r>
        <w:rPr>
          <w:rFonts w:hint="eastAsia"/>
          <w:color w:val="auto"/>
        </w:rPr>
        <w:t>10</w:t>
      </w:r>
      <w:r>
        <w:rPr>
          <w:rFonts w:hint="eastAsia"/>
          <w:color w:val="auto"/>
          <w:lang w:eastAsia="zh-CN"/>
        </w:rPr>
        <w:t>月</w:t>
      </w:r>
      <w:r>
        <w:rPr>
          <w:rFonts w:hint="eastAsia"/>
          <w:color w:val="auto"/>
        </w:rPr>
        <w:t>26</w:t>
      </w:r>
      <w:r>
        <w:rPr>
          <w:rFonts w:hint="eastAsia"/>
          <w:color w:val="auto"/>
          <w:kern w:val="0"/>
          <w:lang w:val="en-US" w:eastAsia="zh-CN"/>
        </w:rPr>
        <w:t>日发布</w:t>
      </w:r>
      <w:r>
        <w:rPr>
          <w:rFonts w:hint="eastAsia"/>
          <w:color w:val="auto"/>
        </w:rPr>
        <w:t>）</w:t>
      </w:r>
      <w:r>
        <w:rPr>
          <w:rFonts w:hint="eastAsia"/>
          <w:color w:val="auto"/>
          <w:lang w:eastAsia="zh-CN"/>
        </w:rPr>
        <w:t>；</w:t>
      </w:r>
    </w:p>
    <w:p>
      <w:pPr>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14</w:t>
      </w:r>
      <w:r>
        <w:rPr>
          <w:rFonts w:hint="eastAsia"/>
          <w:color w:val="auto"/>
          <w:lang w:eastAsia="zh-CN"/>
        </w:rPr>
        <w:t>）《排污许可证申请与核发技术规范 医疗机构》（HJ 1105-2020）；</w:t>
      </w:r>
    </w:p>
    <w:p>
      <w:pPr>
        <w:spacing w:line="360" w:lineRule="auto"/>
        <w:ind w:firstLine="480"/>
        <w:rPr>
          <w:rFonts w:hint="eastAsia" w:eastAsia="宋体"/>
          <w:color w:val="auto"/>
          <w:lang w:eastAsia="zh-CN"/>
        </w:rPr>
      </w:pPr>
      <w:r>
        <w:rPr>
          <w:rFonts w:hint="eastAsia"/>
          <w:color w:val="auto"/>
          <w:lang w:eastAsia="zh-CN"/>
        </w:rPr>
        <w:t>（</w:t>
      </w:r>
      <w:r>
        <w:rPr>
          <w:rFonts w:hint="eastAsia"/>
          <w:color w:val="auto"/>
          <w:lang w:val="en-US" w:eastAsia="zh-CN"/>
        </w:rPr>
        <w:t>15</w:t>
      </w:r>
      <w:r>
        <w:rPr>
          <w:rFonts w:hint="eastAsia"/>
          <w:color w:val="auto"/>
          <w:lang w:eastAsia="zh-CN"/>
        </w:rPr>
        <w:t>）《排污许可证申请与核发技术规范 锅炉》（HJ953-2018）。</w:t>
      </w:r>
    </w:p>
    <w:p>
      <w:pPr>
        <w:pStyle w:val="5"/>
        <w:spacing w:before="120"/>
        <w:ind w:left="480"/>
        <w:rPr>
          <w:rFonts w:hint="eastAsia"/>
          <w:color w:val="auto"/>
        </w:rPr>
      </w:pPr>
      <w:r>
        <w:rPr>
          <w:rFonts w:hint="eastAsia"/>
          <w:color w:val="auto"/>
        </w:rPr>
        <w:t>地方行政法规</w:t>
      </w:r>
    </w:p>
    <w:p>
      <w:pPr>
        <w:pStyle w:val="341"/>
        <w:rPr>
          <w:color w:val="auto"/>
        </w:rPr>
      </w:pPr>
      <w:r>
        <w:rPr>
          <w:rFonts w:hint="eastAsia"/>
          <w:color w:val="auto"/>
        </w:rPr>
        <w:t>（</w:t>
      </w:r>
      <w:r>
        <w:rPr>
          <w:color w:val="auto"/>
        </w:rPr>
        <w:t>1</w:t>
      </w:r>
      <w:r>
        <w:rPr>
          <w:rFonts w:hint="eastAsia"/>
          <w:color w:val="auto"/>
        </w:rPr>
        <w:t>）《安徽省环境保护条例》，2018年01月01日实施；</w:t>
      </w:r>
    </w:p>
    <w:p>
      <w:pPr>
        <w:pStyle w:val="341"/>
        <w:rPr>
          <w:color w:val="auto"/>
        </w:rPr>
      </w:pPr>
      <w:r>
        <w:rPr>
          <w:rFonts w:hint="eastAsia"/>
          <w:color w:val="auto"/>
        </w:rPr>
        <w:t>（</w:t>
      </w:r>
      <w:r>
        <w:rPr>
          <w:color w:val="auto"/>
        </w:rPr>
        <w:t>2</w:t>
      </w:r>
      <w:r>
        <w:rPr>
          <w:rFonts w:hint="eastAsia"/>
          <w:color w:val="auto"/>
        </w:rPr>
        <w:t>）《安徽省大气污染防治条例》，2018年11月01日实施；</w:t>
      </w:r>
    </w:p>
    <w:p>
      <w:pPr>
        <w:pStyle w:val="341"/>
        <w:rPr>
          <w:color w:val="auto"/>
        </w:rPr>
      </w:pPr>
      <w:r>
        <w:rPr>
          <w:rFonts w:hint="eastAsia"/>
          <w:color w:val="auto"/>
        </w:rPr>
        <w:t>（</w:t>
      </w:r>
      <w:r>
        <w:rPr>
          <w:color w:val="auto"/>
        </w:rPr>
        <w:t>3</w:t>
      </w:r>
      <w:r>
        <w:rPr>
          <w:rFonts w:hint="eastAsia"/>
          <w:color w:val="auto"/>
        </w:rPr>
        <w:t>）《安徽省人民政府关于印发安徽省大气污染防治行动计划实施方案的通知》，皖政[[2013]89号，2013年12月30日；</w:t>
      </w:r>
    </w:p>
    <w:p>
      <w:pPr>
        <w:pStyle w:val="341"/>
        <w:rPr>
          <w:color w:val="auto"/>
        </w:rPr>
      </w:pPr>
      <w:r>
        <w:rPr>
          <w:rFonts w:hint="eastAsia"/>
          <w:color w:val="auto"/>
        </w:rPr>
        <w:t>（</w:t>
      </w:r>
      <w:r>
        <w:rPr>
          <w:color w:val="auto"/>
        </w:rPr>
        <w:t>4</w:t>
      </w:r>
      <w:r>
        <w:rPr>
          <w:rFonts w:hint="eastAsia"/>
          <w:color w:val="auto"/>
        </w:rPr>
        <w:t>）《安徽省人民政府关于同意实施安徽省水环境功能区划的批复》，皖政秘[2004]7号，2004年3月；</w:t>
      </w:r>
    </w:p>
    <w:p>
      <w:pPr>
        <w:pStyle w:val="341"/>
        <w:rPr>
          <w:color w:val="auto"/>
        </w:rPr>
      </w:pPr>
      <w:r>
        <w:rPr>
          <w:rFonts w:hint="eastAsia"/>
          <w:color w:val="auto"/>
        </w:rPr>
        <w:t>（</w:t>
      </w:r>
      <w:r>
        <w:rPr>
          <w:color w:val="auto"/>
        </w:rPr>
        <w:t>5</w:t>
      </w:r>
      <w:r>
        <w:rPr>
          <w:rFonts w:hint="eastAsia"/>
          <w:color w:val="auto"/>
        </w:rPr>
        <w:t>）《安徽省工业产业结构调整指导目录（2007年本）》，2007年10月11日；</w:t>
      </w:r>
    </w:p>
    <w:p>
      <w:pPr>
        <w:pStyle w:val="341"/>
        <w:rPr>
          <w:color w:val="auto"/>
        </w:rPr>
      </w:pPr>
      <w:r>
        <w:rPr>
          <w:rFonts w:hint="eastAsia"/>
          <w:color w:val="auto"/>
        </w:rPr>
        <w:t>（</w:t>
      </w:r>
      <w:r>
        <w:rPr>
          <w:color w:val="auto"/>
        </w:rPr>
        <w:t>6</w:t>
      </w:r>
      <w:r>
        <w:rPr>
          <w:rFonts w:hint="eastAsia"/>
          <w:color w:val="auto"/>
        </w:rPr>
        <w:t>）《安徽省污染源排放口规范化整治管理办法》，环法函[2005]114号，2005年</w:t>
      </w:r>
      <w:r>
        <w:rPr>
          <w:color w:val="auto"/>
        </w:rPr>
        <w:t>0</w:t>
      </w:r>
      <w:r>
        <w:rPr>
          <w:rFonts w:hint="eastAsia"/>
          <w:color w:val="auto"/>
        </w:rPr>
        <w:t>3月17日；</w:t>
      </w:r>
    </w:p>
    <w:p>
      <w:pPr>
        <w:pStyle w:val="341"/>
        <w:rPr>
          <w:color w:val="auto"/>
        </w:rPr>
      </w:pPr>
      <w:r>
        <w:rPr>
          <w:rFonts w:hint="eastAsia"/>
          <w:color w:val="auto"/>
        </w:rPr>
        <w:t>（</w:t>
      </w:r>
      <w:r>
        <w:rPr>
          <w:color w:val="auto"/>
        </w:rPr>
        <w:t>7</w:t>
      </w:r>
      <w:r>
        <w:rPr>
          <w:rFonts w:hint="eastAsia"/>
          <w:color w:val="auto"/>
        </w:rPr>
        <w:t>）《安徽省人民政府办公厅关于加强建设项目环境影响评价工作的通知》，皖政办[2010]27号，2011年04月12日；</w:t>
      </w:r>
    </w:p>
    <w:p>
      <w:pPr>
        <w:pStyle w:val="341"/>
        <w:rPr>
          <w:color w:val="auto"/>
        </w:rPr>
      </w:pPr>
      <w:r>
        <w:rPr>
          <w:rFonts w:hint="eastAsia"/>
          <w:color w:val="auto"/>
        </w:rPr>
        <w:t>（</w:t>
      </w:r>
      <w:r>
        <w:rPr>
          <w:color w:val="auto"/>
        </w:rPr>
        <w:t>8</w:t>
      </w:r>
      <w:r>
        <w:rPr>
          <w:rFonts w:hint="eastAsia"/>
          <w:color w:val="auto"/>
        </w:rPr>
        <w:t>）《关于切实加强环境影响评价监督管理工作的通知和关于印发建设项目环境影响评价政府信息公开指南（试行）的通知》，皖环函[2013]1533号，2013年12月23日；</w:t>
      </w:r>
    </w:p>
    <w:p>
      <w:pPr>
        <w:pStyle w:val="341"/>
        <w:rPr>
          <w:color w:val="auto"/>
        </w:rPr>
      </w:pPr>
      <w:r>
        <w:rPr>
          <w:rFonts w:hint="eastAsia"/>
          <w:color w:val="auto"/>
        </w:rPr>
        <w:t>（</w:t>
      </w:r>
      <w:r>
        <w:rPr>
          <w:color w:val="auto"/>
        </w:rPr>
        <w:t>9</w:t>
      </w:r>
      <w:r>
        <w:rPr>
          <w:rFonts w:hint="eastAsia"/>
          <w:color w:val="auto"/>
        </w:rPr>
        <w:t>）《关于加强建设项目环境影响评价及环保竣工验收公众参与工作的通知》，安徽省环境保护厅，2013年10月18日；</w:t>
      </w:r>
    </w:p>
    <w:p>
      <w:pPr>
        <w:pStyle w:val="341"/>
        <w:rPr>
          <w:color w:val="auto"/>
        </w:rPr>
      </w:pPr>
      <w:r>
        <w:rPr>
          <w:rFonts w:hint="eastAsia"/>
          <w:color w:val="auto"/>
        </w:rPr>
        <w:t>（</w:t>
      </w:r>
      <w:r>
        <w:rPr>
          <w:color w:val="auto"/>
        </w:rPr>
        <w:t>10</w:t>
      </w:r>
      <w:r>
        <w:rPr>
          <w:rFonts w:hint="eastAsia"/>
          <w:color w:val="auto"/>
        </w:rPr>
        <w:t>）《安徽省建设项目环境影响评价文件审批目录（201</w:t>
      </w:r>
      <w:r>
        <w:rPr>
          <w:color w:val="auto"/>
        </w:rPr>
        <w:t>9</w:t>
      </w:r>
      <w:r>
        <w:rPr>
          <w:rFonts w:hint="eastAsia"/>
          <w:color w:val="auto"/>
        </w:rPr>
        <w:t>年本）》，2</w:t>
      </w:r>
      <w:r>
        <w:rPr>
          <w:color w:val="auto"/>
        </w:rPr>
        <w:t>019</w:t>
      </w:r>
      <w:r>
        <w:rPr>
          <w:rFonts w:hint="eastAsia"/>
          <w:color w:val="auto"/>
        </w:rPr>
        <w:t>年1</w:t>
      </w:r>
      <w:r>
        <w:rPr>
          <w:color w:val="auto"/>
        </w:rPr>
        <w:t>1</w:t>
      </w:r>
      <w:r>
        <w:rPr>
          <w:rFonts w:hint="eastAsia"/>
          <w:color w:val="auto"/>
        </w:rPr>
        <w:t>月2</w:t>
      </w:r>
      <w:r>
        <w:rPr>
          <w:color w:val="auto"/>
        </w:rPr>
        <w:t>2</w:t>
      </w:r>
      <w:r>
        <w:rPr>
          <w:rFonts w:hint="eastAsia"/>
          <w:color w:val="auto"/>
        </w:rPr>
        <w:t>日；</w:t>
      </w:r>
    </w:p>
    <w:p>
      <w:pPr>
        <w:pStyle w:val="341"/>
        <w:rPr>
          <w:color w:val="auto"/>
        </w:rPr>
      </w:pPr>
      <w:r>
        <w:rPr>
          <w:rFonts w:hint="eastAsia"/>
          <w:color w:val="auto"/>
        </w:rPr>
        <w:t>（</w:t>
      </w:r>
      <w:r>
        <w:rPr>
          <w:color w:val="auto"/>
        </w:rPr>
        <w:t>11</w:t>
      </w:r>
      <w:r>
        <w:rPr>
          <w:rFonts w:hint="eastAsia"/>
          <w:color w:val="auto"/>
        </w:rPr>
        <w:t>）《安徽省环保厅关于进一步加强建设项目新增大气主要污染物总量指标管理工作的通知》，皖环发[2017]19号，2017年</w:t>
      </w:r>
      <w:r>
        <w:rPr>
          <w:color w:val="auto"/>
        </w:rPr>
        <w:t>0</w:t>
      </w:r>
      <w:r>
        <w:rPr>
          <w:rFonts w:hint="eastAsia"/>
          <w:color w:val="auto"/>
        </w:rPr>
        <w:t>3月28日；</w:t>
      </w:r>
    </w:p>
    <w:p>
      <w:pPr>
        <w:pStyle w:val="341"/>
        <w:rPr>
          <w:color w:val="auto"/>
        </w:rPr>
      </w:pPr>
      <w:r>
        <w:rPr>
          <w:rFonts w:hint="eastAsia"/>
          <w:color w:val="auto"/>
        </w:rPr>
        <w:t>（</w:t>
      </w:r>
      <w:r>
        <w:rPr>
          <w:color w:val="auto"/>
        </w:rPr>
        <w:t>12</w:t>
      </w:r>
      <w:r>
        <w:rPr>
          <w:rFonts w:hint="eastAsia"/>
          <w:color w:val="auto"/>
        </w:rPr>
        <w:t>）《安徽省重点控制区域执行大气污染物特别排放限值公告》，皖环函[2017]1341号，2</w:t>
      </w:r>
      <w:r>
        <w:rPr>
          <w:color w:val="auto"/>
        </w:rPr>
        <w:t>017</w:t>
      </w:r>
      <w:r>
        <w:rPr>
          <w:rFonts w:hint="eastAsia"/>
          <w:color w:val="auto"/>
        </w:rPr>
        <w:t>年1</w:t>
      </w:r>
      <w:r>
        <w:rPr>
          <w:color w:val="auto"/>
        </w:rPr>
        <w:t>1</w:t>
      </w:r>
      <w:r>
        <w:rPr>
          <w:rFonts w:hint="eastAsia"/>
          <w:color w:val="auto"/>
        </w:rPr>
        <w:t>月1</w:t>
      </w:r>
      <w:r>
        <w:rPr>
          <w:color w:val="auto"/>
        </w:rPr>
        <w:t>0</w:t>
      </w:r>
      <w:r>
        <w:rPr>
          <w:rFonts w:hint="eastAsia"/>
          <w:color w:val="auto"/>
        </w:rPr>
        <w:t>日；</w:t>
      </w:r>
    </w:p>
    <w:p>
      <w:pPr>
        <w:pStyle w:val="341"/>
        <w:rPr>
          <w:rFonts w:ascii="Arial" w:hAnsi="Arial"/>
          <w:color w:val="auto"/>
        </w:rPr>
      </w:pPr>
      <w:r>
        <w:rPr>
          <w:color w:val="auto"/>
        </w:rPr>
        <w:t>（13）《安徽省实施&lt;中华人民共和国固体废物污染环境防治法&gt;办法》</w:t>
      </w:r>
      <w:r>
        <w:rPr>
          <w:rFonts w:hint="eastAsia"/>
          <w:color w:val="auto"/>
        </w:rPr>
        <w:t>，</w:t>
      </w:r>
      <w:r>
        <w:rPr>
          <w:rFonts w:ascii="Arial" w:hAnsi="Arial"/>
          <w:color w:val="auto"/>
        </w:rPr>
        <w:t>安徽省人民代表大会常务委员会公告第四十六号</w:t>
      </w:r>
      <w:r>
        <w:rPr>
          <w:rFonts w:hint="eastAsia" w:asciiTheme="minorEastAsia" w:hAnsiTheme="minorEastAsia" w:eastAsiaTheme="minorEastAsia"/>
          <w:color w:val="auto"/>
        </w:rPr>
        <w:t>，</w:t>
      </w:r>
      <w:r>
        <w:rPr>
          <w:rFonts w:ascii="Arial" w:hAnsi="Arial"/>
          <w:color w:val="auto"/>
          <w:shd w:val="clear" w:color="auto" w:fill="FFFFFF"/>
        </w:rPr>
        <w:t>2021年9月1日</w:t>
      </w:r>
      <w:r>
        <w:rPr>
          <w:rFonts w:hint="eastAsia" w:asciiTheme="minorEastAsia" w:hAnsiTheme="minorEastAsia" w:eastAsiaTheme="minorEastAsia"/>
          <w:color w:val="auto"/>
          <w:shd w:val="clear" w:color="auto" w:fill="FFFFFF"/>
        </w:rPr>
        <w:t>实施；</w:t>
      </w:r>
    </w:p>
    <w:p>
      <w:pPr>
        <w:pStyle w:val="341"/>
        <w:rPr>
          <w:color w:val="auto"/>
        </w:rPr>
      </w:pPr>
      <w:r>
        <w:rPr>
          <w:color w:val="auto"/>
        </w:rPr>
        <w:t>（14）《关于印发全省节能减排工作方案的通知》，皖政</w:t>
      </w:r>
      <w:r>
        <w:rPr>
          <w:rFonts w:hint="eastAsia"/>
          <w:color w:val="auto"/>
        </w:rPr>
        <w:t>[</w:t>
      </w:r>
      <w:r>
        <w:rPr>
          <w:color w:val="auto"/>
        </w:rPr>
        <w:t>2007</w:t>
      </w:r>
      <w:r>
        <w:rPr>
          <w:rFonts w:hint="eastAsia"/>
          <w:color w:val="auto"/>
        </w:rPr>
        <w:t>]</w:t>
      </w:r>
      <w:r>
        <w:rPr>
          <w:color w:val="auto"/>
        </w:rPr>
        <w:t>7号，2007年</w:t>
      </w:r>
      <w:r>
        <w:rPr>
          <w:rFonts w:hint="eastAsia"/>
          <w:color w:val="auto"/>
        </w:rPr>
        <w:t>0</w:t>
      </w:r>
      <w:r>
        <w:rPr>
          <w:color w:val="auto"/>
        </w:rPr>
        <w:t>9月21日；</w:t>
      </w:r>
    </w:p>
    <w:p>
      <w:pPr>
        <w:pStyle w:val="341"/>
        <w:rPr>
          <w:color w:val="auto"/>
        </w:rPr>
      </w:pPr>
      <w:r>
        <w:rPr>
          <w:color w:val="auto"/>
        </w:rPr>
        <w:t>（15）《安徽省人民政府关于印发安徽省水污染防治工作方案的通知》，皖政</w:t>
      </w:r>
      <w:r>
        <w:rPr>
          <w:rFonts w:hint="eastAsia"/>
          <w:color w:val="auto"/>
        </w:rPr>
        <w:t>[</w:t>
      </w:r>
      <w:r>
        <w:rPr>
          <w:color w:val="auto"/>
        </w:rPr>
        <w:t>2015</w:t>
      </w:r>
      <w:r>
        <w:rPr>
          <w:rFonts w:hint="eastAsia"/>
          <w:color w:val="auto"/>
        </w:rPr>
        <w:t>]</w:t>
      </w:r>
      <w:r>
        <w:rPr>
          <w:color w:val="auto"/>
        </w:rPr>
        <w:t>131号，2015年12月29日；</w:t>
      </w:r>
    </w:p>
    <w:p>
      <w:pPr>
        <w:pStyle w:val="341"/>
        <w:rPr>
          <w:color w:val="auto"/>
        </w:rPr>
      </w:pPr>
      <w:r>
        <w:rPr>
          <w:color w:val="auto"/>
        </w:rPr>
        <w:t>（16）</w:t>
      </w:r>
      <w:r>
        <w:rPr>
          <w:rFonts w:hint="eastAsia"/>
          <w:color w:val="auto"/>
        </w:rPr>
        <w:t>《</w:t>
      </w:r>
      <w:r>
        <w:rPr>
          <w:color w:val="auto"/>
        </w:rPr>
        <w:t>安徽省环保厅关于加强建设项目环境影响评价及环保竣工验收公众参与工作的通知</w:t>
      </w:r>
      <w:r>
        <w:rPr>
          <w:rFonts w:hint="eastAsia"/>
          <w:color w:val="auto"/>
        </w:rPr>
        <w:t>》，</w:t>
      </w:r>
      <w:r>
        <w:rPr>
          <w:color w:val="auto"/>
        </w:rPr>
        <w:t>皖环发[2013]91，2013年10月18日；</w:t>
      </w:r>
    </w:p>
    <w:p>
      <w:pPr>
        <w:pStyle w:val="341"/>
        <w:rPr>
          <w:color w:val="auto"/>
        </w:rPr>
      </w:pPr>
      <w:r>
        <w:rPr>
          <w:color w:val="auto"/>
        </w:rPr>
        <w:t>（17）《安徽省生态保护红线》，安徽省人民政府，2018年</w:t>
      </w:r>
      <w:r>
        <w:rPr>
          <w:rFonts w:hint="eastAsia"/>
          <w:color w:val="auto"/>
        </w:rPr>
        <w:t>0</w:t>
      </w:r>
      <w:r>
        <w:rPr>
          <w:color w:val="auto"/>
        </w:rPr>
        <w:t>6月；</w:t>
      </w:r>
    </w:p>
    <w:p>
      <w:pPr>
        <w:pStyle w:val="341"/>
        <w:rPr>
          <w:color w:val="auto"/>
        </w:rPr>
      </w:pPr>
      <w:r>
        <w:rPr>
          <w:color w:val="auto"/>
        </w:rPr>
        <w:t>（18）《关于全面打造水清岸绿产业优美丽长江（安徽）经济带的实施意见</w:t>
      </w:r>
      <w:r>
        <w:rPr>
          <w:rFonts w:hint="eastAsia"/>
          <w:color w:val="auto"/>
        </w:rPr>
        <w:t>（升级版）</w:t>
      </w:r>
      <w:r>
        <w:rPr>
          <w:color w:val="auto"/>
        </w:rPr>
        <w:t>》，皖发[2021]19号，2021年08月09日；</w:t>
      </w:r>
    </w:p>
    <w:p>
      <w:pPr>
        <w:pStyle w:val="341"/>
        <w:rPr>
          <w:color w:val="auto"/>
        </w:rPr>
      </w:pPr>
      <w:r>
        <w:rPr>
          <w:rFonts w:hint="eastAsia"/>
          <w:color w:val="auto"/>
        </w:rPr>
        <w:t>（1</w:t>
      </w:r>
      <w:r>
        <w:rPr>
          <w:color w:val="auto"/>
        </w:rPr>
        <w:t>9</w:t>
      </w:r>
      <w:r>
        <w:rPr>
          <w:rFonts w:hint="eastAsia"/>
          <w:color w:val="auto"/>
        </w:rPr>
        <w:t>）《安徽省建筑工程施工和预拌混凝土生产扬尘污染防治标准（试行）》，皖发[2019]17号，2019年3月25日；</w:t>
      </w:r>
    </w:p>
    <w:p>
      <w:pPr>
        <w:pStyle w:val="341"/>
        <w:rPr>
          <w:color w:val="auto"/>
        </w:rPr>
      </w:pPr>
      <w:r>
        <w:rPr>
          <w:rFonts w:hint="eastAsia"/>
          <w:color w:val="auto"/>
        </w:rPr>
        <w:t>（2</w:t>
      </w:r>
      <w:r>
        <w:rPr>
          <w:color w:val="auto"/>
        </w:rPr>
        <w:t>0</w:t>
      </w:r>
      <w:r>
        <w:rPr>
          <w:rFonts w:hint="eastAsia"/>
          <w:color w:val="auto"/>
        </w:rPr>
        <w:t>）《巢湖流域水污染防治条例》，2019年12月21日修订；</w:t>
      </w:r>
    </w:p>
    <w:p>
      <w:pPr>
        <w:pStyle w:val="341"/>
        <w:rPr>
          <w:color w:val="auto"/>
        </w:rPr>
      </w:pPr>
      <w:r>
        <w:rPr>
          <w:rFonts w:hint="eastAsia"/>
          <w:color w:val="auto"/>
        </w:rPr>
        <w:t>（2</w:t>
      </w:r>
      <w:r>
        <w:rPr>
          <w:color w:val="auto"/>
        </w:rPr>
        <w:t>1</w:t>
      </w:r>
      <w:r>
        <w:rPr>
          <w:rFonts w:hint="eastAsia"/>
          <w:color w:val="auto"/>
        </w:rPr>
        <w:t>）《合肥市扬尘污染防治管理办法》，合肥市人民政府令第172号，2013年12月26日通过，2014年2月1日起施行；</w:t>
      </w:r>
    </w:p>
    <w:p>
      <w:pPr>
        <w:pStyle w:val="341"/>
        <w:rPr>
          <w:color w:val="auto"/>
        </w:rPr>
      </w:pPr>
      <w:r>
        <w:rPr>
          <w:rFonts w:hint="eastAsia"/>
          <w:color w:val="auto"/>
        </w:rPr>
        <w:t>（2</w:t>
      </w:r>
      <w:r>
        <w:rPr>
          <w:color w:val="auto"/>
        </w:rPr>
        <w:t>2</w:t>
      </w:r>
      <w:r>
        <w:rPr>
          <w:rFonts w:hint="eastAsia"/>
          <w:color w:val="auto"/>
        </w:rPr>
        <w:t>）《合肥市环境噪声污染防治条例》，合肥市人民代表大会常务委员会，2018年6月8日修订，2018年7月1日起施行；</w:t>
      </w:r>
    </w:p>
    <w:p>
      <w:pPr>
        <w:pStyle w:val="341"/>
        <w:rPr>
          <w:color w:val="auto"/>
        </w:rPr>
      </w:pPr>
      <w:r>
        <w:rPr>
          <w:rFonts w:hint="eastAsia"/>
          <w:color w:val="auto"/>
        </w:rPr>
        <w:t>（2</w:t>
      </w:r>
      <w:r>
        <w:rPr>
          <w:color w:val="auto"/>
        </w:rPr>
        <w:t>3</w:t>
      </w:r>
      <w:r>
        <w:rPr>
          <w:rFonts w:hint="eastAsia"/>
          <w:color w:val="auto"/>
        </w:rPr>
        <w:t>）《合肥市大气污染防治条例》，安徽省人民代表大会常务委员会，2018年11月23日修订，2019年1月1日起施行；</w:t>
      </w:r>
    </w:p>
    <w:p>
      <w:pPr>
        <w:pStyle w:val="341"/>
        <w:rPr>
          <w:color w:val="auto"/>
        </w:rPr>
      </w:pPr>
      <w:r>
        <w:rPr>
          <w:rFonts w:hint="eastAsia"/>
          <w:color w:val="auto"/>
        </w:rPr>
        <w:t>（2</w:t>
      </w:r>
      <w:r>
        <w:rPr>
          <w:color w:val="auto"/>
        </w:rPr>
        <w:t>4</w:t>
      </w:r>
      <w:r>
        <w:rPr>
          <w:rFonts w:hint="eastAsia"/>
          <w:color w:val="auto"/>
        </w:rPr>
        <w:t>）《合肥市建筑垃圾管理办法》，合肥市人民政府令第190号，2017年2月9日通过，2017年5月1日起施行；</w:t>
      </w:r>
    </w:p>
    <w:p>
      <w:pPr>
        <w:pStyle w:val="341"/>
        <w:rPr>
          <w:color w:val="auto"/>
        </w:rPr>
      </w:pPr>
      <w:r>
        <w:rPr>
          <w:rFonts w:hint="eastAsia"/>
          <w:color w:val="auto"/>
        </w:rPr>
        <w:t>（2</w:t>
      </w:r>
      <w:r>
        <w:rPr>
          <w:color w:val="auto"/>
        </w:rPr>
        <w:t>5</w:t>
      </w:r>
      <w:r>
        <w:rPr>
          <w:rFonts w:hint="eastAsia"/>
          <w:color w:val="auto"/>
        </w:rPr>
        <w:t>）省发改委、省经信厅、省生态环境厅联合印发《巢湖流域禁止和限制的产业产品目录》；</w:t>
      </w:r>
    </w:p>
    <w:p>
      <w:pPr>
        <w:pStyle w:val="5"/>
        <w:spacing w:before="120"/>
        <w:ind w:left="480"/>
        <w:rPr>
          <w:rFonts w:hint="eastAsia"/>
          <w:color w:val="auto"/>
        </w:rPr>
      </w:pPr>
      <w:r>
        <w:rPr>
          <w:rFonts w:hint="eastAsia"/>
          <w:color w:val="auto"/>
        </w:rPr>
        <w:t>技术依据</w:t>
      </w:r>
    </w:p>
    <w:p>
      <w:pPr>
        <w:numPr>
          <w:ilvl w:val="0"/>
          <w:numId w:val="5"/>
        </w:numPr>
        <w:spacing w:line="360" w:lineRule="auto"/>
        <w:ind w:firstLine="480"/>
        <w:rPr>
          <w:color w:val="auto"/>
        </w:rPr>
      </w:pPr>
      <w:r>
        <w:rPr>
          <w:color w:val="auto"/>
        </w:rPr>
        <w:t>《环境影响评价技术导则 总纲》（HJ2.1-2016），原国家环境保护部2016年12月8日发布，2017年1月1日实施</w:t>
      </w:r>
      <w:r>
        <w:rPr>
          <w:rFonts w:hint="eastAsia" w:cs="宋体"/>
          <w:color w:val="auto"/>
          <w:lang w:eastAsia="zh-CN"/>
        </w:rPr>
        <w:t>；</w:t>
      </w:r>
    </w:p>
    <w:p>
      <w:pPr>
        <w:numPr>
          <w:ilvl w:val="0"/>
          <w:numId w:val="5"/>
        </w:numPr>
        <w:spacing w:line="360" w:lineRule="auto"/>
        <w:ind w:firstLine="480"/>
        <w:rPr>
          <w:color w:val="auto"/>
        </w:rPr>
      </w:pPr>
      <w:r>
        <w:rPr>
          <w:color w:val="auto"/>
        </w:rPr>
        <w:t>《环境影响评价技术导则 大气环境》（HJ2.2-2018），生态环境部，2018年7月31日发布，2018年12月</w:t>
      </w:r>
      <w:r>
        <w:rPr>
          <w:rFonts w:hint="eastAsia"/>
          <w:color w:val="auto"/>
          <w:lang w:val="en-US" w:eastAsia="zh-CN"/>
        </w:rPr>
        <w:t>0</w:t>
      </w:r>
      <w:r>
        <w:rPr>
          <w:color w:val="auto"/>
        </w:rPr>
        <w:t>1日实施</w:t>
      </w:r>
      <w:r>
        <w:rPr>
          <w:rFonts w:hint="eastAsia" w:cs="宋体"/>
          <w:color w:val="auto"/>
          <w:lang w:eastAsia="zh-CN"/>
        </w:rPr>
        <w:t>；</w:t>
      </w:r>
    </w:p>
    <w:p>
      <w:pPr>
        <w:numPr>
          <w:ilvl w:val="0"/>
          <w:numId w:val="5"/>
        </w:numPr>
        <w:spacing w:line="360" w:lineRule="auto"/>
        <w:ind w:firstLine="480"/>
        <w:rPr>
          <w:color w:val="auto"/>
        </w:rPr>
      </w:pPr>
      <w:r>
        <w:rPr>
          <w:color w:val="auto"/>
        </w:rPr>
        <w:t>《环境影响评价技术导则 地表水环境》（HJ2.3-2018），生态环境部， 2018年10月8日发布，2019年</w:t>
      </w:r>
      <w:r>
        <w:rPr>
          <w:rFonts w:hint="eastAsia"/>
          <w:color w:val="auto"/>
          <w:lang w:val="en-US" w:eastAsia="zh-CN"/>
        </w:rPr>
        <w:t>0</w:t>
      </w:r>
      <w:r>
        <w:rPr>
          <w:color w:val="auto"/>
        </w:rPr>
        <w:t>3月</w:t>
      </w:r>
      <w:r>
        <w:rPr>
          <w:rFonts w:hint="eastAsia"/>
          <w:color w:val="auto"/>
          <w:lang w:val="en-US" w:eastAsia="zh-CN"/>
        </w:rPr>
        <w:t>0</w:t>
      </w:r>
      <w:r>
        <w:rPr>
          <w:color w:val="auto"/>
        </w:rPr>
        <w:t>1日实施</w:t>
      </w:r>
      <w:r>
        <w:rPr>
          <w:rFonts w:hint="eastAsia" w:cs="宋体"/>
          <w:color w:val="auto"/>
          <w:lang w:eastAsia="zh-CN"/>
        </w:rPr>
        <w:t>；</w:t>
      </w:r>
    </w:p>
    <w:p>
      <w:pPr>
        <w:numPr>
          <w:ilvl w:val="0"/>
          <w:numId w:val="5"/>
        </w:numPr>
        <w:spacing w:line="360" w:lineRule="auto"/>
        <w:ind w:firstLine="480"/>
        <w:rPr>
          <w:color w:val="auto"/>
        </w:rPr>
      </w:pPr>
      <w:r>
        <w:rPr>
          <w:color w:val="auto"/>
        </w:rPr>
        <w:t>《环境影响评价技术导则 声环境》（HJ2.4-20</w:t>
      </w:r>
      <w:r>
        <w:rPr>
          <w:rFonts w:hint="eastAsia"/>
          <w:color w:val="auto"/>
          <w:lang w:val="en-US" w:eastAsia="zh-CN"/>
        </w:rPr>
        <w:t>21</w:t>
      </w:r>
      <w:r>
        <w:rPr>
          <w:color w:val="auto"/>
        </w:rPr>
        <w:t>），</w:t>
      </w:r>
      <w:r>
        <w:rPr>
          <w:rFonts w:hint="eastAsia"/>
          <w:color w:val="auto"/>
          <w:lang w:val="en-US" w:eastAsia="zh-CN"/>
        </w:rPr>
        <w:t>生态环境部</w:t>
      </w:r>
      <w:r>
        <w:rPr>
          <w:color w:val="auto"/>
        </w:rPr>
        <w:t>，20</w:t>
      </w:r>
      <w:r>
        <w:rPr>
          <w:rFonts w:hint="eastAsia"/>
          <w:color w:val="auto"/>
          <w:lang w:val="en-US" w:eastAsia="zh-CN"/>
        </w:rPr>
        <w:t>21</w:t>
      </w:r>
      <w:r>
        <w:rPr>
          <w:color w:val="auto"/>
        </w:rPr>
        <w:t>年12月</w:t>
      </w:r>
      <w:r>
        <w:rPr>
          <w:rFonts w:hint="eastAsia"/>
          <w:color w:val="auto"/>
          <w:lang w:val="en-US" w:eastAsia="zh-CN"/>
        </w:rPr>
        <w:t>24</w:t>
      </w:r>
      <w:r>
        <w:rPr>
          <w:color w:val="auto"/>
        </w:rPr>
        <w:t>日发布，20</w:t>
      </w:r>
      <w:r>
        <w:rPr>
          <w:rFonts w:hint="eastAsia"/>
          <w:color w:val="auto"/>
          <w:lang w:val="en-US" w:eastAsia="zh-CN"/>
        </w:rPr>
        <w:t>22</w:t>
      </w:r>
      <w:r>
        <w:rPr>
          <w:color w:val="auto"/>
        </w:rPr>
        <w:t>年</w:t>
      </w:r>
      <w:r>
        <w:rPr>
          <w:rFonts w:hint="eastAsia"/>
          <w:color w:val="auto"/>
          <w:lang w:val="en-US" w:eastAsia="zh-CN"/>
        </w:rPr>
        <w:t>07</w:t>
      </w:r>
      <w:r>
        <w:rPr>
          <w:color w:val="auto"/>
        </w:rPr>
        <w:t>月</w:t>
      </w:r>
      <w:r>
        <w:rPr>
          <w:rFonts w:hint="eastAsia"/>
          <w:color w:val="auto"/>
          <w:lang w:val="en-US" w:eastAsia="zh-CN"/>
        </w:rPr>
        <w:t>0</w:t>
      </w:r>
      <w:r>
        <w:rPr>
          <w:color w:val="auto"/>
        </w:rPr>
        <w:t>1日实施</w:t>
      </w:r>
      <w:r>
        <w:rPr>
          <w:rFonts w:hint="eastAsia" w:cs="宋体"/>
          <w:color w:val="auto"/>
          <w:lang w:eastAsia="zh-CN"/>
        </w:rPr>
        <w:t>；</w:t>
      </w:r>
    </w:p>
    <w:p>
      <w:pPr>
        <w:numPr>
          <w:ilvl w:val="0"/>
          <w:numId w:val="5"/>
        </w:numPr>
        <w:spacing w:line="360" w:lineRule="auto"/>
        <w:ind w:firstLine="480"/>
        <w:rPr>
          <w:rFonts w:hint="eastAsia" w:eastAsia="宋体"/>
          <w:color w:val="auto"/>
          <w:lang w:eastAsia="zh-CN"/>
        </w:rPr>
      </w:pPr>
      <w:r>
        <w:rPr>
          <w:rFonts w:hint="eastAsia"/>
          <w:color w:val="auto"/>
          <w:lang w:eastAsia="zh-CN"/>
        </w:rPr>
        <w:t>《</w:t>
      </w:r>
      <w:r>
        <w:rPr>
          <w:rFonts w:hint="eastAsia"/>
          <w:color w:val="auto"/>
          <w:lang w:val="en-US" w:eastAsia="zh-CN"/>
        </w:rPr>
        <w:t>环境影响评价技术导则 土壤环境（试行）</w:t>
      </w:r>
      <w:r>
        <w:rPr>
          <w:rFonts w:hint="eastAsia"/>
          <w:color w:val="auto"/>
          <w:lang w:eastAsia="zh-CN"/>
        </w:rPr>
        <w:t>》（</w:t>
      </w:r>
      <w:r>
        <w:rPr>
          <w:rFonts w:hint="eastAsia"/>
          <w:color w:val="auto"/>
          <w:lang w:val="en-US" w:eastAsia="zh-CN"/>
        </w:rPr>
        <w:t>HJ964-2018</w:t>
      </w:r>
      <w:r>
        <w:rPr>
          <w:rFonts w:hint="eastAsia"/>
          <w:color w:val="auto"/>
          <w:lang w:eastAsia="zh-CN"/>
        </w:rPr>
        <w:t>），</w:t>
      </w:r>
      <w:r>
        <w:rPr>
          <w:color w:val="auto"/>
        </w:rPr>
        <w:t>生态环境部，2018年</w:t>
      </w:r>
      <w:r>
        <w:rPr>
          <w:rFonts w:hint="eastAsia"/>
          <w:color w:val="auto"/>
          <w:lang w:val="en-US" w:eastAsia="zh-CN"/>
        </w:rPr>
        <w:t>9</w:t>
      </w:r>
      <w:r>
        <w:rPr>
          <w:color w:val="auto"/>
        </w:rPr>
        <w:t>月</w:t>
      </w:r>
      <w:r>
        <w:rPr>
          <w:rFonts w:hint="eastAsia"/>
          <w:color w:val="auto"/>
          <w:lang w:val="en-US" w:eastAsia="zh-CN"/>
        </w:rPr>
        <w:t>13</w:t>
      </w:r>
      <w:r>
        <w:rPr>
          <w:color w:val="auto"/>
        </w:rPr>
        <w:t>日发布，2019年</w:t>
      </w:r>
      <w:r>
        <w:rPr>
          <w:rFonts w:hint="eastAsia"/>
          <w:color w:val="auto"/>
          <w:lang w:val="en-US" w:eastAsia="zh-CN"/>
        </w:rPr>
        <w:t>7</w:t>
      </w:r>
      <w:r>
        <w:rPr>
          <w:color w:val="auto"/>
        </w:rPr>
        <w:t>月1日实施</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color w:val="auto"/>
        </w:rPr>
        <w:t>《环境影响评价技术导则</w:t>
      </w:r>
      <w:r>
        <w:rPr>
          <w:rFonts w:hint="eastAsia" w:eastAsia="宋体"/>
          <w:color w:val="auto"/>
          <w:lang w:val="en-US" w:eastAsia="zh-CN"/>
        </w:rPr>
        <w:t xml:space="preserve"> </w:t>
      </w:r>
      <w:r>
        <w:rPr>
          <w:color w:val="auto"/>
        </w:rPr>
        <w:t>地下水环境》（HJ610-2016），原国家环境保护部，2016年 1月7日发布，2016年1月7日实施</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w:t>
      </w:r>
      <w:r>
        <w:rPr>
          <w:color w:val="auto"/>
        </w:rPr>
        <w:t>《建设项目环境风险评价技术导则》（HJ 169-2018），生态环境部，2018年10月15日发布，2019年3月1日实施</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8</w:t>
      </w:r>
      <w:r>
        <w:rPr>
          <w:rFonts w:hint="eastAsia"/>
          <w:color w:val="auto"/>
          <w:lang w:eastAsia="zh-CN"/>
        </w:rPr>
        <w:t>）</w:t>
      </w:r>
      <w:r>
        <w:rPr>
          <w:color w:val="auto"/>
        </w:rPr>
        <w:t>《环境影响评价技术导则 生态影响》（HJ19-20</w:t>
      </w:r>
      <w:r>
        <w:rPr>
          <w:rFonts w:hint="eastAsia"/>
          <w:color w:val="auto"/>
          <w:lang w:val="en-US" w:eastAsia="zh-CN"/>
        </w:rPr>
        <w:t>22</w:t>
      </w:r>
      <w:r>
        <w:rPr>
          <w:color w:val="auto"/>
        </w:rPr>
        <w:t>），</w:t>
      </w:r>
      <w:r>
        <w:rPr>
          <w:rFonts w:hint="eastAsia"/>
          <w:color w:val="auto"/>
          <w:lang w:val="en-US" w:eastAsia="zh-CN"/>
        </w:rPr>
        <w:t>生态环境部</w:t>
      </w:r>
      <w:r>
        <w:rPr>
          <w:color w:val="auto"/>
        </w:rPr>
        <w:t>，20</w:t>
      </w:r>
      <w:r>
        <w:rPr>
          <w:rFonts w:hint="eastAsia"/>
          <w:color w:val="auto"/>
          <w:lang w:val="en-US" w:eastAsia="zh-CN"/>
        </w:rPr>
        <w:t>22</w:t>
      </w:r>
      <w:r>
        <w:rPr>
          <w:color w:val="auto"/>
        </w:rPr>
        <w:t>年</w:t>
      </w:r>
      <w:r>
        <w:rPr>
          <w:rFonts w:hint="eastAsia"/>
          <w:color w:val="auto"/>
          <w:lang w:val="en-US" w:eastAsia="zh-CN"/>
        </w:rPr>
        <w:t>01</w:t>
      </w:r>
      <w:r>
        <w:rPr>
          <w:color w:val="auto"/>
        </w:rPr>
        <w:t>月</w:t>
      </w:r>
      <w:r>
        <w:rPr>
          <w:rFonts w:hint="eastAsia"/>
          <w:color w:val="auto"/>
          <w:lang w:val="en-US" w:eastAsia="zh-CN"/>
        </w:rPr>
        <w:t>05</w:t>
      </w:r>
      <w:r>
        <w:rPr>
          <w:color w:val="auto"/>
        </w:rPr>
        <w:t>日发布，20</w:t>
      </w:r>
      <w:r>
        <w:rPr>
          <w:rFonts w:hint="eastAsia"/>
          <w:color w:val="auto"/>
          <w:lang w:val="en-US" w:eastAsia="zh-CN"/>
        </w:rPr>
        <w:t>22</w:t>
      </w:r>
      <w:r>
        <w:rPr>
          <w:color w:val="auto"/>
        </w:rPr>
        <w:t>年</w:t>
      </w:r>
      <w:r>
        <w:rPr>
          <w:rFonts w:hint="eastAsia"/>
          <w:color w:val="auto"/>
          <w:lang w:val="en-US" w:eastAsia="zh-CN"/>
        </w:rPr>
        <w:t>07</w:t>
      </w:r>
      <w:r>
        <w:rPr>
          <w:color w:val="auto"/>
        </w:rPr>
        <w:t>月</w:t>
      </w:r>
      <w:r>
        <w:rPr>
          <w:rFonts w:hint="eastAsia"/>
          <w:color w:val="auto"/>
          <w:lang w:val="en-US" w:eastAsia="zh-CN"/>
        </w:rPr>
        <w:t>0</w:t>
      </w:r>
      <w:r>
        <w:rPr>
          <w:color w:val="auto"/>
        </w:rPr>
        <w:t>1日实施</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9</w:t>
      </w:r>
      <w:r>
        <w:rPr>
          <w:rFonts w:hint="eastAsia"/>
          <w:color w:val="auto"/>
          <w:lang w:eastAsia="zh-CN"/>
        </w:rPr>
        <w:t>）</w:t>
      </w:r>
      <w:r>
        <w:rPr>
          <w:rFonts w:hint="eastAsia"/>
          <w:color w:val="auto"/>
          <w:lang w:val="en-US" w:eastAsia="zh-CN"/>
        </w:rPr>
        <w:t>关于发布</w:t>
      </w:r>
      <w:r>
        <w:rPr>
          <w:color w:val="auto"/>
        </w:rPr>
        <w:t>《建设项目危险废物环境影响评价指南》</w:t>
      </w:r>
      <w:r>
        <w:rPr>
          <w:rFonts w:hint="eastAsia"/>
          <w:color w:val="auto"/>
          <w:lang w:val="en-US" w:eastAsia="zh-CN"/>
        </w:rPr>
        <w:t>的公告，环保部 公告2017第43号</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10</w:t>
      </w:r>
      <w:r>
        <w:rPr>
          <w:rFonts w:hint="eastAsia"/>
          <w:color w:val="auto"/>
          <w:lang w:eastAsia="zh-CN"/>
        </w:rPr>
        <w:t>）《国家危险废物名录（2021 年版）》，生态环境部令 15号，2020年11月25日；</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11</w:t>
      </w:r>
      <w:r>
        <w:rPr>
          <w:rFonts w:hint="eastAsia"/>
          <w:color w:val="auto"/>
          <w:lang w:eastAsia="zh-CN"/>
        </w:rPr>
        <w:t>）</w:t>
      </w:r>
      <w:r>
        <w:rPr>
          <w:color w:val="auto"/>
        </w:rPr>
        <w:t>《医疗废物分类目录》</w:t>
      </w:r>
      <w:r>
        <w:rPr>
          <w:rFonts w:hint="eastAsia"/>
          <w:color w:val="auto"/>
          <w:lang w:eastAsia="zh-CN"/>
        </w:rPr>
        <w:t>（</w:t>
      </w:r>
      <w:r>
        <w:rPr>
          <w:rFonts w:hint="eastAsia"/>
          <w:color w:val="auto"/>
          <w:lang w:val="en-US" w:eastAsia="zh-CN"/>
        </w:rPr>
        <w:t>2021年版</w:t>
      </w:r>
      <w:r>
        <w:rPr>
          <w:rFonts w:hint="eastAsia"/>
          <w:color w:val="auto"/>
          <w:lang w:eastAsia="zh-CN"/>
        </w:rPr>
        <w:t>）</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12</w:t>
      </w:r>
      <w:r>
        <w:rPr>
          <w:rFonts w:hint="eastAsia"/>
          <w:color w:val="auto"/>
          <w:lang w:eastAsia="zh-CN"/>
        </w:rPr>
        <w:t>）</w:t>
      </w:r>
      <w:r>
        <w:rPr>
          <w:color w:val="auto"/>
        </w:rPr>
        <w:t>《大气污染治理工程技术导则》（HJ2000-2010）</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13</w:t>
      </w:r>
      <w:r>
        <w:rPr>
          <w:rFonts w:hint="eastAsia"/>
          <w:color w:val="auto"/>
          <w:lang w:eastAsia="zh-CN"/>
        </w:rPr>
        <w:t>）</w:t>
      </w:r>
      <w:r>
        <w:rPr>
          <w:color w:val="auto"/>
        </w:rPr>
        <w:t>《水污染治理工程技术导则》（HJ2015-2012）</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14</w:t>
      </w:r>
      <w:r>
        <w:rPr>
          <w:rFonts w:hint="eastAsia"/>
          <w:color w:val="auto"/>
          <w:lang w:eastAsia="zh-CN"/>
        </w:rPr>
        <w:t>）</w:t>
      </w:r>
      <w:r>
        <w:rPr>
          <w:color w:val="auto"/>
        </w:rPr>
        <w:t>《防治城市扬尘污染技术规范》（HJ/T393-2007）</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15</w:t>
      </w:r>
      <w:r>
        <w:rPr>
          <w:rFonts w:hint="eastAsia"/>
          <w:color w:val="auto"/>
          <w:lang w:eastAsia="zh-CN"/>
        </w:rPr>
        <w:t>）</w:t>
      </w:r>
      <w:r>
        <w:rPr>
          <w:color w:val="auto"/>
        </w:rPr>
        <w:t>《固体废物处理处置工程技术导则》（HJ2035-2013）</w:t>
      </w:r>
      <w:r>
        <w:rPr>
          <w:rFonts w:hint="eastAsia" w:cs="宋体"/>
          <w:color w:val="auto"/>
          <w:lang w:eastAsia="zh-CN"/>
        </w:rPr>
        <w:t>；</w:t>
      </w:r>
    </w:p>
    <w:p>
      <w:pPr>
        <w:numPr>
          <w:ilvl w:val="0"/>
          <w:numId w:val="0"/>
        </w:num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16</w:t>
      </w:r>
      <w:r>
        <w:rPr>
          <w:rFonts w:hint="eastAsia"/>
          <w:color w:val="auto"/>
          <w:lang w:eastAsia="zh-CN"/>
        </w:rPr>
        <w:t>）</w:t>
      </w:r>
      <w:r>
        <w:rPr>
          <w:color w:val="auto"/>
        </w:rPr>
        <w:t>《医院污水处理工程技术规范》（HJ2029-2013）</w:t>
      </w:r>
      <w:r>
        <w:rPr>
          <w:rFonts w:hint="eastAsia" w:cs="宋体"/>
          <w:color w:val="auto"/>
          <w:lang w:eastAsia="zh-CN"/>
        </w:rPr>
        <w:t>；</w:t>
      </w:r>
    </w:p>
    <w:p>
      <w:pPr>
        <w:numPr>
          <w:ilvl w:val="0"/>
          <w:numId w:val="0"/>
        </w:numPr>
        <w:spacing w:line="360" w:lineRule="auto"/>
        <w:ind w:firstLine="480" w:firstLineChars="200"/>
        <w:rPr>
          <w:color w:val="auto"/>
        </w:rPr>
      </w:pPr>
      <w:r>
        <w:rPr>
          <w:rFonts w:hint="eastAsia"/>
          <w:color w:val="auto"/>
          <w:lang w:eastAsia="zh-CN"/>
        </w:rPr>
        <w:t>（</w:t>
      </w:r>
      <w:r>
        <w:rPr>
          <w:rFonts w:hint="eastAsia"/>
          <w:color w:val="auto"/>
          <w:lang w:val="en-US" w:eastAsia="zh-CN"/>
        </w:rPr>
        <w:t>17</w:t>
      </w:r>
      <w:r>
        <w:rPr>
          <w:rFonts w:hint="eastAsia"/>
          <w:color w:val="auto"/>
          <w:lang w:eastAsia="zh-CN"/>
        </w:rPr>
        <w:t>）</w:t>
      </w:r>
      <w:r>
        <w:rPr>
          <w:color w:val="auto"/>
        </w:rPr>
        <w:t>《医院污水处理技术指南》（环发[2013]197号）</w:t>
      </w:r>
      <w:r>
        <w:rPr>
          <w:rFonts w:hint="eastAsia"/>
          <w:color w:val="auto"/>
          <w:lang w:eastAsia="zh-CN"/>
        </w:rPr>
        <w:t>。</w:t>
      </w:r>
    </w:p>
    <w:p>
      <w:pPr>
        <w:pStyle w:val="5"/>
        <w:spacing w:before="120"/>
        <w:ind w:left="480"/>
        <w:rPr>
          <w:rFonts w:hint="eastAsia"/>
          <w:color w:val="auto"/>
        </w:rPr>
      </w:pPr>
      <w:r>
        <w:rPr>
          <w:rFonts w:hint="eastAsia"/>
          <w:color w:val="auto"/>
        </w:rPr>
        <w:t>技术资料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color w:val="auto"/>
          <w:lang w:val="en-US" w:eastAsia="zh-CN"/>
        </w:rPr>
      </w:pPr>
      <w:r>
        <w:rPr>
          <w:color w:val="auto"/>
        </w:rPr>
        <w:t>（</w:t>
      </w:r>
      <w:r>
        <w:rPr>
          <w:rFonts w:hint="eastAsia"/>
          <w:color w:val="auto"/>
        </w:rPr>
        <w:t>1</w:t>
      </w:r>
      <w:r>
        <w:rPr>
          <w:color w:val="auto"/>
        </w:rPr>
        <w:t>）</w:t>
      </w:r>
      <w:r>
        <w:rPr>
          <w:rFonts w:hint="eastAsia"/>
          <w:color w:val="auto"/>
          <w:lang w:val="en-US" w:eastAsia="zh-CN"/>
        </w:rPr>
        <w:t>安徽省立医院（中国科大附一院）滨湖院区项目可行性研究报告</w:t>
      </w:r>
      <w:r>
        <w:rPr>
          <w:rFonts w:hint="eastAsia" w:cs="宋体"/>
          <w:color w:val="auto"/>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eastAsia="宋体"/>
          <w:color w:val="auto"/>
          <w:lang w:val="en-US" w:eastAsia="zh-CN"/>
        </w:rPr>
      </w:pPr>
      <w:r>
        <w:rPr>
          <w:rFonts w:hint="eastAsia"/>
          <w:color w:val="auto"/>
        </w:rPr>
        <w:t>（2）</w:t>
      </w:r>
      <w:r>
        <w:rPr>
          <w:rFonts w:hint="eastAsia"/>
          <w:color w:val="auto"/>
          <w:lang w:val="en-US" w:eastAsia="zh-CN"/>
        </w:rPr>
        <w:t>安徽省立医院（中国科大附一院）滨湖老年保健中心项目可行性研究报告</w:t>
      </w:r>
      <w:r>
        <w:rPr>
          <w:rFonts w:hint="eastAsia" w:cs="宋体"/>
          <w:color w:val="auto"/>
          <w:lang w:val="en-US" w:eastAsia="zh-CN"/>
        </w:rPr>
        <w:t>；</w:t>
      </w:r>
    </w:p>
    <w:p>
      <w:pPr>
        <w:numPr>
          <w:ilvl w:val="0"/>
          <w:numId w:val="0"/>
        </w:numPr>
        <w:spacing w:line="360" w:lineRule="auto"/>
        <w:ind w:left="482" w:leftChars="0"/>
        <w:rPr>
          <w:rFonts w:hint="eastAsia" w:eastAsia="宋体"/>
          <w:color w:val="auto"/>
          <w:lang w:eastAsia="zh-CN"/>
        </w:rPr>
      </w:pPr>
      <w:r>
        <w:rPr>
          <w:rFonts w:hint="eastAsia"/>
          <w:color w:val="auto"/>
        </w:rPr>
        <w:t>（</w:t>
      </w:r>
      <w:r>
        <w:rPr>
          <w:rFonts w:hint="eastAsia"/>
          <w:color w:val="auto"/>
          <w:lang w:val="en-US" w:eastAsia="zh-CN"/>
        </w:rPr>
        <w:t>3</w:t>
      </w:r>
      <w:r>
        <w:rPr>
          <w:rFonts w:hint="eastAsia"/>
          <w:color w:val="auto"/>
        </w:rPr>
        <w:t>）</w:t>
      </w:r>
      <w:r>
        <w:rPr>
          <w:rFonts w:hint="eastAsia"/>
          <w:color w:val="auto"/>
          <w:lang w:eastAsia="zh-CN"/>
        </w:rPr>
        <w:t>安徽省立医院（中国科大附一院）滨湖院区项目</w:t>
      </w:r>
      <w:r>
        <w:rPr>
          <w:rFonts w:hint="eastAsia"/>
          <w:color w:val="auto"/>
          <w:lang w:val="en-US" w:eastAsia="zh-CN"/>
        </w:rPr>
        <w:t>环评委托书</w:t>
      </w:r>
      <w:r>
        <w:rPr>
          <w:rFonts w:hint="eastAsia" w:cs="宋体"/>
          <w:color w:val="auto"/>
          <w:lang w:eastAsia="zh-CN"/>
        </w:rPr>
        <w:t>；</w:t>
      </w:r>
    </w:p>
    <w:p>
      <w:pPr>
        <w:numPr>
          <w:ilvl w:val="0"/>
          <w:numId w:val="0"/>
        </w:numPr>
        <w:bidi w:val="0"/>
        <w:spacing w:line="360" w:lineRule="auto"/>
        <w:ind w:leftChars="200"/>
        <w:rPr>
          <w:rFonts w:hint="eastAsia"/>
          <w:color w:val="auto"/>
        </w:rPr>
      </w:pPr>
      <w:r>
        <w:rPr>
          <w:rFonts w:hint="eastAsia"/>
          <w:color w:val="auto"/>
        </w:rPr>
        <w:t>（</w:t>
      </w:r>
      <w:r>
        <w:rPr>
          <w:rFonts w:hint="eastAsia"/>
          <w:color w:val="auto"/>
          <w:lang w:val="en-US" w:eastAsia="zh-CN"/>
        </w:rPr>
        <w:t>4</w:t>
      </w:r>
      <w:r>
        <w:rPr>
          <w:rFonts w:hint="eastAsia"/>
          <w:color w:val="auto"/>
        </w:rPr>
        <w:t>）</w:t>
      </w:r>
      <w:r>
        <w:rPr>
          <w:rFonts w:hint="eastAsia"/>
          <w:color w:val="auto"/>
          <w:lang w:eastAsia="zh-CN"/>
        </w:rPr>
        <w:t>安徽省立医院（中国科大附一院）</w:t>
      </w:r>
      <w:r>
        <w:rPr>
          <w:rFonts w:hint="eastAsia"/>
          <w:color w:val="auto"/>
          <w:lang w:val="en-US" w:eastAsia="zh-CN"/>
        </w:rPr>
        <w:t>提供的其他资料</w:t>
      </w:r>
      <w:r>
        <w:rPr>
          <w:rFonts w:hint="eastAsia" w:eastAsia="宋体"/>
          <w:color w:val="auto"/>
          <w:lang w:eastAsia="zh-CN"/>
        </w:rPr>
        <w:t>。</w:t>
      </w:r>
    </w:p>
    <w:p>
      <w:pPr>
        <w:pStyle w:val="5"/>
        <w:spacing w:before="120"/>
        <w:ind w:left="480"/>
        <w:rPr>
          <w:rFonts w:hint="eastAsia"/>
          <w:color w:val="auto"/>
        </w:rPr>
      </w:pPr>
      <w:r>
        <w:rPr>
          <w:rFonts w:hint="eastAsia"/>
          <w:color w:val="auto"/>
        </w:rPr>
        <w:t>相关规划</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highlight w:val="none"/>
          <w:lang w:eastAsia="zh-CN"/>
        </w:rPr>
      </w:pPr>
      <w:r>
        <w:rPr>
          <w:color w:val="auto"/>
          <w:highlight w:val="none"/>
        </w:rPr>
        <w:t>（</w:t>
      </w:r>
      <w:r>
        <w:rPr>
          <w:rFonts w:hint="eastAsia"/>
          <w:color w:val="auto"/>
          <w:highlight w:val="none"/>
        </w:rPr>
        <w:t>1</w:t>
      </w:r>
      <w:r>
        <w:rPr>
          <w:color w:val="auto"/>
          <w:highlight w:val="none"/>
        </w:rPr>
        <w:t>）《</w:t>
      </w:r>
      <w:r>
        <w:rPr>
          <w:rFonts w:hint="eastAsia"/>
          <w:color w:val="auto"/>
          <w:highlight w:val="none"/>
          <w:lang w:val="en-US" w:eastAsia="zh-CN"/>
        </w:rPr>
        <w:t>合肥市</w:t>
      </w:r>
      <w:r>
        <w:rPr>
          <w:color w:val="auto"/>
          <w:highlight w:val="none"/>
        </w:rPr>
        <w:t>城市总体规划(20</w:t>
      </w:r>
      <w:r>
        <w:rPr>
          <w:rFonts w:hint="eastAsia"/>
          <w:color w:val="auto"/>
          <w:highlight w:val="none"/>
        </w:rPr>
        <w:t>1</w:t>
      </w:r>
      <w:r>
        <w:rPr>
          <w:rFonts w:hint="eastAsia"/>
          <w:color w:val="auto"/>
          <w:highlight w:val="none"/>
          <w:lang w:val="en-US" w:eastAsia="zh-CN"/>
        </w:rPr>
        <w:t>1</w:t>
      </w:r>
      <w:r>
        <w:rPr>
          <w:color w:val="auto"/>
          <w:highlight w:val="none"/>
        </w:rPr>
        <w:t>-20</w:t>
      </w:r>
      <w:r>
        <w:rPr>
          <w:rFonts w:hint="eastAsia"/>
          <w:color w:val="auto"/>
          <w:highlight w:val="none"/>
          <w:lang w:val="en-US" w:eastAsia="zh-CN"/>
        </w:rPr>
        <w:t>2</w:t>
      </w:r>
      <w:r>
        <w:rPr>
          <w:rFonts w:hint="eastAsia"/>
          <w:color w:val="auto"/>
          <w:highlight w:val="none"/>
        </w:rPr>
        <w:t>0</w:t>
      </w:r>
      <w:r>
        <w:rPr>
          <w:color w:val="auto"/>
          <w:highlight w:val="none"/>
        </w:rPr>
        <w:t>)》（</w:t>
      </w:r>
      <w:r>
        <w:rPr>
          <w:rFonts w:hint="eastAsia"/>
          <w:color w:val="auto"/>
          <w:highlight w:val="none"/>
          <w:lang w:val="en-US" w:eastAsia="zh-CN"/>
        </w:rPr>
        <w:t>2012年3月</w:t>
      </w:r>
      <w:r>
        <w:rPr>
          <w:color w:val="auto"/>
          <w:highlight w:val="none"/>
        </w:rPr>
        <w:t>）</w:t>
      </w:r>
      <w:r>
        <w:rPr>
          <w:rFonts w:hint="eastAsia" w:cs="宋体"/>
          <w:color w:val="auto"/>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hAnsi="宋体"/>
          <w:color w:val="auto"/>
          <w:lang w:eastAsia="zh-CN"/>
        </w:rPr>
      </w:pPr>
      <w:r>
        <w:rPr>
          <w:rFonts w:hint="default" w:ascii="Times New Roman" w:hAnsi="Times New Roman" w:eastAsia="宋体" w:cs="Times New Roman"/>
          <w:color w:val="auto"/>
          <w:sz w:val="24"/>
          <w:szCs w:val="24"/>
          <w:highlight w:val="none"/>
        </w:rPr>
        <w:t>（2）</w:t>
      </w:r>
      <w:r>
        <w:rPr>
          <w:rFonts w:hint="eastAsia" w:hAnsi="宋体"/>
          <w:color w:val="auto"/>
          <w:lang w:eastAsia="zh-CN"/>
        </w:rPr>
        <w:t>《</w:t>
      </w:r>
      <w:r>
        <w:rPr>
          <w:rFonts w:hint="eastAsia" w:hAnsi="宋体"/>
          <w:color w:val="auto"/>
          <w:lang w:val="en-US" w:eastAsia="zh-CN"/>
        </w:rPr>
        <w:t>安徽省医疗卫生服务体系</w:t>
      </w:r>
      <w:r>
        <w:rPr>
          <w:rFonts w:hint="eastAsia" w:hAnsi="宋体"/>
          <w:color w:val="auto"/>
          <w:lang w:eastAsia="zh-CN"/>
        </w:rPr>
        <w:t>规划》（</w:t>
      </w:r>
      <w:r>
        <w:rPr>
          <w:rFonts w:hint="eastAsia" w:hAnsi="宋体"/>
          <w:color w:val="auto"/>
          <w:lang w:val="en-US" w:eastAsia="zh-CN"/>
        </w:rPr>
        <w:t>2016-2020</w:t>
      </w:r>
      <w:r>
        <w:rPr>
          <w:rFonts w:hint="eastAsia" w:hAnsi="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highlight w:val="none"/>
          <w:lang w:val="en-US" w:eastAsia="zh-CN"/>
        </w:rPr>
      </w:pPr>
      <w:r>
        <w:rPr>
          <w:rFonts w:hint="eastAsia" w:hAnsi="宋体"/>
          <w:color w:val="auto"/>
          <w:lang w:eastAsia="zh-CN"/>
        </w:rPr>
        <w:t>（</w:t>
      </w:r>
      <w:r>
        <w:rPr>
          <w:rFonts w:hint="eastAsia" w:hAnsi="宋体"/>
          <w:color w:val="auto"/>
          <w:lang w:val="en-US" w:eastAsia="zh-CN"/>
        </w:rPr>
        <w:t>3</w:t>
      </w:r>
      <w:r>
        <w:rPr>
          <w:rFonts w:hint="eastAsia" w:hAnsi="宋体"/>
          <w:color w:val="auto"/>
          <w:lang w:eastAsia="zh-CN"/>
        </w:rPr>
        <w:t>）《</w:t>
      </w:r>
      <w:r>
        <w:rPr>
          <w:rFonts w:hint="eastAsia" w:hAnsi="宋体"/>
          <w:color w:val="auto"/>
          <w:lang w:val="en-US" w:eastAsia="zh-CN"/>
        </w:rPr>
        <w:t>合肥市声环境功能区划图</w:t>
      </w:r>
      <w:r>
        <w:rPr>
          <w:rFonts w:hint="eastAsia" w:hAnsi="宋体"/>
          <w:color w:val="auto"/>
          <w:lang w:eastAsia="zh-CN"/>
        </w:rPr>
        <w:t>》、《</w:t>
      </w:r>
      <w:r>
        <w:rPr>
          <w:rFonts w:hint="eastAsia" w:hAnsi="宋体"/>
          <w:color w:val="auto"/>
          <w:lang w:val="en-US" w:eastAsia="zh-CN"/>
        </w:rPr>
        <w:t>合肥市环境空气质量功能区划</w:t>
      </w:r>
      <w:r>
        <w:rPr>
          <w:rFonts w:hint="eastAsia" w:hAnsi="宋体"/>
          <w:color w:val="auto"/>
          <w:lang w:eastAsia="zh-CN"/>
        </w:rPr>
        <w:t>》、《</w:t>
      </w:r>
      <w:r>
        <w:rPr>
          <w:rFonts w:hint="eastAsia" w:hAnsi="宋体"/>
          <w:color w:val="auto"/>
          <w:lang w:val="en-US" w:eastAsia="zh-CN"/>
        </w:rPr>
        <w:t>合肥市水环境功能区划</w:t>
      </w:r>
      <w:r>
        <w:rPr>
          <w:rFonts w:hint="eastAsia" w:hAnsi="宋体"/>
          <w:color w:val="auto"/>
          <w:lang w:eastAsia="zh-CN"/>
        </w:rPr>
        <w:t>》</w:t>
      </w:r>
      <w:r>
        <w:rPr>
          <w:rFonts w:hint="eastAsia" w:ascii="Times New Roman" w:hAnsi="Times New Roman" w:eastAsia="宋体" w:cs="宋体"/>
          <w:color w:val="auto"/>
          <w:sz w:val="24"/>
          <w:szCs w:val="24"/>
          <w:highlight w:val="none"/>
          <w:lang w:val="en-US" w:eastAsia="zh-CN"/>
        </w:rPr>
        <w:t>。</w:t>
      </w:r>
    </w:p>
    <w:p>
      <w:pPr>
        <w:pStyle w:val="4"/>
        <w:rPr>
          <w:rFonts w:hint="eastAsia"/>
          <w:color w:val="auto"/>
        </w:rPr>
      </w:pPr>
      <w:bookmarkStart w:id="19" w:name="_Toc24245"/>
      <w:r>
        <w:rPr>
          <w:color w:val="auto"/>
        </w:rPr>
        <w:t>评价</w:t>
      </w:r>
      <w:r>
        <w:rPr>
          <w:rFonts w:hint="eastAsia"/>
          <w:color w:val="auto"/>
        </w:rPr>
        <w:t>内容及评价因子</w:t>
      </w:r>
      <w:bookmarkEnd w:id="19"/>
    </w:p>
    <w:p>
      <w:pPr>
        <w:pStyle w:val="5"/>
        <w:spacing w:before="120"/>
        <w:ind w:left="480"/>
        <w:rPr>
          <w:rFonts w:hint="eastAsia"/>
          <w:color w:val="auto"/>
        </w:rPr>
      </w:pPr>
      <w:r>
        <w:rPr>
          <w:rFonts w:hint="eastAsia"/>
          <w:color w:val="auto"/>
        </w:rPr>
        <w:t>评价内容</w:t>
      </w:r>
    </w:p>
    <w:p>
      <w:pPr>
        <w:spacing w:line="360" w:lineRule="auto"/>
        <w:ind w:firstLine="480"/>
        <w:rPr>
          <w:rFonts w:hint="eastAsia"/>
          <w:color w:val="auto"/>
        </w:rPr>
      </w:pPr>
      <w:r>
        <w:rPr>
          <w:rFonts w:eastAsia="长城黑体"/>
          <w:color w:val="auto"/>
        </w:rPr>
        <w:t>本次评价主要包括以下专题设置：</w:t>
      </w:r>
      <w:r>
        <w:rPr>
          <w:rFonts w:hint="eastAsia" w:eastAsia="长城黑体"/>
          <w:color w:val="auto"/>
          <w:lang w:eastAsia="zh-CN"/>
        </w:rPr>
        <w:t>概述、</w:t>
      </w:r>
      <w:r>
        <w:rPr>
          <w:rFonts w:eastAsia="长城黑体"/>
          <w:color w:val="auto"/>
        </w:rPr>
        <w:t>总</w:t>
      </w:r>
      <w:r>
        <w:rPr>
          <w:rFonts w:hint="eastAsia" w:eastAsia="长城黑体"/>
          <w:color w:val="auto"/>
          <w:lang w:val="en-US" w:eastAsia="zh-CN"/>
        </w:rPr>
        <w:t>则</w:t>
      </w:r>
      <w:r>
        <w:rPr>
          <w:rFonts w:hint="eastAsia" w:eastAsia="长城黑体"/>
          <w:color w:val="auto"/>
          <w:lang w:eastAsia="zh-CN"/>
        </w:rPr>
        <w:t>、</w:t>
      </w:r>
      <w:r>
        <w:rPr>
          <w:rFonts w:hint="eastAsia" w:eastAsia="长城黑体"/>
          <w:color w:val="auto"/>
          <w:lang w:val="en-US" w:eastAsia="zh-CN"/>
        </w:rPr>
        <w:t>建设项目概况与</w:t>
      </w:r>
      <w:r>
        <w:rPr>
          <w:rFonts w:eastAsia="长城黑体"/>
          <w:color w:val="auto"/>
        </w:rPr>
        <w:t>工程分析、环境</w:t>
      </w:r>
      <w:r>
        <w:rPr>
          <w:rFonts w:hint="eastAsia" w:eastAsia="长城黑体"/>
          <w:color w:val="auto"/>
          <w:lang w:eastAsia="zh-CN"/>
        </w:rPr>
        <w:t>质量</w:t>
      </w:r>
      <w:r>
        <w:rPr>
          <w:rFonts w:hint="eastAsia" w:eastAsia="长城黑体"/>
          <w:color w:val="auto"/>
          <w:lang w:val="en-US" w:eastAsia="zh-CN"/>
        </w:rPr>
        <w:t>现状评价</w:t>
      </w:r>
      <w:r>
        <w:rPr>
          <w:rFonts w:eastAsia="长城黑体"/>
          <w:color w:val="auto"/>
        </w:rPr>
        <w:t>、环境影响评价、环境</w:t>
      </w:r>
      <w:r>
        <w:rPr>
          <w:rFonts w:hint="eastAsia" w:eastAsia="长城黑体"/>
          <w:color w:val="auto"/>
          <w:lang w:val="en-US" w:eastAsia="zh-CN"/>
        </w:rPr>
        <w:t>污染控制与对策</w:t>
      </w:r>
      <w:r>
        <w:rPr>
          <w:rFonts w:eastAsia="长城黑体"/>
          <w:color w:val="auto"/>
        </w:rPr>
        <w:t>、</w:t>
      </w:r>
      <w:r>
        <w:rPr>
          <w:rFonts w:hint="eastAsia" w:eastAsia="长城黑体"/>
          <w:color w:val="auto"/>
          <w:lang w:eastAsia="zh-CN"/>
        </w:rPr>
        <w:t>环境风险分析、</w:t>
      </w:r>
      <w:r>
        <w:rPr>
          <w:rFonts w:eastAsia="长城黑体"/>
          <w:color w:val="auto"/>
        </w:rPr>
        <w:t>环境经济损益分析、环境管理与</w:t>
      </w:r>
      <w:r>
        <w:rPr>
          <w:rFonts w:hint="eastAsia" w:eastAsia="长城黑体"/>
          <w:color w:val="auto"/>
          <w:lang w:eastAsia="zh-CN"/>
        </w:rPr>
        <w:t>监测</w:t>
      </w:r>
      <w:r>
        <w:rPr>
          <w:rFonts w:eastAsia="长城黑体"/>
          <w:color w:val="auto"/>
        </w:rPr>
        <w:t>计划、结论</w:t>
      </w:r>
      <w:r>
        <w:rPr>
          <w:rFonts w:hint="eastAsia" w:eastAsia="长城黑体"/>
          <w:color w:val="auto"/>
          <w:lang w:eastAsia="zh-CN"/>
        </w:rPr>
        <w:t>与建议</w:t>
      </w:r>
      <w:r>
        <w:rPr>
          <w:rFonts w:eastAsia="长城黑体"/>
          <w:color w:val="auto"/>
        </w:rPr>
        <w:t>等</w:t>
      </w:r>
      <w:r>
        <w:rPr>
          <w:rFonts w:hint="eastAsia" w:eastAsia="长城黑体"/>
          <w:color w:val="auto"/>
        </w:rPr>
        <w:t>。</w:t>
      </w:r>
    </w:p>
    <w:p>
      <w:pPr>
        <w:pStyle w:val="5"/>
        <w:spacing w:before="120"/>
        <w:ind w:left="480"/>
        <w:rPr>
          <w:rFonts w:hint="eastAsia"/>
          <w:color w:val="auto"/>
        </w:rPr>
      </w:pPr>
      <w:r>
        <w:rPr>
          <w:rFonts w:hint="eastAsia"/>
          <w:color w:val="auto"/>
        </w:rPr>
        <w:t>评价重点</w:t>
      </w:r>
    </w:p>
    <w:p>
      <w:pPr>
        <w:spacing w:line="360" w:lineRule="auto"/>
        <w:ind w:firstLine="480"/>
        <w:rPr>
          <w:rFonts w:hint="eastAsia"/>
          <w:color w:val="auto"/>
        </w:rPr>
      </w:pPr>
      <w:r>
        <w:rPr>
          <w:rFonts w:hint="eastAsia"/>
          <w:color w:val="auto"/>
        </w:rPr>
        <w:t>针对项目区域自然环境特征和工程特点，本次评价工作的重点为：施工期以噪声、扬尘为评价重点</w:t>
      </w:r>
      <w:r>
        <w:rPr>
          <w:rFonts w:hint="eastAsia" w:cs="宋体"/>
          <w:color w:val="auto"/>
          <w:lang w:eastAsia="zh-CN"/>
        </w:rPr>
        <w:t>；</w:t>
      </w:r>
      <w:r>
        <w:rPr>
          <w:rFonts w:hint="eastAsia"/>
          <w:color w:val="auto"/>
        </w:rPr>
        <w:t>营运期以项目产生的废水、废气、</w:t>
      </w:r>
      <w:r>
        <w:rPr>
          <w:rFonts w:hint="eastAsia"/>
          <w:color w:val="auto"/>
          <w:lang w:eastAsia="zh-CN"/>
        </w:rPr>
        <w:t>噪声、</w:t>
      </w:r>
      <w:r>
        <w:rPr>
          <w:rFonts w:hint="eastAsia"/>
          <w:color w:val="auto"/>
        </w:rPr>
        <w:t>固体废物的影响以及外界交通噪声对本项目的影响为重点。</w:t>
      </w:r>
    </w:p>
    <w:p>
      <w:pPr>
        <w:pStyle w:val="5"/>
        <w:spacing w:before="120"/>
        <w:ind w:left="480"/>
        <w:rPr>
          <w:rFonts w:hint="eastAsia"/>
          <w:color w:val="auto"/>
        </w:rPr>
      </w:pPr>
      <w:r>
        <w:rPr>
          <w:color w:val="auto"/>
        </w:rPr>
        <w:t>环境影响识别及评价因子的</w:t>
      </w:r>
      <w:r>
        <w:rPr>
          <w:rFonts w:hint="eastAsia"/>
          <w:color w:val="auto"/>
        </w:rPr>
        <w:t>确定</w:t>
      </w:r>
    </w:p>
    <w:p>
      <w:pPr>
        <w:spacing w:line="360" w:lineRule="auto"/>
        <w:ind w:firstLine="480"/>
        <w:rPr>
          <w:rFonts w:hAnsi="宋体"/>
          <w:color w:val="auto"/>
        </w:rPr>
      </w:pPr>
      <w:r>
        <w:rPr>
          <w:rFonts w:hAnsi="宋体"/>
          <w:color w:val="auto"/>
        </w:rPr>
        <w:t>（1）环境影响识别</w:t>
      </w:r>
    </w:p>
    <w:p>
      <w:pPr>
        <w:spacing w:line="360" w:lineRule="auto"/>
        <w:ind w:firstLine="480"/>
        <w:rPr>
          <w:rFonts w:hint="eastAsia" w:hAnsi="宋体"/>
          <w:color w:val="auto"/>
        </w:rPr>
      </w:pPr>
      <w:r>
        <w:rPr>
          <w:rFonts w:hAnsi="宋体"/>
          <w:color w:val="auto"/>
        </w:rPr>
        <w:t>本工程环境影响识别见表</w:t>
      </w:r>
      <w:r>
        <w:rPr>
          <w:rFonts w:hint="eastAsia" w:hAnsi="宋体"/>
          <w:color w:val="auto"/>
          <w:lang w:val="en-US" w:eastAsia="zh-CN"/>
        </w:rPr>
        <w:t>2</w:t>
      </w:r>
      <w:r>
        <w:rPr>
          <w:rFonts w:hAnsi="宋体"/>
          <w:color w:val="auto"/>
        </w:rPr>
        <w:t>.3-</w:t>
      </w:r>
      <w:r>
        <w:rPr>
          <w:rFonts w:hint="eastAsia" w:hAnsi="宋体"/>
          <w:color w:val="auto"/>
        </w:rPr>
        <w:t>1</w:t>
      </w:r>
      <w:r>
        <w:rPr>
          <w:rFonts w:hint="eastAsia" w:hAnsi="宋体"/>
          <w:color w:val="auto"/>
          <w:lang w:eastAsia="zh-CN"/>
        </w:rPr>
        <w:t>。</w:t>
      </w:r>
    </w:p>
    <w:p>
      <w:pPr>
        <w:spacing w:line="240" w:lineRule="auto"/>
        <w:ind w:firstLine="422"/>
        <w:jc w:val="center"/>
        <w:rPr>
          <w:b/>
          <w:color w:val="auto"/>
          <w:sz w:val="21"/>
          <w:szCs w:val="21"/>
        </w:rPr>
      </w:pPr>
      <w:r>
        <w:rPr>
          <w:b/>
          <w:color w:val="auto"/>
          <w:sz w:val="21"/>
          <w:szCs w:val="21"/>
        </w:rPr>
        <w:t>表</w:t>
      </w:r>
      <w:r>
        <w:rPr>
          <w:rFonts w:hint="eastAsia"/>
          <w:b/>
          <w:color w:val="auto"/>
          <w:sz w:val="21"/>
          <w:szCs w:val="21"/>
          <w:lang w:val="en-US" w:eastAsia="zh-CN"/>
        </w:rPr>
        <w:t>2</w:t>
      </w:r>
      <w:r>
        <w:rPr>
          <w:b/>
          <w:color w:val="auto"/>
          <w:sz w:val="21"/>
          <w:szCs w:val="21"/>
        </w:rPr>
        <w:t>.3-</w:t>
      </w:r>
      <w:r>
        <w:rPr>
          <w:rFonts w:hint="eastAsia"/>
          <w:b/>
          <w:color w:val="auto"/>
          <w:sz w:val="21"/>
          <w:szCs w:val="21"/>
        </w:rPr>
        <w:t>1</w:t>
      </w:r>
      <w:r>
        <w:rPr>
          <w:b/>
          <w:color w:val="auto"/>
          <w:sz w:val="21"/>
          <w:szCs w:val="21"/>
        </w:rPr>
        <w:t xml:space="preserve">  环境影响识别表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环境类别</w:t>
            </w: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污染类别</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扬尘</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w w:val="99"/>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汽车尾气</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污水处理站恶臭</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w w:val="99"/>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燃油废气</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天然气燃烧废气</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w w:val="99"/>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食堂油烟</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w w:val="99"/>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动植物油</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1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1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粪大肠菌群</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42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42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固体废弃物</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42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地下水</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1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b/>
          <w:bCs/>
          <w:color w:val="auto"/>
          <w:sz w:val="21"/>
          <w:szCs w:val="21"/>
        </w:rPr>
      </w:pPr>
      <w:r>
        <w:rPr>
          <w:rFonts w:hint="eastAsia"/>
          <w:b/>
          <w:bCs/>
          <w:color w:val="auto"/>
          <w:sz w:val="21"/>
          <w:szCs w:val="21"/>
        </w:rPr>
        <w:t>注：</w:t>
      </w:r>
      <w:r>
        <w:rPr>
          <w:rFonts w:hint="default" w:ascii="Times New Roman" w:hAnsi="Times New Roman" w:cs="Times New Roman"/>
          <w:color w:val="auto"/>
          <w:w w:val="99"/>
          <w:sz w:val="21"/>
          <w:szCs w:val="21"/>
        </w:rPr>
        <w:t>—</w:t>
      </w:r>
      <w:r>
        <w:rPr>
          <w:rFonts w:hint="eastAsia"/>
          <w:b/>
          <w:bCs/>
          <w:color w:val="auto"/>
          <w:sz w:val="21"/>
          <w:szCs w:val="21"/>
        </w:rPr>
        <w:t>表示</w:t>
      </w:r>
      <w:r>
        <w:rPr>
          <w:rFonts w:hint="eastAsia"/>
          <w:b/>
          <w:bCs/>
          <w:color w:val="auto"/>
          <w:sz w:val="21"/>
          <w:szCs w:val="21"/>
          <w:lang w:val="en-US" w:eastAsia="zh-CN"/>
        </w:rPr>
        <w:t>无</w:t>
      </w:r>
      <w:r>
        <w:rPr>
          <w:rFonts w:hint="eastAsia"/>
          <w:b/>
          <w:bCs/>
          <w:color w:val="auto"/>
          <w:sz w:val="21"/>
          <w:szCs w:val="21"/>
        </w:rPr>
        <w:t>影响，○表示有轻微影响，●表示有显著影响</w:t>
      </w:r>
    </w:p>
    <w:p>
      <w:pPr>
        <w:keepNext w:val="0"/>
        <w:keepLines w:val="0"/>
        <w:pageBreakBefore w:val="0"/>
        <w:widowControl w:val="0"/>
        <w:kinsoku/>
        <w:wordWrap/>
        <w:overflowPunct/>
        <w:topLinePunct w:val="0"/>
        <w:autoSpaceDE/>
        <w:autoSpaceDN/>
        <w:bidi w:val="0"/>
        <w:adjustRightInd w:val="0"/>
        <w:snapToGrid/>
        <w:spacing w:line="480" w:lineRule="exact"/>
        <w:ind w:left="0" w:leftChars="0" w:right="0" w:rightChars="0" w:firstLine="480" w:firstLineChars="200"/>
        <w:textAlignment w:val="auto"/>
        <w:outlineLvl w:val="9"/>
        <w:rPr>
          <w:bCs/>
          <w:color w:val="auto"/>
        </w:rPr>
      </w:pPr>
      <w:r>
        <w:rPr>
          <w:bCs/>
          <w:color w:val="auto"/>
        </w:rPr>
        <w:t>（2）评价因子的确定</w:t>
      </w:r>
    </w:p>
    <w:p>
      <w:pPr>
        <w:keepNext w:val="0"/>
        <w:keepLines w:val="0"/>
        <w:pageBreakBefore w:val="0"/>
        <w:widowControl w:val="0"/>
        <w:kinsoku/>
        <w:wordWrap/>
        <w:overflowPunct/>
        <w:topLinePunct w:val="0"/>
        <w:autoSpaceDE/>
        <w:autoSpaceDN/>
        <w:bidi w:val="0"/>
        <w:adjustRightInd w:val="0"/>
        <w:snapToGrid/>
        <w:spacing w:line="480" w:lineRule="exact"/>
        <w:ind w:left="0" w:leftChars="0" w:right="0" w:rightChars="0" w:firstLine="480" w:firstLineChars="200"/>
        <w:textAlignment w:val="auto"/>
        <w:outlineLvl w:val="9"/>
        <w:rPr>
          <w:rFonts w:hint="eastAsia"/>
          <w:bCs/>
          <w:color w:val="auto"/>
        </w:rPr>
      </w:pPr>
      <w:r>
        <w:rPr>
          <w:bCs/>
          <w:color w:val="auto"/>
        </w:rPr>
        <w:t>由环境影响因子的识别，确定本项目评价因子见表</w:t>
      </w:r>
      <w:r>
        <w:rPr>
          <w:rFonts w:hint="eastAsia"/>
          <w:bCs/>
          <w:color w:val="auto"/>
          <w:lang w:val="en-US" w:eastAsia="zh-CN"/>
        </w:rPr>
        <w:t>2</w:t>
      </w:r>
      <w:r>
        <w:rPr>
          <w:bCs/>
          <w:color w:val="auto"/>
        </w:rPr>
        <w:t>.3-</w:t>
      </w:r>
      <w:r>
        <w:rPr>
          <w:rFonts w:hint="eastAsia"/>
          <w:bCs/>
          <w:color w:val="auto"/>
        </w:rPr>
        <w:t>2</w:t>
      </w:r>
      <w:r>
        <w:rPr>
          <w:bCs/>
          <w:color w:val="auto"/>
        </w:rPr>
        <w:t>。</w:t>
      </w:r>
    </w:p>
    <w:p>
      <w:pPr>
        <w:keepNext w:val="0"/>
        <w:keepLines w:val="0"/>
        <w:pageBreakBefore w:val="0"/>
        <w:widowControl w:val="0"/>
        <w:kinsoku/>
        <w:wordWrap/>
        <w:overflowPunct/>
        <w:topLinePunct w:val="0"/>
        <w:autoSpaceDE/>
        <w:autoSpaceDN/>
        <w:bidi w:val="0"/>
        <w:snapToGrid/>
        <w:spacing w:line="480" w:lineRule="exact"/>
        <w:ind w:left="0" w:leftChars="0" w:right="0" w:rightChars="0" w:firstLine="422" w:firstLineChars="200"/>
        <w:jc w:val="center"/>
        <w:textAlignment w:val="auto"/>
        <w:outlineLvl w:val="9"/>
        <w:rPr>
          <w:b/>
          <w:color w:val="auto"/>
          <w:sz w:val="21"/>
          <w:szCs w:val="21"/>
        </w:rPr>
      </w:pPr>
      <w:r>
        <w:rPr>
          <w:b/>
          <w:color w:val="auto"/>
          <w:sz w:val="21"/>
          <w:szCs w:val="21"/>
        </w:rPr>
        <w:t>表</w:t>
      </w:r>
      <w:r>
        <w:rPr>
          <w:rFonts w:hint="eastAsia"/>
          <w:b/>
          <w:color w:val="auto"/>
          <w:sz w:val="21"/>
          <w:szCs w:val="21"/>
          <w:lang w:val="en-US" w:eastAsia="zh-CN"/>
        </w:rPr>
        <w:t>2</w:t>
      </w:r>
      <w:r>
        <w:rPr>
          <w:b/>
          <w:color w:val="auto"/>
          <w:sz w:val="21"/>
          <w:szCs w:val="21"/>
        </w:rPr>
        <w:t>.3-</w:t>
      </w:r>
      <w:r>
        <w:rPr>
          <w:rFonts w:hint="eastAsia"/>
          <w:b/>
          <w:color w:val="auto"/>
          <w:sz w:val="21"/>
          <w:szCs w:val="21"/>
        </w:rPr>
        <w:t>2</w:t>
      </w:r>
      <w:r>
        <w:rPr>
          <w:b/>
          <w:color w:val="auto"/>
          <w:sz w:val="21"/>
          <w:szCs w:val="21"/>
        </w:rPr>
        <w:t xml:space="preserve">  评价因子确定表</w:t>
      </w:r>
    </w:p>
    <w:tbl>
      <w:tblPr>
        <w:tblStyle w:val="48"/>
        <w:tblW w:w="5102" w:type="pct"/>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3190"/>
        <w:gridCol w:w="3153"/>
        <w:gridCol w:w="1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环境类别</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现状评价因子</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影响评价因子</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总量控制因子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CO、O</w:t>
            </w:r>
            <w:r>
              <w:rPr>
                <w:rFonts w:hint="default"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highlight w:val="none"/>
                <w:lang w:val="en-US" w:eastAsia="zh-CN"/>
              </w:rPr>
              <w:t>NOx、</w:t>
            </w: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、NOx、H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、臭气浓度</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pH、CODcr、BOD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、氨氮、总磷</w:t>
            </w:r>
            <w:r>
              <w:rPr>
                <w:rFonts w:hint="eastAsia" w:ascii="Times New Roman" w:hAnsi="Times New Roman" w:eastAsia="宋体" w:cs="Times New Roman"/>
                <w:color w:val="auto"/>
                <w:sz w:val="21"/>
                <w:szCs w:val="21"/>
                <w:lang w:eastAsia="zh-CN"/>
              </w:rPr>
              <w:t>、</w:t>
            </w:r>
            <w:r>
              <w:rPr>
                <w:rFonts w:hint="eastAsia" w:cs="Times New Roman"/>
                <w:color w:val="auto"/>
                <w:sz w:val="21"/>
                <w:szCs w:val="21"/>
                <w:lang w:val="en-US" w:eastAsia="zh-CN"/>
              </w:rPr>
              <w:t>等</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pH、CODcr、BOD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、SS、氨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w:t>
            </w:r>
            <w:r>
              <w:rPr>
                <w:rFonts w:hint="eastAsia" w:cs="Times New Roman"/>
                <w:color w:val="auto"/>
                <w:sz w:val="21"/>
                <w:szCs w:val="21"/>
                <w:lang w:eastAsia="zh-CN"/>
              </w:rPr>
              <w:t>动植物油、</w:t>
            </w:r>
            <w:r>
              <w:rPr>
                <w:rFonts w:hint="default" w:ascii="Times New Roman" w:hAnsi="Times New Roman" w:eastAsia="宋体" w:cs="Times New Roman"/>
                <w:color w:val="auto"/>
                <w:sz w:val="21"/>
                <w:szCs w:val="21"/>
              </w:rPr>
              <w:t>粪大肠菌群数</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等效连续A声级</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等效连续A声级</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eastAsia="zh-CN"/>
              </w:rPr>
              <w:t>生活垃圾、</w:t>
            </w:r>
            <w:r>
              <w:rPr>
                <w:rFonts w:hint="default" w:ascii="Times New Roman" w:hAnsi="Times New Roman" w:eastAsia="宋体" w:cs="Times New Roman"/>
                <w:color w:val="auto"/>
                <w:sz w:val="21"/>
                <w:szCs w:val="21"/>
              </w:rPr>
              <w:t>一般固废和危险固废</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地下水</w:t>
            </w:r>
          </w:p>
        </w:tc>
        <w:tc>
          <w:tcPr>
            <w:tcW w:w="18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kern w:val="0"/>
                <w:sz w:val="21"/>
                <w:szCs w:val="21"/>
                <w:lang w:val="en-US" w:eastAsia="zh-CN"/>
              </w:rPr>
              <w:t>pH、氨氮、硝酸盐、亚硝酸盐、挥发性酚类、氰化物、砷、汞、六价铬、总硬度、铅、镉、铁、锰、溶解性总固体、氟化物、总大肠菌群、细菌总数、</w:t>
            </w:r>
            <w:r>
              <w:rPr>
                <w:rFonts w:hint="default" w:ascii="Times New Roman" w:hAnsi="Times New Roman" w:eastAsia="宋体" w:cs="Times New Roman"/>
                <w:color w:val="auto"/>
                <w:kern w:val="0"/>
                <w:sz w:val="21"/>
                <w:szCs w:val="21"/>
                <w:lang w:val="en-US" w:eastAsia="zh-CN"/>
              </w:rPr>
              <w:t>K</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、Na</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、Ca</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、Mg</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、CO</w:t>
            </w:r>
            <w:r>
              <w:rPr>
                <w:rFonts w:hint="default" w:ascii="Times New Roman" w:hAnsi="Times New Roman" w:eastAsia="宋体" w:cs="Times New Roman"/>
                <w:color w:val="auto"/>
                <w:kern w:val="0"/>
                <w:sz w:val="21"/>
                <w:szCs w:val="21"/>
                <w:vertAlign w:val="subscript"/>
                <w:lang w:val="en-US" w:eastAsia="zh-CN"/>
              </w:rPr>
              <w:t>3</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、HCO</w:t>
            </w:r>
            <w:r>
              <w:rPr>
                <w:rFonts w:hint="default" w:ascii="Times New Roman" w:hAnsi="Times New Roman" w:eastAsia="宋体" w:cs="Times New Roman"/>
                <w:color w:val="auto"/>
                <w:kern w:val="0"/>
                <w:sz w:val="21"/>
                <w:szCs w:val="21"/>
                <w:vertAlign w:val="subscript"/>
                <w:lang w:val="en-US" w:eastAsia="zh-CN"/>
              </w:rPr>
              <w:t>3</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、Cl</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、SO</w:t>
            </w:r>
            <w:r>
              <w:rPr>
                <w:rFonts w:hint="default" w:ascii="Times New Roman" w:hAnsi="Times New Roman" w:eastAsia="宋体" w:cs="Times New Roman"/>
                <w:color w:val="auto"/>
                <w:kern w:val="0"/>
                <w:sz w:val="21"/>
                <w:szCs w:val="21"/>
                <w:vertAlign w:val="subscript"/>
                <w:lang w:val="en-US" w:eastAsia="zh-CN"/>
              </w:rPr>
              <w:t>4</w:t>
            </w:r>
            <w:r>
              <w:rPr>
                <w:rFonts w:hint="default" w:ascii="Times New Roman" w:hAnsi="Times New Roman" w:eastAsia="宋体" w:cs="Times New Roman"/>
                <w:color w:val="auto"/>
                <w:kern w:val="0"/>
                <w:sz w:val="21"/>
                <w:szCs w:val="21"/>
                <w:vertAlign w:val="superscript"/>
                <w:lang w:val="en-US" w:eastAsia="zh-CN"/>
              </w:rPr>
              <w:t>2-</w:t>
            </w:r>
          </w:p>
        </w:tc>
        <w:tc>
          <w:tcPr>
            <w:tcW w:w="18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COD、NH</w:t>
            </w:r>
            <w:r>
              <w:rPr>
                <w:rFonts w:hint="eastAsia" w:cs="Times New Roman"/>
                <w:color w:val="auto"/>
                <w:sz w:val="21"/>
                <w:szCs w:val="21"/>
                <w:vertAlign w:val="subscript"/>
                <w:lang w:val="en-US" w:eastAsia="zh-CN"/>
              </w:rPr>
              <w:t>3</w:t>
            </w:r>
            <w:r>
              <w:rPr>
                <w:rFonts w:hint="eastAsia" w:cs="Times New Roman"/>
                <w:color w:val="auto"/>
                <w:sz w:val="21"/>
                <w:szCs w:val="21"/>
                <w:lang w:val="en-US" w:eastAsia="zh-CN"/>
              </w:rPr>
              <w:t>-N</w:t>
            </w:r>
          </w:p>
        </w:tc>
        <w:tc>
          <w:tcPr>
            <w:tcW w:w="8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pStyle w:val="4"/>
        <w:rPr>
          <w:rFonts w:hint="eastAsia"/>
          <w:color w:val="auto"/>
        </w:rPr>
      </w:pPr>
      <w:bookmarkStart w:id="20" w:name="_Toc32622"/>
      <w:r>
        <w:rPr>
          <w:color w:val="auto"/>
        </w:rPr>
        <w:t>评价等级与评价范围</w:t>
      </w:r>
      <w:bookmarkEnd w:id="20"/>
    </w:p>
    <w:p>
      <w:pPr>
        <w:pStyle w:val="5"/>
        <w:spacing w:before="120"/>
        <w:ind w:left="480"/>
        <w:rPr>
          <w:rFonts w:hint="eastAsia"/>
          <w:color w:val="auto"/>
        </w:rPr>
      </w:pPr>
      <w:r>
        <w:rPr>
          <w:rFonts w:hint="eastAsia"/>
          <w:color w:val="auto"/>
        </w:rPr>
        <w:t>评价等级</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大气评价工作等级</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①</w:t>
      </w:r>
      <w:r>
        <w:rPr>
          <w:rFonts w:hint="default" w:ascii="Times New Roman" w:hAnsi="Times New Roman" w:eastAsia="宋体" w:cs="Times New Roman"/>
          <w:color w:val="auto"/>
          <w:highlight w:val="none"/>
          <w:lang w:eastAsia="zh-CN"/>
        </w:rPr>
        <w:t>Pmax及D10%的确定</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依据《环境影响评价技术导则 大气环境》（HJ2.2-2018）中最大地面浓度占标率Pi</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定义如下：</w:t>
      </w:r>
    </w:p>
    <w:p>
      <w:pPr>
        <w:pStyle w:val="18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outlineLvl w:val="9"/>
        <w:rPr>
          <w:rFonts w:hint="eastAsia" w:ascii="宋体" w:hAnsi="宋体" w:eastAsia="宋体" w:cs="宋体"/>
          <w:color w:val="auto"/>
          <w:highlight w:val="none"/>
          <w:lang w:eastAsia="zh-CN"/>
        </w:rPr>
      </w:pPr>
      <w:r>
        <w:rPr>
          <w:color w:val="auto"/>
        </w:rPr>
        <w:drawing>
          <wp:inline distT="0" distB="0" distL="114300" distR="114300">
            <wp:extent cx="1701800" cy="556895"/>
            <wp:effectExtent l="0" t="0" r="12700" b="14605"/>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1"/>
                    </pic:cNvPicPr>
                  </pic:nvPicPr>
                  <pic:blipFill>
                    <a:blip r:embed="rId17"/>
                    <a:srcRect l="-1331" t="12556" r="32735" b="21600"/>
                    <a:stretch>
                      <a:fillRect/>
                    </a:stretch>
                  </pic:blipFill>
                  <pic:spPr>
                    <a:xfrm>
                      <a:off x="0" y="0"/>
                      <a:ext cx="1701800" cy="556895"/>
                    </a:xfrm>
                    <a:prstGeom prst="rect">
                      <a:avLst/>
                    </a:prstGeom>
                    <a:noFill/>
                    <a:ln>
                      <a:noFill/>
                    </a:ln>
                  </pic:spPr>
                </pic:pic>
              </a:graphicData>
            </a:graphic>
          </wp:inline>
        </w:drawing>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outlineLvl w:val="9"/>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式中：</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outlineLvl w:val="9"/>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P</w:t>
      </w:r>
      <w:r>
        <w:rPr>
          <w:rFonts w:hint="eastAsia" w:ascii="Times New Roman" w:hAnsi="Times New Roman" w:eastAsia="宋体" w:cs="Times New Roman"/>
          <w:color w:val="auto"/>
          <w:highlight w:val="none"/>
          <w:vertAlign w:val="subscript"/>
          <w:lang w:val="en-US" w:eastAsia="zh-CN"/>
        </w:rPr>
        <w:t>i</w:t>
      </w:r>
      <w:r>
        <w:rPr>
          <w:rFonts w:hint="default" w:ascii="Times New Roman" w:hAnsi="Times New Roman" w:eastAsia="宋体" w:cs="Times New Roman"/>
          <w:color w:val="auto"/>
          <w:highlight w:val="none"/>
          <w:lang w:eastAsia="zh-CN"/>
        </w:rPr>
        <w:t>——第i个污染物的最大地面空气质量浓度占标率，%</w:t>
      </w:r>
      <w:r>
        <w:rPr>
          <w:rFonts w:hint="eastAsia" w:ascii="Times New Roman" w:hAnsi="Times New Roman" w:eastAsia="宋体" w:cs="宋体"/>
          <w:color w:val="auto"/>
          <w:highlight w:val="none"/>
          <w:lang w:eastAsia="zh-CN"/>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outlineLvl w:val="9"/>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C</w:t>
      </w:r>
      <w:r>
        <w:rPr>
          <w:rFonts w:hint="eastAsia" w:ascii="Times New Roman" w:hAnsi="Times New Roman" w:eastAsia="宋体" w:cs="Times New Roman"/>
          <w:color w:val="auto"/>
          <w:highlight w:val="none"/>
          <w:vertAlign w:val="subscript"/>
          <w:lang w:val="en-US" w:eastAsia="zh-CN"/>
        </w:rPr>
        <w:t>i</w:t>
      </w:r>
      <w:r>
        <w:rPr>
          <w:rFonts w:hint="default" w:ascii="Times New Roman" w:hAnsi="Times New Roman" w:eastAsia="宋体" w:cs="Times New Roman"/>
          <w:color w:val="auto"/>
          <w:highlight w:val="none"/>
          <w:lang w:eastAsia="zh-CN"/>
        </w:rPr>
        <w:t>——采用估算模型计算出的第i个污染物最大1h地面空气质量浓度，μg/m</w:t>
      </w:r>
      <w:r>
        <w:rPr>
          <w:rFonts w:hint="default" w:ascii="Times New Roman" w:hAnsi="Times New Roman" w:eastAsia="宋体" w:cs="Times New Roman"/>
          <w:color w:val="auto"/>
          <w:highlight w:val="none"/>
          <w:vertAlign w:val="superscript"/>
          <w:lang w:eastAsia="zh-CN"/>
        </w:rPr>
        <w:t>3</w:t>
      </w:r>
      <w:r>
        <w:rPr>
          <w:rFonts w:hint="eastAsia" w:ascii="Times New Roman" w:hAnsi="Times New Roman" w:eastAsia="宋体" w:cs="宋体"/>
          <w:color w:val="auto"/>
          <w:highlight w:val="none"/>
          <w:lang w:eastAsia="zh-CN"/>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outlineLvl w:val="9"/>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C</w:t>
      </w:r>
      <w:r>
        <w:rPr>
          <w:rFonts w:hint="eastAsia" w:ascii="Times New Roman" w:hAnsi="Times New Roman" w:eastAsia="宋体" w:cs="Times New Roman"/>
          <w:color w:val="auto"/>
          <w:highlight w:val="none"/>
          <w:vertAlign w:val="subscript"/>
          <w:lang w:val="en-US" w:eastAsia="zh-CN"/>
        </w:rPr>
        <w:t>0i</w:t>
      </w:r>
      <w:r>
        <w:rPr>
          <w:rFonts w:hint="default" w:ascii="Times New Roman" w:hAnsi="Times New Roman" w:eastAsia="宋体" w:cs="Times New Roman"/>
          <w:color w:val="auto"/>
          <w:highlight w:val="none"/>
          <w:lang w:eastAsia="zh-CN"/>
        </w:rPr>
        <w:t>——第i个污染物的环境空气质量浓度标准，μg/m</w:t>
      </w:r>
      <w:r>
        <w:rPr>
          <w:rFonts w:hint="default" w:ascii="Times New Roman" w:hAnsi="Times New Roman" w:eastAsia="宋体" w:cs="Times New Roman"/>
          <w:color w:val="auto"/>
          <w:highlight w:val="none"/>
          <w:vertAlign w:val="superscript"/>
          <w:lang w:eastAsia="zh-CN"/>
        </w:rPr>
        <w:t>3</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C</w:t>
      </w:r>
      <w:r>
        <w:rPr>
          <w:rFonts w:hint="eastAsia" w:ascii="Times New Roman" w:hAnsi="Times New Roman" w:eastAsia="宋体" w:cs="Times New Roman"/>
          <w:color w:val="auto"/>
          <w:highlight w:val="none"/>
          <w:vertAlign w:val="subscript"/>
          <w:lang w:val="en-US" w:eastAsia="zh-CN"/>
        </w:rPr>
        <w:t>0i</w:t>
      </w:r>
      <w:r>
        <w:rPr>
          <w:rFonts w:hint="default" w:ascii="Times New Roman" w:hAnsi="Times New Roman" w:eastAsia="宋体" w:cs="Times New Roman"/>
          <w:color w:val="auto"/>
          <w:highlight w:val="none"/>
          <w:lang w:eastAsia="zh-CN"/>
        </w:rPr>
        <w:t>一般选用GB3095中1小时平均取样时间的二级标准的浓度限值</w:t>
      </w:r>
      <w:r>
        <w:rPr>
          <w:rFonts w:hint="eastAsia" w:ascii="Times New Roman" w:hAnsi="Times New Roman" w:eastAsia="宋体" w:cs="宋体"/>
          <w:color w:val="auto"/>
          <w:highlight w:val="none"/>
          <w:lang w:eastAsia="zh-CN"/>
        </w:rPr>
        <w:t>；</w:t>
      </w:r>
      <w:r>
        <w:rPr>
          <w:rFonts w:hint="default" w:ascii="Times New Roman" w:hAnsi="Times New Roman" w:eastAsia="宋体" w:cs="Times New Roman"/>
          <w:color w:val="auto"/>
          <w:highlight w:val="none"/>
          <w:lang w:eastAsia="zh-CN"/>
        </w:rPr>
        <w:t>对于没有1小时浓度限值的污染物，可取日平均浓度限值的三倍值。</w:t>
      </w:r>
    </w:p>
    <w:p>
      <w:pPr>
        <w:keepNext w:val="0"/>
        <w:keepLines w:val="0"/>
        <w:pageBreakBefore w:val="0"/>
        <w:widowControl w:val="0"/>
        <w:tabs>
          <w:tab w:val="left" w:pos="1121"/>
        </w:tabs>
        <w:kinsoku/>
        <w:wordWrap/>
        <w:overflowPunct/>
        <w:topLinePunct w:val="0"/>
        <w:autoSpaceDE/>
        <w:autoSpaceDN/>
        <w:bidi w:val="0"/>
        <w:adjustRightInd/>
        <w:snapToGrid/>
        <w:spacing w:line="240" w:lineRule="auto"/>
        <w:ind w:left="0" w:right="0" w:firstLine="0" w:firstLineChars="0"/>
        <w:jc w:val="center"/>
        <w:textAlignment w:val="auto"/>
        <w:rPr>
          <w:b/>
          <w:color w:val="auto"/>
          <w:sz w:val="21"/>
        </w:rPr>
      </w:pPr>
      <w:r>
        <w:rPr>
          <w:b/>
          <w:color w:val="auto"/>
          <w:sz w:val="21"/>
        </w:rPr>
        <w:t>表</w:t>
      </w:r>
      <w:r>
        <w:rPr>
          <w:b/>
          <w:color w:val="auto"/>
          <w:spacing w:val="-51"/>
          <w:sz w:val="21"/>
        </w:rPr>
        <w:t xml:space="preserve"> </w:t>
      </w:r>
      <w:r>
        <w:rPr>
          <w:rFonts w:hint="eastAsia" w:ascii="Times New Roman"/>
          <w:b/>
          <w:color w:val="auto"/>
          <w:sz w:val="21"/>
          <w:lang w:val="en-US" w:eastAsia="zh-CN"/>
        </w:rPr>
        <w:t>2</w:t>
      </w:r>
      <w:r>
        <w:rPr>
          <w:rFonts w:ascii="Times New Roman" w:eastAsia="Times New Roman"/>
          <w:b/>
          <w:color w:val="auto"/>
          <w:sz w:val="21"/>
        </w:rPr>
        <w:t>.4-</w:t>
      </w:r>
      <w:r>
        <w:rPr>
          <w:rFonts w:hint="eastAsia" w:ascii="Times New Roman" w:eastAsia="宋体"/>
          <w:b/>
          <w:color w:val="auto"/>
          <w:sz w:val="21"/>
          <w:lang w:val="en-US" w:eastAsia="zh-CN"/>
        </w:rPr>
        <w:t>1</w:t>
      </w:r>
      <w:r>
        <w:rPr>
          <w:rFonts w:ascii="Times New Roman" w:eastAsia="Times New Roman"/>
          <w:b/>
          <w:color w:val="auto"/>
          <w:sz w:val="21"/>
        </w:rPr>
        <w:tab/>
      </w:r>
      <w:r>
        <w:rPr>
          <w:b/>
          <w:color w:val="auto"/>
          <w:spacing w:val="6"/>
          <w:sz w:val="21"/>
        </w:rPr>
        <w:t>估算</w:t>
      </w:r>
      <w:r>
        <w:rPr>
          <w:b/>
          <w:color w:val="auto"/>
          <w:sz w:val="21"/>
        </w:rPr>
        <w:t>模式</w:t>
      </w:r>
      <w:r>
        <w:rPr>
          <w:b/>
          <w:color w:val="auto"/>
          <w:spacing w:val="6"/>
          <w:sz w:val="21"/>
        </w:rPr>
        <w:t>计</w:t>
      </w:r>
      <w:r>
        <w:rPr>
          <w:b/>
          <w:color w:val="auto"/>
          <w:sz w:val="21"/>
        </w:rPr>
        <w:t>算结果</w:t>
      </w:r>
    </w:p>
    <w:tbl>
      <w:tblPr>
        <w:tblStyle w:val="49"/>
        <w:tblW w:w="5109" w:type="pct"/>
        <w:tblInd w:w="-1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709"/>
        <w:gridCol w:w="914"/>
        <w:gridCol w:w="1022"/>
        <w:gridCol w:w="1637"/>
        <w:gridCol w:w="1036"/>
        <w:gridCol w:w="668"/>
        <w:gridCol w:w="655"/>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污染源名称</w:t>
            </w: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评价因子</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评价标准</w:t>
            </w:r>
            <w:r>
              <w:rPr>
                <w:rFonts w:hint="default" w:ascii="Times New Roman" w:hAnsi="Times New Roman" w:cs="Times New Roman"/>
                <w:b w:val="0"/>
                <w:bCs/>
                <w:color w:val="auto"/>
                <w:sz w:val="21"/>
                <w:szCs w:val="21"/>
                <w:vertAlign w:val="baseline"/>
                <w:lang w:val="en-US" w:eastAsia="zh-CN"/>
              </w:rPr>
              <w:t>(μg/m</w:t>
            </w:r>
            <w:r>
              <w:rPr>
                <w:rFonts w:hint="default" w:ascii="Times New Roman" w:hAnsi="Times New Roman" w:cs="Times New Roman"/>
                <w:b w:val="0"/>
                <w:bCs/>
                <w:color w:val="auto"/>
                <w:sz w:val="21"/>
                <w:szCs w:val="21"/>
                <w:vertAlign w:val="superscript"/>
                <w:lang w:val="en-US" w:eastAsia="zh-CN"/>
              </w:rPr>
              <w:t>3</w:t>
            </w:r>
            <w:r>
              <w:rPr>
                <w:rFonts w:hint="default" w:ascii="Times New Roman" w:hAnsi="Times New Roman" w:cs="Times New Roman"/>
                <w:b w:val="0"/>
                <w:bCs/>
                <w:color w:val="auto"/>
                <w:sz w:val="21"/>
                <w:szCs w:val="21"/>
                <w:vertAlign w:val="baseline"/>
                <w:lang w:val="en-US" w:eastAsia="zh-CN"/>
              </w:rPr>
              <w:t>)</w:t>
            </w:r>
          </w:p>
        </w:tc>
        <w:tc>
          <w:tcPr>
            <w:tcW w:w="58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排放速率（kg/h）</w:t>
            </w:r>
          </w:p>
        </w:tc>
        <w:tc>
          <w:tcPr>
            <w:tcW w:w="939"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排放参数</w:t>
            </w: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Cmax</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18"/>
                <w:szCs w:val="18"/>
                <w:vertAlign w:val="baseline"/>
                <w:lang w:val="en-US" w:eastAsia="zh-CN"/>
              </w:rPr>
            </w:pPr>
            <w:r>
              <w:rPr>
                <w:rFonts w:hint="eastAsia" w:hAnsi="宋体"/>
                <w:b w:val="0"/>
                <w:bCs/>
                <w:color w:val="auto"/>
                <w:sz w:val="18"/>
                <w:szCs w:val="18"/>
                <w:vertAlign w:val="baseline"/>
                <w:lang w:val="en-US" w:eastAsia="zh-CN"/>
              </w:rPr>
              <w:t>Pmax</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18"/>
                <w:szCs w:val="18"/>
                <w:vertAlign w:val="baseline"/>
                <w:lang w:val="en-US" w:eastAsia="zh-CN"/>
              </w:rPr>
            </w:pPr>
            <w:r>
              <w:rPr>
                <w:rFonts w:hint="eastAsia" w:hAnsi="宋体"/>
                <w:b w:val="0"/>
                <w:bCs/>
                <w:color w:val="auto"/>
                <w:sz w:val="18"/>
                <w:szCs w:val="18"/>
                <w:vertAlign w:val="baseline"/>
                <w:lang w:val="en-US" w:eastAsia="zh-CN"/>
              </w:rPr>
              <w:t>D10%</w:t>
            </w:r>
          </w:p>
        </w:tc>
        <w:tc>
          <w:tcPr>
            <w:tcW w:w="565"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18"/>
                <w:szCs w:val="18"/>
                <w:vertAlign w:val="baseline"/>
                <w:lang w:val="en-US" w:eastAsia="zh-CN"/>
              </w:rPr>
              <w:t>下风向最大质量浓度出现距离（m）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污水处理站排气筒(DA001)</w:t>
            </w: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NH</w:t>
            </w:r>
            <w:r>
              <w:rPr>
                <w:rFonts w:hint="eastAsia" w:hAnsi="宋体"/>
                <w:b w:val="0"/>
                <w:bCs/>
                <w:color w:val="auto"/>
                <w:sz w:val="21"/>
                <w:szCs w:val="21"/>
                <w:vertAlign w:val="subscript"/>
                <w:lang w:val="en-US" w:eastAsia="zh-CN"/>
              </w:rPr>
              <w:t>3</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200</w:t>
            </w:r>
          </w:p>
        </w:tc>
        <w:tc>
          <w:tcPr>
            <w:tcW w:w="586" w:type="pc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eastAsia="宋体"/>
                <w:color w:val="auto"/>
                <w:sz w:val="21"/>
                <w:szCs w:val="21"/>
                <w:highlight w:val="none"/>
                <w:lang w:val="en-US" w:eastAsia="zh-CN"/>
              </w:rPr>
              <w:t>0.00175</w:t>
            </w:r>
          </w:p>
        </w:tc>
        <w:tc>
          <w:tcPr>
            <w:tcW w:w="93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eastAsia="宋体"/>
                <w:b w:val="0"/>
                <w:bCs/>
                <w:color w:val="auto"/>
                <w:sz w:val="21"/>
                <w:szCs w:val="21"/>
                <w:vertAlign w:val="baseline"/>
                <w:lang w:val="en-US" w:eastAsia="zh-CN"/>
              </w:rPr>
              <w:t>高度：15m，内径：0.3m，风量：2000m</w:t>
            </w:r>
            <w:r>
              <w:rPr>
                <w:rFonts w:hint="eastAsia" w:hAnsi="宋体" w:eastAsia="宋体"/>
                <w:b w:val="0"/>
                <w:bCs/>
                <w:color w:val="auto"/>
                <w:sz w:val="21"/>
                <w:szCs w:val="21"/>
                <w:vertAlign w:val="superscript"/>
                <w:lang w:val="en-US" w:eastAsia="zh-CN"/>
              </w:rPr>
              <w:t>3</w:t>
            </w:r>
            <w:r>
              <w:rPr>
                <w:rFonts w:hint="eastAsia" w:hAnsi="宋体" w:eastAsia="宋体"/>
                <w:b w:val="0"/>
                <w:bCs/>
                <w:color w:val="auto"/>
                <w:sz w:val="21"/>
                <w:szCs w:val="21"/>
                <w:vertAlign w:val="baseline"/>
                <w:lang w:val="en-US" w:eastAsia="zh-CN"/>
              </w:rPr>
              <w:t>/h</w:t>
            </w: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1.07E-03</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hAnsi="宋体"/>
                <w:b w:val="0"/>
                <w:bCs/>
                <w:color w:val="auto"/>
                <w:sz w:val="21"/>
                <w:szCs w:val="21"/>
                <w:vertAlign w:val="baseline"/>
                <w:lang w:val="en-US" w:eastAsia="zh-CN"/>
              </w:rPr>
              <w:t>0.54</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H</w:t>
            </w:r>
            <w:r>
              <w:rPr>
                <w:rFonts w:hint="eastAsia" w:ascii="Times New Roman" w:hAnsi="宋体" w:eastAsia="宋体"/>
                <w:b w:val="0"/>
                <w:bCs/>
                <w:color w:val="auto"/>
                <w:sz w:val="21"/>
                <w:szCs w:val="21"/>
                <w:vertAlign w:val="subscript"/>
                <w:lang w:val="en-US" w:eastAsia="zh-CN"/>
              </w:rPr>
              <w:t>2</w:t>
            </w:r>
            <w:r>
              <w:rPr>
                <w:rFonts w:hint="eastAsia" w:hAnsi="宋体"/>
                <w:b w:val="0"/>
                <w:bCs/>
                <w:color w:val="auto"/>
                <w:sz w:val="21"/>
                <w:szCs w:val="21"/>
                <w:vertAlign w:val="baseline"/>
                <w:lang w:val="en-US" w:eastAsia="zh-CN"/>
              </w:rPr>
              <w:t>S</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10</w:t>
            </w:r>
          </w:p>
        </w:tc>
        <w:tc>
          <w:tcPr>
            <w:tcW w:w="586" w:type="pc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eastAsia="宋体"/>
                <w:color w:val="auto"/>
                <w:sz w:val="21"/>
                <w:szCs w:val="21"/>
                <w:highlight w:val="none"/>
                <w:lang w:val="en-US" w:eastAsia="zh-CN"/>
              </w:rPr>
              <w:t>0.00007</w:t>
            </w:r>
          </w:p>
        </w:tc>
        <w:tc>
          <w:tcPr>
            <w:tcW w:w="9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4.30E-05</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0.43</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锅炉燃烧废气排气筒(DA002)</w:t>
            </w: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500</w:t>
            </w:r>
          </w:p>
        </w:tc>
        <w:tc>
          <w:tcPr>
            <w:tcW w:w="58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eastAsia" w:hAnsi="宋体"/>
                <w:b w:val="0"/>
                <w:bCs/>
                <w:color w:val="auto"/>
                <w:sz w:val="21"/>
                <w:szCs w:val="21"/>
                <w:vertAlign w:val="baseline"/>
              </w:rPr>
            </w:pPr>
            <w:r>
              <w:rPr>
                <w:rFonts w:hint="eastAsia" w:ascii="Times New Roman" w:hAnsi="Times New Roman" w:eastAsia="宋体" w:cs="Times New Roman"/>
                <w:color w:val="auto"/>
                <w:sz w:val="21"/>
                <w:szCs w:val="21"/>
                <w:highlight w:val="none"/>
                <w:lang w:val="en-US" w:eastAsia="zh-CN"/>
              </w:rPr>
              <w:t xml:space="preserve">0.0913 </w:t>
            </w:r>
          </w:p>
        </w:tc>
        <w:tc>
          <w:tcPr>
            <w:tcW w:w="939"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hAnsi="宋体" w:eastAsia="宋体"/>
                <w:b w:val="0"/>
                <w:bCs/>
                <w:color w:val="auto"/>
                <w:sz w:val="21"/>
                <w:szCs w:val="21"/>
                <w:vertAlign w:val="baseline"/>
                <w:lang w:val="en-US" w:eastAsia="zh-CN"/>
              </w:rPr>
              <w:t>高度：87.5m，内径：0.8m，风量：10000m</w:t>
            </w:r>
            <w:r>
              <w:rPr>
                <w:rFonts w:hint="eastAsia" w:hAnsi="宋体" w:eastAsia="宋体"/>
                <w:b w:val="0"/>
                <w:bCs/>
                <w:color w:val="auto"/>
                <w:sz w:val="21"/>
                <w:szCs w:val="21"/>
                <w:vertAlign w:val="superscript"/>
                <w:lang w:val="en-US" w:eastAsia="zh-CN"/>
              </w:rPr>
              <w:t>3</w:t>
            </w:r>
            <w:r>
              <w:rPr>
                <w:rFonts w:hint="eastAsia" w:hAnsi="宋体" w:eastAsia="宋体"/>
                <w:b w:val="0"/>
                <w:bCs/>
                <w:color w:val="auto"/>
                <w:sz w:val="21"/>
                <w:szCs w:val="21"/>
                <w:vertAlign w:val="baseline"/>
                <w:lang w:val="en-US" w:eastAsia="zh-CN"/>
              </w:rPr>
              <w:t>/h</w:t>
            </w: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2.52E-04</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0.05</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250</w:t>
            </w:r>
          </w:p>
        </w:tc>
        <w:tc>
          <w:tcPr>
            <w:tcW w:w="58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eastAsia" w:hAnsi="宋体"/>
                <w:b w:val="0"/>
                <w:bCs/>
                <w:color w:val="auto"/>
                <w:sz w:val="21"/>
                <w:szCs w:val="21"/>
                <w:vertAlign w:val="baseline"/>
              </w:rPr>
            </w:pPr>
            <w:r>
              <w:rPr>
                <w:rFonts w:hint="eastAsia" w:ascii="Times New Roman" w:hAnsi="Times New Roman" w:eastAsia="宋体" w:cs="Times New Roman"/>
                <w:color w:val="auto"/>
                <w:sz w:val="21"/>
                <w:szCs w:val="21"/>
                <w:highlight w:val="none"/>
                <w:lang w:val="en-US" w:eastAsia="zh-CN"/>
              </w:rPr>
              <w:t xml:space="preserve">0.3183 </w:t>
            </w:r>
          </w:p>
        </w:tc>
        <w:tc>
          <w:tcPr>
            <w:tcW w:w="939"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8.80E-04</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0.35</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PM</w:t>
            </w:r>
            <w:r>
              <w:rPr>
                <w:rFonts w:hint="eastAsia" w:ascii="Times New Roman" w:hAnsi="宋体" w:eastAsia="宋体"/>
                <w:b w:val="0"/>
                <w:bCs/>
                <w:color w:val="auto"/>
                <w:sz w:val="21"/>
                <w:szCs w:val="21"/>
                <w:vertAlign w:val="subscript"/>
                <w:lang w:val="en-US" w:eastAsia="zh-CN"/>
              </w:rPr>
              <w:t>10</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450</w:t>
            </w:r>
          </w:p>
        </w:tc>
        <w:tc>
          <w:tcPr>
            <w:tcW w:w="58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hAnsi="宋体"/>
                <w:b w:val="0"/>
                <w:bCs/>
                <w:color w:val="auto"/>
                <w:sz w:val="21"/>
                <w:szCs w:val="21"/>
                <w:vertAlign w:val="baseline"/>
                <w:lang w:val="en-US"/>
              </w:rPr>
            </w:pPr>
            <w:r>
              <w:rPr>
                <w:rFonts w:hint="eastAsia" w:ascii="Times New Roman" w:hAnsi="Times New Roman" w:eastAsia="宋体" w:cs="Times New Roman"/>
                <w:color w:val="auto"/>
                <w:sz w:val="21"/>
                <w:szCs w:val="21"/>
                <w:highlight w:val="none"/>
                <w:lang w:val="en-US" w:eastAsia="zh-CN"/>
              </w:rPr>
              <w:t>0.1306</w:t>
            </w:r>
          </w:p>
        </w:tc>
        <w:tc>
          <w:tcPr>
            <w:tcW w:w="939"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3.61E-04</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0.08</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污水处理站无组织</w:t>
            </w: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NH</w:t>
            </w:r>
            <w:r>
              <w:rPr>
                <w:rFonts w:hint="eastAsia" w:hAnsi="宋体"/>
                <w:b w:val="0"/>
                <w:bCs/>
                <w:color w:val="auto"/>
                <w:sz w:val="21"/>
                <w:szCs w:val="21"/>
                <w:vertAlign w:val="subscript"/>
                <w:lang w:val="en-US" w:eastAsia="zh-CN"/>
              </w:rPr>
              <w:t>3</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200</w:t>
            </w:r>
          </w:p>
        </w:tc>
        <w:tc>
          <w:tcPr>
            <w:tcW w:w="586" w:type="pc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eastAsia="宋体"/>
                <w:color w:val="auto"/>
                <w:sz w:val="21"/>
                <w:szCs w:val="21"/>
                <w:highlight w:val="none"/>
                <w:lang w:val="en-US" w:eastAsia="zh-CN"/>
              </w:rPr>
              <w:t>0.00018</w:t>
            </w:r>
          </w:p>
        </w:tc>
        <w:tc>
          <w:tcPr>
            <w:tcW w:w="93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eastAsia="zh-CN"/>
              </w:rPr>
              <w:t>埋地式，长</w:t>
            </w:r>
            <w:r>
              <w:rPr>
                <w:rFonts w:hint="eastAsia" w:hAnsi="宋体"/>
                <w:b w:val="0"/>
                <w:bCs/>
                <w:color w:val="auto"/>
                <w:sz w:val="21"/>
                <w:szCs w:val="21"/>
                <w:vertAlign w:val="baseline"/>
                <w:lang w:val="en-US" w:eastAsia="zh-CN"/>
              </w:rPr>
              <w:t>66.6m，宽12.6m</w:t>
            </w: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1.38E-03</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0.69</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1"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407"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H</w:t>
            </w:r>
            <w:r>
              <w:rPr>
                <w:rFonts w:hint="eastAsia" w:ascii="Times New Roman" w:hAnsi="宋体" w:eastAsia="宋体"/>
                <w:b w:val="0"/>
                <w:bCs/>
                <w:color w:val="auto"/>
                <w:sz w:val="21"/>
                <w:szCs w:val="21"/>
                <w:vertAlign w:val="subscript"/>
                <w:lang w:val="en-US" w:eastAsia="zh-CN"/>
              </w:rPr>
              <w:t>2</w:t>
            </w:r>
            <w:r>
              <w:rPr>
                <w:rFonts w:hint="eastAsia" w:hAnsi="宋体"/>
                <w:b w:val="0"/>
                <w:bCs/>
                <w:color w:val="auto"/>
                <w:sz w:val="21"/>
                <w:szCs w:val="21"/>
                <w:vertAlign w:val="baseline"/>
                <w:lang w:val="en-US" w:eastAsia="zh-CN"/>
              </w:rPr>
              <w:t>S</w:t>
            </w:r>
          </w:p>
        </w:tc>
        <w:tc>
          <w:tcPr>
            <w:tcW w:w="52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10</w:t>
            </w:r>
          </w:p>
        </w:tc>
        <w:tc>
          <w:tcPr>
            <w:tcW w:w="586" w:type="pc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eastAsia="宋体"/>
                <w:color w:val="auto"/>
                <w:sz w:val="21"/>
                <w:szCs w:val="21"/>
                <w:highlight w:val="none"/>
                <w:lang w:val="en-US" w:eastAsia="zh-CN"/>
              </w:rPr>
              <w:t>0.000007</w:t>
            </w:r>
          </w:p>
        </w:tc>
        <w:tc>
          <w:tcPr>
            <w:tcW w:w="9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59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r>
              <w:rPr>
                <w:rFonts w:hint="eastAsia" w:ascii="Times New Roman" w:hAnsi="宋体" w:eastAsia="宋体" w:cs="Times New Roman"/>
                <w:b w:val="0"/>
                <w:bCs/>
                <w:color w:val="auto"/>
                <w:sz w:val="21"/>
                <w:szCs w:val="21"/>
                <w:vertAlign w:val="baseline"/>
                <w:lang w:val="en-US" w:eastAsia="zh-CN"/>
              </w:rPr>
              <w:t>5.38E-05</w:t>
            </w:r>
          </w:p>
        </w:tc>
        <w:tc>
          <w:tcPr>
            <w:tcW w:w="38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0.54</w:t>
            </w:r>
          </w:p>
        </w:tc>
        <w:tc>
          <w:tcPr>
            <w:tcW w:w="376"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565"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bl>
    <w:p>
      <w:pPr>
        <w:pStyle w:val="184"/>
        <w:keepNext w:val="0"/>
        <w:keepLines w:val="0"/>
        <w:pageBreakBefore w:val="0"/>
        <w:kinsoku/>
        <w:wordWrap/>
        <w:overflowPunct/>
        <w:topLinePunct w:val="0"/>
        <w:autoSpaceDE/>
        <w:bidi w:val="0"/>
        <w:spacing w:line="360" w:lineRule="auto"/>
        <w:ind w:left="0" w:leftChars="0" w:firstLine="480"/>
        <w:outlineLvl w:val="9"/>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②</w:t>
      </w:r>
      <w:r>
        <w:rPr>
          <w:rFonts w:hint="default" w:ascii="Times New Roman" w:hAnsi="Times New Roman" w:eastAsia="宋体" w:cs="Times New Roman"/>
          <w:color w:val="auto"/>
          <w:highlight w:val="none"/>
          <w:lang w:eastAsia="zh-CN"/>
        </w:rPr>
        <w:t>评价等级判别表</w:t>
      </w:r>
    </w:p>
    <w:p>
      <w:pPr>
        <w:pStyle w:val="184"/>
        <w:keepNext w:val="0"/>
        <w:keepLines w:val="0"/>
        <w:pageBreakBefore w:val="0"/>
        <w:kinsoku/>
        <w:wordWrap/>
        <w:overflowPunct/>
        <w:topLinePunct w:val="0"/>
        <w:autoSpaceDE/>
        <w:bidi w:val="0"/>
        <w:spacing w:line="360" w:lineRule="auto"/>
        <w:ind w:left="0" w:leftChars="0" w:firstLine="480"/>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评价等级按下表的分级判据进行划分</w:t>
      </w:r>
      <w:r>
        <w:rPr>
          <w:rFonts w:hint="eastAsia" w:ascii="Times New Roman" w:hAnsi="Times New Roman" w:eastAsia="宋体" w:cs="Times New Roman"/>
          <w:color w:val="auto"/>
          <w:highlight w:val="none"/>
          <w:lang w:eastAsia="zh-CN"/>
        </w:rPr>
        <w:t>：</w:t>
      </w:r>
    </w:p>
    <w:p>
      <w:pPr>
        <w:pStyle w:val="18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表2.4-2  评价等级判别表</w:t>
      </w:r>
    </w:p>
    <w:tbl>
      <w:tblPr>
        <w:tblStyle w:val="4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4141"/>
        <w:gridCol w:w="41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41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评价工作等级</w:t>
            </w:r>
          </w:p>
        </w:tc>
        <w:tc>
          <w:tcPr>
            <w:tcW w:w="41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评价工作分级判据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41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一级评价</w:t>
            </w:r>
          </w:p>
        </w:tc>
        <w:tc>
          <w:tcPr>
            <w:tcW w:w="41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Pmax</w:t>
            </w:r>
            <w:r>
              <w:rPr>
                <w:rFonts w:hint="eastAsia" w:ascii="Times New Roman" w:hAnsi="Times New Roman" w:eastAsia="宋体"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41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二级评价</w:t>
            </w:r>
          </w:p>
        </w:tc>
        <w:tc>
          <w:tcPr>
            <w:tcW w:w="41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w:t>
            </w:r>
            <w:r>
              <w:rPr>
                <w:rFonts w:hint="eastAsia" w:ascii="Times New Roman" w:hAnsi="Times New Roman" w:eastAsia="宋体"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Pmax&lt;10%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41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三级评价</w:t>
            </w:r>
          </w:p>
        </w:tc>
        <w:tc>
          <w:tcPr>
            <w:tcW w:w="41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240" w:lineRule="auto"/>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Pmax&lt;1%</w:t>
            </w:r>
          </w:p>
        </w:tc>
      </w:tr>
    </w:tbl>
    <w:p>
      <w:pPr>
        <w:keepNext w:val="0"/>
        <w:keepLines w:val="0"/>
        <w:pageBreakBefore w:val="0"/>
        <w:widowControl w:val="0"/>
        <w:kinsoku/>
        <w:wordWrap w:val="0"/>
        <w:overflowPunct/>
        <w:topLinePunct w:val="0"/>
        <w:autoSpaceDE/>
        <w:autoSpaceDN/>
        <w:bidi w:val="0"/>
        <w:adjustRightInd/>
        <w:snapToGrid/>
        <w:ind w:left="0" w:leftChars="0" w:firstLine="480" w:firstLineChars="200"/>
        <w:textAlignment w:val="auto"/>
        <w:rPr>
          <w:rFonts w:hint="eastAsia" w:hAnsi="宋体"/>
          <w:color w:val="auto"/>
        </w:rPr>
      </w:pPr>
      <w:r>
        <w:rPr>
          <w:color w:val="auto"/>
        </w:rPr>
        <w:t>根据《环境影响评价技术导则》</w:t>
      </w:r>
      <w:r>
        <w:rPr>
          <w:rFonts w:hint="eastAsia"/>
          <w:color w:val="auto"/>
        </w:rPr>
        <w:t>（</w:t>
      </w:r>
      <w:r>
        <w:rPr>
          <w:color w:val="auto"/>
        </w:rPr>
        <w:t>HJ2.2-20</w:t>
      </w:r>
      <w:r>
        <w:rPr>
          <w:rFonts w:hint="eastAsia"/>
          <w:color w:val="auto"/>
          <w:lang w:val="en-US" w:eastAsia="zh-CN"/>
        </w:rPr>
        <w:t>18</w:t>
      </w:r>
      <w:r>
        <w:rPr>
          <w:rFonts w:hint="eastAsia"/>
          <w:color w:val="auto"/>
        </w:rPr>
        <w:t>）</w:t>
      </w:r>
      <w:r>
        <w:rPr>
          <w:color w:val="auto"/>
        </w:rPr>
        <w:t>中的相关规定，</w:t>
      </w:r>
      <w:r>
        <w:rPr>
          <w:rFonts w:hint="eastAsia" w:eastAsia="宋体"/>
          <w:color w:val="auto"/>
          <w:lang w:val="en-US" w:eastAsia="zh-CN"/>
        </w:rPr>
        <w:t>本项目</w:t>
      </w:r>
      <w:r>
        <w:rPr>
          <w:rFonts w:hint="eastAsia"/>
          <w:color w:val="auto"/>
          <w:lang w:val="en-US" w:eastAsia="zh-CN"/>
        </w:rPr>
        <w:t>最大</w:t>
      </w:r>
      <w:r>
        <w:rPr>
          <w:rFonts w:hint="eastAsia" w:eastAsia="宋体"/>
          <w:color w:val="auto"/>
          <w:lang w:val="en-US" w:eastAsia="zh-CN"/>
        </w:rPr>
        <w:t>占</w:t>
      </w:r>
      <w:r>
        <w:rPr>
          <w:rFonts w:hint="eastAsia" w:eastAsia="宋体"/>
          <w:color w:val="auto"/>
          <w:sz w:val="24"/>
          <w:szCs w:val="24"/>
          <w:lang w:val="en-US" w:eastAsia="zh-CN"/>
        </w:rPr>
        <w:t>标</w:t>
      </w:r>
      <w:r>
        <w:rPr>
          <w:rFonts w:hint="eastAsia"/>
          <w:color w:val="auto"/>
          <w:sz w:val="24"/>
          <w:szCs w:val="24"/>
          <w:lang w:val="en-US" w:eastAsia="zh-CN"/>
        </w:rPr>
        <w:t>为</w:t>
      </w:r>
      <w:r>
        <w:rPr>
          <w:rFonts w:hint="eastAsia" w:hAnsi="宋体"/>
          <w:b w:val="0"/>
          <w:bCs/>
          <w:color w:val="auto"/>
          <w:sz w:val="24"/>
          <w:lang w:eastAsia="zh-CN"/>
        </w:rPr>
        <w:t>污水处理站无组织</w:t>
      </w:r>
      <w:r>
        <w:rPr>
          <w:rFonts w:hint="eastAsia" w:hAnsi="宋体"/>
          <w:b w:val="0"/>
          <w:bCs/>
          <w:color w:val="auto"/>
          <w:sz w:val="24"/>
          <w:lang w:val="en-US" w:eastAsia="zh-CN"/>
        </w:rPr>
        <w:t>排放的</w:t>
      </w:r>
      <w:r>
        <w:rPr>
          <w:rFonts w:hint="eastAsia" w:hAnsi="宋体"/>
          <w:b w:val="0"/>
          <w:bCs/>
          <w:color w:val="auto"/>
          <w:sz w:val="24"/>
          <w:szCs w:val="24"/>
          <w:vertAlign w:val="baseline"/>
          <w:lang w:val="en-US" w:eastAsia="zh-CN"/>
        </w:rPr>
        <w:t>NH</w:t>
      </w:r>
      <w:r>
        <w:rPr>
          <w:rFonts w:hint="eastAsia" w:hAnsi="宋体"/>
          <w:b w:val="0"/>
          <w:bCs/>
          <w:color w:val="auto"/>
          <w:sz w:val="24"/>
          <w:szCs w:val="24"/>
          <w:vertAlign w:val="subscript"/>
          <w:lang w:val="en-US" w:eastAsia="zh-CN"/>
        </w:rPr>
        <w:t>3</w:t>
      </w:r>
      <w:r>
        <w:rPr>
          <w:rFonts w:hint="eastAsia" w:hAnsi="宋体"/>
          <w:b w:val="0"/>
          <w:bCs/>
          <w:color w:val="auto"/>
          <w:sz w:val="24"/>
          <w:szCs w:val="24"/>
          <w:vertAlign w:val="baseline"/>
          <w:lang w:val="en-US" w:eastAsia="zh-CN"/>
        </w:rPr>
        <w:t>，占标率</w:t>
      </w:r>
      <w:r>
        <w:rPr>
          <w:rFonts w:hint="eastAsia"/>
          <w:color w:val="auto"/>
          <w:lang w:val="en-US" w:eastAsia="zh-CN"/>
        </w:rPr>
        <w:t>0.69</w:t>
      </w:r>
      <w:r>
        <w:rPr>
          <w:rFonts w:hint="eastAsia" w:eastAsia="宋体"/>
          <w:color w:val="auto"/>
          <w:lang w:val="en-US" w:eastAsia="zh-CN"/>
        </w:rPr>
        <w:t>%</w:t>
      </w:r>
      <w:r>
        <w:rPr>
          <w:rFonts w:hint="eastAsia"/>
          <w:color w:val="auto"/>
          <w:lang w:val="en-US" w:eastAsia="zh-CN"/>
        </w:rPr>
        <w:t>，</w:t>
      </w:r>
      <w:r>
        <w:rPr>
          <w:rFonts w:hint="eastAsia"/>
          <w:color w:val="auto"/>
          <w:lang w:eastAsia="zh-CN"/>
        </w:rPr>
        <w:t>故</w:t>
      </w:r>
      <w:r>
        <w:rPr>
          <w:color w:val="auto"/>
        </w:rPr>
        <w:t>本次大气评价等级</w:t>
      </w:r>
      <w:r>
        <w:rPr>
          <w:rFonts w:hint="eastAsia"/>
          <w:color w:val="auto"/>
          <w:lang w:eastAsia="zh-CN"/>
        </w:rPr>
        <w:t>判</w:t>
      </w:r>
      <w:r>
        <w:rPr>
          <w:color w:val="auto"/>
        </w:rPr>
        <w:t>定为</w:t>
      </w:r>
      <w:r>
        <w:rPr>
          <w:rFonts w:hint="eastAsia"/>
          <w:color w:val="auto"/>
          <w:lang w:val="en-US" w:eastAsia="zh-CN"/>
        </w:rPr>
        <w:t>三</w:t>
      </w:r>
      <w:r>
        <w:rPr>
          <w:color w:val="auto"/>
        </w:rPr>
        <w:t>级</w:t>
      </w:r>
      <w:r>
        <w:rPr>
          <w:rFonts w:hint="eastAsia"/>
          <w:color w:val="auto"/>
        </w:rPr>
        <w:t>。</w:t>
      </w:r>
    </w:p>
    <w:p>
      <w:pPr>
        <w:ind w:firstLine="480"/>
        <w:rPr>
          <w:rFonts w:hint="eastAsia" w:hAnsi="宋体"/>
          <w:color w:val="auto"/>
        </w:rPr>
      </w:pPr>
      <w:r>
        <w:rPr>
          <w:rFonts w:hint="eastAsia" w:hAnsi="宋体"/>
          <w:color w:val="auto"/>
        </w:rPr>
        <w:t>2、地表水评价工作等级</w:t>
      </w:r>
    </w:p>
    <w:p>
      <w:pPr>
        <w:ind w:firstLine="480"/>
        <w:jc w:val="left"/>
        <w:rPr>
          <w:rFonts w:hint="eastAsia" w:hAnsi="宋体"/>
          <w:color w:val="auto"/>
          <w:highlight w:val="none"/>
        </w:rPr>
      </w:pPr>
      <w:r>
        <w:rPr>
          <w:rFonts w:hint="eastAsia" w:hAnsi="宋体"/>
          <w:color w:val="auto"/>
          <w:highlight w:val="none"/>
        </w:rPr>
        <w:t>项目废水经</w:t>
      </w:r>
      <w:r>
        <w:rPr>
          <w:rFonts w:hint="eastAsia" w:hAnsi="宋体"/>
          <w:color w:val="auto"/>
          <w:highlight w:val="none"/>
          <w:lang w:eastAsia="zh-CN"/>
        </w:rPr>
        <w:t>院区污水治理系统</w:t>
      </w:r>
      <w:r>
        <w:rPr>
          <w:rFonts w:hint="eastAsia" w:hAnsi="宋体"/>
          <w:color w:val="auto"/>
          <w:highlight w:val="none"/>
        </w:rPr>
        <w:t>处理达标后排入</w:t>
      </w:r>
      <w:r>
        <w:rPr>
          <w:rFonts w:hint="eastAsia" w:hAnsi="宋体"/>
          <w:color w:val="auto"/>
          <w:highlight w:val="none"/>
          <w:lang w:val="en-US" w:eastAsia="zh-CN"/>
        </w:rPr>
        <w:t>十五里河污水处理厂</w:t>
      </w:r>
      <w:r>
        <w:rPr>
          <w:rFonts w:hint="eastAsia" w:hAnsi="宋体"/>
          <w:color w:val="auto"/>
          <w:highlight w:val="none"/>
          <w:lang w:eastAsia="zh-CN"/>
        </w:rPr>
        <w:t>，</w:t>
      </w:r>
      <w:r>
        <w:rPr>
          <w:rFonts w:hint="eastAsia" w:hAnsi="宋体"/>
          <w:color w:val="auto"/>
          <w:highlight w:val="none"/>
        </w:rPr>
        <w:t>依据《环境影响评价技术导则</w:t>
      </w:r>
      <w:r>
        <w:rPr>
          <w:rFonts w:hint="eastAsia" w:hAnsi="宋体" w:eastAsia="宋体"/>
          <w:color w:val="auto"/>
          <w:highlight w:val="none"/>
          <w:lang w:val="en-US" w:eastAsia="zh-CN"/>
        </w:rPr>
        <w:t xml:space="preserve"> </w:t>
      </w:r>
      <w:r>
        <w:rPr>
          <w:rFonts w:hint="eastAsia" w:hAnsi="宋体"/>
          <w:color w:val="auto"/>
          <w:highlight w:val="none"/>
        </w:rPr>
        <w:t>地表水环境》（HJ2.3-2018）水污染影响型建设项目评价等级判定</w:t>
      </w:r>
      <w:r>
        <w:rPr>
          <w:rFonts w:hint="eastAsia" w:hAnsi="宋体" w:eastAsia="宋体"/>
          <w:color w:val="auto"/>
          <w:highlight w:val="none"/>
          <w:lang w:val="en-US" w:eastAsia="zh-CN"/>
        </w:rPr>
        <w:t>如下表所示</w:t>
      </w:r>
      <w:r>
        <w:rPr>
          <w:rFonts w:hint="eastAsia" w:hAnsi="宋体"/>
          <w:color w:val="auto"/>
          <w:highlight w:val="none"/>
          <w:lang w:val="en-US" w:eastAsia="zh-CN"/>
        </w:rPr>
        <w:t>：</w:t>
      </w:r>
    </w:p>
    <w:p>
      <w:pPr>
        <w:pStyle w:val="18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outlineLvl w:val="9"/>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表2.4-3  水污染影响型建设项目评价等级判定</w:t>
      </w:r>
    </w:p>
    <w:tbl>
      <w:tblPr>
        <w:tblStyle w:val="48"/>
        <w:tblW w:w="0" w:type="auto"/>
        <w:tblInd w:w="0" w:type="dxa"/>
        <w:tblLayout w:type="fixed"/>
        <w:tblCellMar>
          <w:top w:w="0" w:type="dxa"/>
          <w:left w:w="0" w:type="dxa"/>
          <w:bottom w:w="0" w:type="dxa"/>
          <w:right w:w="0" w:type="dxa"/>
        </w:tblCellMar>
      </w:tblPr>
      <w:tblGrid>
        <w:gridCol w:w="2494"/>
        <w:gridCol w:w="2772"/>
        <w:gridCol w:w="3070"/>
      </w:tblGrid>
      <w:tr>
        <w:tblPrEx>
          <w:tblCellMar>
            <w:top w:w="0" w:type="dxa"/>
            <w:left w:w="0" w:type="dxa"/>
            <w:bottom w:w="0" w:type="dxa"/>
            <w:right w:w="0" w:type="dxa"/>
          </w:tblCellMar>
        </w:tblPrEx>
        <w:trPr>
          <w:trHeight w:val="397" w:hRule="atLeast"/>
        </w:trPr>
        <w:tc>
          <w:tcPr>
            <w:tcW w:w="249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评价等级</w:t>
            </w:r>
          </w:p>
        </w:tc>
        <w:tc>
          <w:tcPr>
            <w:tcW w:w="5842" w:type="dxa"/>
            <w:gridSpan w:val="2"/>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判定依据</w:t>
            </w:r>
          </w:p>
        </w:tc>
      </w:tr>
      <w:tr>
        <w:tblPrEx>
          <w:tblCellMar>
            <w:top w:w="0" w:type="dxa"/>
            <w:left w:w="0" w:type="dxa"/>
            <w:bottom w:w="0" w:type="dxa"/>
            <w:right w:w="0" w:type="dxa"/>
          </w:tblCellMar>
        </w:tblPrEx>
        <w:trPr>
          <w:trHeight w:val="397" w:hRule="atLeast"/>
        </w:trPr>
        <w:tc>
          <w:tcPr>
            <w:tcW w:w="249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 w:cs="Times New Roman"/>
                <w:i w:val="0"/>
                <w:color w:val="auto"/>
                <w:sz w:val="21"/>
                <w:szCs w:val="21"/>
                <w:u w:val="none"/>
              </w:rPr>
            </w:pPr>
          </w:p>
        </w:tc>
        <w:tc>
          <w:tcPr>
            <w:tcW w:w="277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 w:cs="Times New Roman"/>
                <w:i w:val="0"/>
                <w:color w:val="auto"/>
                <w:sz w:val="21"/>
                <w:szCs w:val="21"/>
                <w:u w:val="none"/>
                <w:lang w:val="en-US" w:eastAsia="zh-CN"/>
              </w:rPr>
            </w:pPr>
            <w:r>
              <w:rPr>
                <w:rFonts w:hint="eastAsia" w:ascii="Times New Roman" w:hAnsi="Times New Roman" w:eastAsia="宋?" w:cs="Times New Roman"/>
                <w:i w:val="0"/>
                <w:color w:val="auto"/>
                <w:sz w:val="21"/>
                <w:szCs w:val="21"/>
                <w:u w:val="none"/>
                <w:lang w:val="en-US" w:eastAsia="zh-CN"/>
              </w:rPr>
              <w:t>排放方式</w:t>
            </w: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废水排放量</w:t>
            </w:r>
            <w:r>
              <w:rPr>
                <w:rFonts w:hint="default" w:ascii="Times New Roman" w:hAnsi="Times New Roman" w:eastAsia="宋?" w:cs="Times New Roman"/>
                <w:i/>
                <w:color w:val="auto"/>
                <w:kern w:val="0"/>
                <w:sz w:val="21"/>
                <w:szCs w:val="21"/>
                <w:u w:val="none"/>
                <w:lang w:val="en-US" w:eastAsia="zh-CN" w:bidi="ar"/>
              </w:rPr>
              <w:t>Q</w:t>
            </w:r>
            <w:r>
              <w:rPr>
                <w:rFonts w:hint="default" w:ascii="Times New Roman" w:hAnsi="Times New Roman" w:eastAsia="宋?" w:cs="Times New Roman"/>
                <w:i w:val="0"/>
                <w:color w:val="auto"/>
                <w:kern w:val="0"/>
                <w:sz w:val="21"/>
                <w:szCs w:val="21"/>
                <w:u w:val="none"/>
                <w:lang w:val="en-US" w:eastAsia="zh-CN" w:bidi="ar"/>
              </w:rPr>
              <w:t>/（m</w:t>
            </w:r>
            <w:r>
              <w:rPr>
                <w:rFonts w:hint="default" w:ascii="Times New Roman" w:hAnsi="Times New Roman" w:eastAsia="宋?" w:cs="Times New Roman"/>
                <w:i w:val="0"/>
                <w:color w:val="auto"/>
                <w:kern w:val="0"/>
                <w:sz w:val="21"/>
                <w:szCs w:val="21"/>
                <w:u w:val="none"/>
                <w:vertAlign w:val="superscript"/>
                <w:lang w:val="en-US" w:eastAsia="zh-CN" w:bidi="ar"/>
              </w:rPr>
              <w:t>3</w:t>
            </w:r>
            <w:r>
              <w:rPr>
                <w:rFonts w:hint="default" w:ascii="Times New Roman" w:hAnsi="Times New Roman" w:eastAsia="宋?" w:cs="Times New Roman"/>
                <w:i w:val="0"/>
                <w:color w:val="auto"/>
                <w:kern w:val="0"/>
                <w:sz w:val="21"/>
                <w:szCs w:val="21"/>
                <w:u w:val="none"/>
                <w:lang w:val="en-US" w:eastAsia="zh-CN" w:bidi="ar"/>
              </w:rPr>
              <w:t>/d）;</w:t>
            </w:r>
          </w:p>
        </w:tc>
      </w:tr>
      <w:tr>
        <w:tblPrEx>
          <w:tblCellMar>
            <w:top w:w="0" w:type="dxa"/>
            <w:left w:w="0" w:type="dxa"/>
            <w:bottom w:w="0" w:type="dxa"/>
            <w:right w:w="0" w:type="dxa"/>
          </w:tblCellMar>
        </w:tblPrEx>
        <w:trPr>
          <w:trHeight w:val="397" w:hRule="atLeast"/>
        </w:trPr>
        <w:tc>
          <w:tcPr>
            <w:tcW w:w="249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 w:cs="Times New Roman"/>
                <w:i w:val="0"/>
                <w:color w:val="auto"/>
                <w:sz w:val="21"/>
                <w:szCs w:val="21"/>
                <w:u w:val="none"/>
              </w:rPr>
            </w:pPr>
          </w:p>
        </w:tc>
        <w:tc>
          <w:tcPr>
            <w:tcW w:w="277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 w:cs="Times New Roman"/>
                <w:i w:val="0"/>
                <w:color w:val="auto"/>
                <w:sz w:val="21"/>
                <w:szCs w:val="21"/>
                <w:u w:val="none"/>
              </w:rPr>
            </w:pP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水污染物当量数</w:t>
            </w:r>
            <w:r>
              <w:rPr>
                <w:rFonts w:hint="default" w:ascii="Times New Roman" w:hAnsi="Times New Roman" w:eastAsia="宋?" w:cs="Times New Roman"/>
                <w:i/>
                <w:color w:val="auto"/>
                <w:kern w:val="0"/>
                <w:sz w:val="21"/>
                <w:szCs w:val="21"/>
                <w:u w:val="none"/>
                <w:lang w:val="en-US" w:eastAsia="zh-CN" w:bidi="ar"/>
              </w:rPr>
              <w:t>W</w:t>
            </w:r>
            <w:r>
              <w:rPr>
                <w:rFonts w:hint="default" w:ascii="Times New Roman" w:hAnsi="Times New Roman" w:eastAsia="宋?" w:cs="Times New Roman"/>
                <w:i w:val="0"/>
                <w:color w:val="auto"/>
                <w:kern w:val="0"/>
                <w:sz w:val="21"/>
                <w:szCs w:val="21"/>
                <w:u w:val="none"/>
                <w:lang w:val="en-US" w:eastAsia="zh-CN" w:bidi="ar"/>
              </w:rPr>
              <w:t>/（无量纲）</w:t>
            </w:r>
          </w:p>
        </w:tc>
      </w:tr>
      <w:tr>
        <w:tblPrEx>
          <w:tblCellMar>
            <w:top w:w="0" w:type="dxa"/>
            <w:left w:w="0" w:type="dxa"/>
            <w:bottom w:w="0" w:type="dxa"/>
            <w:right w:w="0" w:type="dxa"/>
          </w:tblCellMar>
        </w:tblPrEx>
        <w:trPr>
          <w:trHeight w:val="397" w:hRule="atLeast"/>
        </w:trPr>
        <w:tc>
          <w:tcPr>
            <w:tcW w:w="249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一级</w:t>
            </w:r>
          </w:p>
        </w:tc>
        <w:tc>
          <w:tcPr>
            <w:tcW w:w="27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直接排放</w:t>
            </w: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color w:val="auto"/>
                <w:sz w:val="21"/>
                <w:szCs w:val="21"/>
                <w:u w:val="none"/>
              </w:rPr>
            </w:pPr>
            <w:r>
              <w:rPr>
                <w:rFonts w:hint="default" w:ascii="Times New Roman" w:hAnsi="Times New Roman" w:eastAsia="宋体" w:cs="Times New Roman"/>
                <w:i/>
                <w:color w:val="auto"/>
                <w:kern w:val="0"/>
                <w:sz w:val="21"/>
                <w:szCs w:val="21"/>
                <w:u w:val="none"/>
                <w:lang w:val="en-US" w:eastAsia="zh-CN" w:bidi="ar"/>
              </w:rPr>
              <w:t>Q</w:t>
            </w:r>
            <w:r>
              <w:rPr>
                <w:rFonts w:hint="default" w:ascii="Times New Roman" w:hAnsi="Times New Roman" w:eastAsia="宋?"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20000</w:t>
            </w:r>
            <w:r>
              <w:rPr>
                <w:rFonts w:hint="default" w:ascii="Times New Roman" w:hAnsi="Times New Roman" w:eastAsia="宋?" w:cs="Times New Roman"/>
                <w:i w:val="0"/>
                <w:color w:val="auto"/>
                <w:kern w:val="0"/>
                <w:sz w:val="21"/>
                <w:szCs w:val="21"/>
                <w:u w:val="none"/>
                <w:lang w:val="en-US" w:eastAsia="zh-CN" w:bidi="ar"/>
              </w:rPr>
              <w:t>或</w:t>
            </w:r>
            <w:r>
              <w:rPr>
                <w:rFonts w:hint="default" w:ascii="Times New Roman" w:hAnsi="Times New Roman" w:eastAsia="宋体" w:cs="Times New Roman"/>
                <w:i/>
                <w:color w:val="auto"/>
                <w:kern w:val="0"/>
                <w:sz w:val="21"/>
                <w:szCs w:val="21"/>
                <w:u w:val="none"/>
                <w:lang w:val="en-US" w:eastAsia="zh-CN" w:bidi="ar"/>
              </w:rPr>
              <w:t>W</w:t>
            </w:r>
            <w:r>
              <w:rPr>
                <w:rFonts w:hint="default" w:ascii="Times New Roman" w:hAnsi="Times New Roman" w:eastAsia="宋?"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600000</w:t>
            </w:r>
          </w:p>
        </w:tc>
      </w:tr>
      <w:tr>
        <w:tblPrEx>
          <w:tblCellMar>
            <w:top w:w="0" w:type="dxa"/>
            <w:left w:w="0" w:type="dxa"/>
            <w:bottom w:w="0" w:type="dxa"/>
            <w:right w:w="0" w:type="dxa"/>
          </w:tblCellMar>
        </w:tblPrEx>
        <w:trPr>
          <w:trHeight w:val="397" w:hRule="atLeast"/>
        </w:trPr>
        <w:tc>
          <w:tcPr>
            <w:tcW w:w="249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二级</w:t>
            </w:r>
          </w:p>
        </w:tc>
        <w:tc>
          <w:tcPr>
            <w:tcW w:w="27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直接排放</w:t>
            </w: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其他</w:t>
            </w:r>
          </w:p>
        </w:tc>
      </w:tr>
      <w:tr>
        <w:tblPrEx>
          <w:tblCellMar>
            <w:top w:w="0" w:type="dxa"/>
            <w:left w:w="0" w:type="dxa"/>
            <w:bottom w:w="0" w:type="dxa"/>
            <w:right w:w="0" w:type="dxa"/>
          </w:tblCellMar>
        </w:tblPrEx>
        <w:trPr>
          <w:trHeight w:val="397" w:hRule="atLeast"/>
        </w:trPr>
        <w:tc>
          <w:tcPr>
            <w:tcW w:w="249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三级A</w:t>
            </w:r>
          </w:p>
        </w:tc>
        <w:tc>
          <w:tcPr>
            <w:tcW w:w="27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直接排放</w:t>
            </w: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color w:val="auto"/>
                <w:sz w:val="21"/>
                <w:szCs w:val="21"/>
                <w:u w:val="none"/>
              </w:rPr>
            </w:pPr>
            <w:r>
              <w:rPr>
                <w:rFonts w:hint="default" w:ascii="Times New Roman" w:hAnsi="Times New Roman" w:eastAsia="宋体" w:cs="Times New Roman"/>
                <w:i/>
                <w:color w:val="auto"/>
                <w:kern w:val="0"/>
                <w:sz w:val="21"/>
                <w:szCs w:val="21"/>
                <w:u w:val="none"/>
                <w:lang w:val="en-US" w:eastAsia="zh-CN" w:bidi="ar"/>
              </w:rPr>
              <w:t>Q</w:t>
            </w:r>
            <w:r>
              <w:rPr>
                <w:rFonts w:hint="default" w:ascii="Times New Roman" w:hAnsi="Times New Roman" w:eastAsia="宋?"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200</w:t>
            </w:r>
            <w:r>
              <w:rPr>
                <w:rFonts w:hint="default" w:ascii="Times New Roman" w:hAnsi="Times New Roman" w:eastAsia="宋?" w:cs="Times New Roman"/>
                <w:i w:val="0"/>
                <w:color w:val="auto"/>
                <w:kern w:val="0"/>
                <w:sz w:val="21"/>
                <w:szCs w:val="21"/>
                <w:u w:val="none"/>
                <w:lang w:val="en-US" w:eastAsia="zh-CN" w:bidi="ar"/>
              </w:rPr>
              <w:t>且</w:t>
            </w:r>
            <w:r>
              <w:rPr>
                <w:rFonts w:hint="default" w:ascii="Times New Roman" w:hAnsi="Times New Roman" w:eastAsia="宋体" w:cs="Times New Roman"/>
                <w:i/>
                <w:color w:val="auto"/>
                <w:kern w:val="0"/>
                <w:sz w:val="21"/>
                <w:szCs w:val="21"/>
                <w:u w:val="none"/>
                <w:lang w:val="en-US" w:eastAsia="zh-CN" w:bidi="ar"/>
              </w:rPr>
              <w:t>W</w:t>
            </w:r>
            <w:r>
              <w:rPr>
                <w:rFonts w:hint="default" w:ascii="Times New Roman" w:hAnsi="Times New Roman" w:eastAsia="宋?"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6000</w:t>
            </w:r>
          </w:p>
        </w:tc>
      </w:tr>
      <w:tr>
        <w:tblPrEx>
          <w:tblCellMar>
            <w:top w:w="0" w:type="dxa"/>
            <w:left w:w="0" w:type="dxa"/>
            <w:bottom w:w="0" w:type="dxa"/>
            <w:right w:w="0" w:type="dxa"/>
          </w:tblCellMar>
        </w:tblPrEx>
        <w:trPr>
          <w:trHeight w:val="397" w:hRule="atLeast"/>
        </w:trPr>
        <w:tc>
          <w:tcPr>
            <w:tcW w:w="249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三级B</w:t>
            </w:r>
          </w:p>
        </w:tc>
        <w:tc>
          <w:tcPr>
            <w:tcW w:w="27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间接排放</w:t>
            </w:r>
          </w:p>
        </w:tc>
        <w:tc>
          <w:tcPr>
            <w:tcW w:w="30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 w:cs="Times New Roman"/>
                <w:i w:val="0"/>
                <w:color w:val="auto"/>
                <w:sz w:val="21"/>
                <w:szCs w:val="21"/>
                <w:u w:val="none"/>
              </w:rPr>
            </w:pPr>
            <w:r>
              <w:rPr>
                <w:rFonts w:hint="default" w:ascii="Times New Roman" w:hAnsi="Times New Roman" w:eastAsia="宋?" w:cs="Times New Roman"/>
                <w:i w:val="0"/>
                <w:color w:val="auto"/>
                <w:kern w:val="0"/>
                <w:sz w:val="21"/>
                <w:szCs w:val="21"/>
                <w:u w:val="none"/>
                <w:lang w:val="en-US" w:eastAsia="zh-CN" w:bidi="ar"/>
              </w:rPr>
              <w:t>—</w:t>
            </w:r>
          </w:p>
        </w:tc>
      </w:tr>
    </w:tbl>
    <w:p>
      <w:pPr>
        <w:jc w:val="left"/>
        <w:rPr>
          <w:rFonts w:hint="eastAsia" w:hAnsi="宋体"/>
          <w:color w:val="auto"/>
        </w:rPr>
      </w:pPr>
      <w:r>
        <w:rPr>
          <w:rFonts w:hint="eastAsia" w:hAnsi="宋体" w:eastAsia="宋体"/>
          <w:color w:val="auto"/>
          <w:lang w:val="en-US" w:eastAsia="zh-CN"/>
        </w:rPr>
        <w:t>本项目</w:t>
      </w:r>
      <w:r>
        <w:rPr>
          <w:rFonts w:hint="eastAsia" w:hAnsi="宋体"/>
          <w:color w:val="auto"/>
          <w:lang w:val="en-US" w:eastAsia="zh-CN"/>
        </w:rPr>
        <w:t>废</w:t>
      </w:r>
      <w:r>
        <w:rPr>
          <w:rFonts w:hint="eastAsia" w:hAnsi="宋体" w:eastAsia="宋体"/>
          <w:color w:val="auto"/>
          <w:lang w:val="en-US" w:eastAsia="zh-CN"/>
        </w:rPr>
        <w:t>水经院内</w:t>
      </w:r>
      <w:r>
        <w:rPr>
          <w:rFonts w:hint="eastAsia" w:hAnsi="宋体"/>
          <w:color w:val="auto"/>
          <w:lang w:val="en-US" w:eastAsia="zh-CN"/>
        </w:rPr>
        <w:t>预消毒池、</w:t>
      </w:r>
      <w:r>
        <w:rPr>
          <w:rFonts w:hint="eastAsia" w:hAnsi="宋体" w:eastAsia="宋体"/>
          <w:color w:val="auto"/>
          <w:lang w:val="en-US" w:eastAsia="zh-CN"/>
        </w:rPr>
        <w:t>污水</w:t>
      </w:r>
      <w:r>
        <w:rPr>
          <w:rFonts w:hint="eastAsia" w:hAnsi="宋体"/>
          <w:color w:val="auto"/>
          <w:lang w:val="en-US" w:eastAsia="zh-CN"/>
        </w:rPr>
        <w:t>处理</w:t>
      </w:r>
      <w:r>
        <w:rPr>
          <w:rFonts w:hint="eastAsia" w:hAnsi="宋体" w:eastAsia="宋体"/>
          <w:color w:val="auto"/>
          <w:lang w:val="en-US" w:eastAsia="zh-CN"/>
        </w:rPr>
        <w:t>站处理后排入</w:t>
      </w:r>
      <w:r>
        <w:rPr>
          <w:rFonts w:hint="eastAsia" w:hAnsi="宋体"/>
          <w:color w:val="auto"/>
          <w:lang w:val="en-US" w:eastAsia="zh-CN"/>
        </w:rPr>
        <w:t>十五里河污水处理厂，经十五里河污水处理厂处理达标后排入十五里河</w:t>
      </w:r>
      <w:r>
        <w:rPr>
          <w:rFonts w:hint="eastAsia" w:hAnsi="宋体" w:eastAsia="宋体"/>
          <w:color w:val="auto"/>
          <w:lang w:val="en-US" w:eastAsia="zh-CN"/>
        </w:rPr>
        <w:t>，</w:t>
      </w:r>
      <w:r>
        <w:rPr>
          <w:rFonts w:hint="eastAsia" w:hAnsi="宋体"/>
          <w:color w:val="auto"/>
          <w:lang w:val="en-US" w:eastAsia="zh-CN"/>
        </w:rPr>
        <w:t>属于</w:t>
      </w:r>
      <w:r>
        <w:rPr>
          <w:rFonts w:hint="eastAsia" w:hAnsi="宋体"/>
          <w:color w:val="auto"/>
        </w:rPr>
        <w:t>间接排放</w:t>
      </w:r>
      <w:r>
        <w:rPr>
          <w:rFonts w:hint="eastAsia" w:hAnsi="宋体" w:cs="宋体"/>
          <w:color w:val="auto"/>
          <w:lang w:eastAsia="zh-CN"/>
        </w:rPr>
        <w:t>。</w:t>
      </w:r>
      <w:r>
        <w:rPr>
          <w:rFonts w:hint="eastAsia" w:hAnsi="宋体"/>
          <w:color w:val="auto"/>
          <w:lang w:val="en-US" w:eastAsia="zh-CN"/>
        </w:rPr>
        <w:t>因此，</w:t>
      </w:r>
      <w:r>
        <w:rPr>
          <w:rFonts w:hint="eastAsia" w:hAnsi="宋体"/>
          <w:color w:val="auto"/>
        </w:rPr>
        <w:t>确定</w:t>
      </w:r>
      <w:r>
        <w:rPr>
          <w:rFonts w:hint="eastAsia" w:hAnsi="宋体" w:eastAsia="宋体"/>
          <w:color w:val="auto"/>
          <w:lang w:val="en-US" w:eastAsia="zh-CN"/>
        </w:rPr>
        <w:t>本项目</w:t>
      </w:r>
      <w:r>
        <w:rPr>
          <w:rFonts w:hint="eastAsia" w:hAnsi="宋体"/>
          <w:color w:val="auto"/>
        </w:rPr>
        <w:t>地表水环境影响评价等级为三级B。</w:t>
      </w:r>
    </w:p>
    <w:p>
      <w:pPr>
        <w:ind w:firstLine="480"/>
        <w:rPr>
          <w:rFonts w:hint="eastAsia" w:hAnsi="宋体"/>
          <w:color w:val="auto"/>
        </w:rPr>
      </w:pPr>
      <w:r>
        <w:rPr>
          <w:rFonts w:hint="eastAsia" w:hAnsi="宋体"/>
          <w:color w:val="auto"/>
        </w:rPr>
        <w:t>3、噪声评价工作等级</w:t>
      </w:r>
    </w:p>
    <w:p>
      <w:pPr>
        <w:tabs>
          <w:tab w:val="left" w:pos="454"/>
        </w:tabs>
        <w:snapToGrid w:val="0"/>
        <w:ind w:firstLine="480"/>
        <w:rPr>
          <w:rFonts w:hint="eastAsia" w:hAnsi="宋体"/>
          <w:color w:val="auto"/>
        </w:rPr>
      </w:pPr>
      <w:r>
        <w:rPr>
          <w:rFonts w:hint="eastAsia" w:hAnsi="宋体"/>
          <w:color w:val="auto"/>
        </w:rPr>
        <w:t>根据《声环境质量标准》（GB3096-2008）和《合肥市区声环境功能区（2020修订）划分方案》，建设项目所处的声环境功能区为2类区，且项目建设前后评价范围内敏感目标噪声增高值在5dB（A）以下，根据《环境影响评价技术导则 声导则》（HJ2.4-2009）中评价等级划分依据，噪声评价等级为二级评价。</w:t>
      </w:r>
    </w:p>
    <w:p>
      <w:pPr>
        <w:spacing w:line="240" w:lineRule="auto"/>
        <w:ind w:firstLine="422"/>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2</w:t>
      </w:r>
      <w:r>
        <w:rPr>
          <w:rFonts w:hAnsi="宋体"/>
          <w:b/>
          <w:color w:val="auto"/>
          <w:sz w:val="21"/>
          <w:szCs w:val="21"/>
        </w:rPr>
        <w:t>.</w:t>
      </w:r>
      <w:r>
        <w:rPr>
          <w:rFonts w:hint="eastAsia" w:hAnsi="宋体"/>
          <w:b/>
          <w:color w:val="auto"/>
          <w:sz w:val="21"/>
          <w:szCs w:val="21"/>
        </w:rPr>
        <w:t>4</w:t>
      </w:r>
      <w:r>
        <w:rPr>
          <w:rFonts w:hAnsi="宋体"/>
          <w:b/>
          <w:color w:val="auto"/>
          <w:sz w:val="21"/>
          <w:szCs w:val="21"/>
        </w:rPr>
        <w:t>-</w:t>
      </w:r>
      <w:r>
        <w:rPr>
          <w:rFonts w:hint="eastAsia" w:hAnsi="宋体"/>
          <w:b/>
          <w:color w:val="auto"/>
          <w:sz w:val="21"/>
          <w:szCs w:val="21"/>
        </w:rPr>
        <w:t>4</w:t>
      </w:r>
      <w:r>
        <w:rPr>
          <w:rFonts w:hAnsi="宋体"/>
          <w:b/>
          <w:color w:val="auto"/>
          <w:sz w:val="21"/>
          <w:szCs w:val="21"/>
        </w:rPr>
        <w:t xml:space="preserve">  噪声评价工作等级判据</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7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pct"/>
            <w:noWrap w:val="0"/>
            <w:vAlign w:val="center"/>
          </w:tcPr>
          <w:p>
            <w:pPr>
              <w:spacing w:line="360" w:lineRule="exact"/>
              <w:ind w:left="-120" w:leftChars="-50" w:right="-120" w:rightChars="-50" w:firstLine="0" w:firstLineChars="0"/>
              <w:jc w:val="center"/>
              <w:rPr>
                <w:color w:val="auto"/>
                <w:sz w:val="21"/>
                <w:szCs w:val="21"/>
              </w:rPr>
            </w:pPr>
            <w:r>
              <w:rPr>
                <w:color w:val="auto"/>
                <w:sz w:val="21"/>
                <w:szCs w:val="21"/>
              </w:rPr>
              <w:t>评价工作等级</w:t>
            </w:r>
          </w:p>
        </w:tc>
        <w:tc>
          <w:tcPr>
            <w:tcW w:w="4210" w:type="pct"/>
            <w:noWrap w:val="0"/>
            <w:vAlign w:val="top"/>
          </w:tcPr>
          <w:p>
            <w:pPr>
              <w:spacing w:line="360" w:lineRule="exact"/>
              <w:ind w:left="-120" w:leftChars="-50" w:right="-120" w:rightChars="-50" w:firstLine="0" w:firstLineChars="0"/>
              <w:jc w:val="center"/>
              <w:rPr>
                <w:color w:val="auto"/>
                <w:sz w:val="21"/>
                <w:szCs w:val="21"/>
              </w:rPr>
            </w:pPr>
            <w:r>
              <w:rPr>
                <w:color w:val="auto"/>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pct"/>
            <w:tcBorders>
              <w:bottom w:val="single" w:color="auto" w:sz="4" w:space="0"/>
            </w:tcBorders>
            <w:noWrap w:val="0"/>
            <w:vAlign w:val="center"/>
          </w:tcPr>
          <w:p>
            <w:pPr>
              <w:spacing w:line="360" w:lineRule="exact"/>
              <w:ind w:left="-120" w:leftChars="-50" w:right="-120" w:rightChars="-50" w:firstLine="0" w:firstLineChars="0"/>
              <w:jc w:val="center"/>
              <w:rPr>
                <w:color w:val="auto"/>
                <w:sz w:val="21"/>
                <w:szCs w:val="21"/>
              </w:rPr>
            </w:pPr>
            <w:r>
              <w:rPr>
                <w:color w:val="auto"/>
                <w:sz w:val="21"/>
                <w:szCs w:val="21"/>
              </w:rPr>
              <w:t>一级</w:t>
            </w:r>
          </w:p>
        </w:tc>
        <w:tc>
          <w:tcPr>
            <w:tcW w:w="4210" w:type="pct"/>
            <w:tcBorders>
              <w:bottom w:val="single" w:color="auto" w:sz="4" w:space="0"/>
            </w:tcBorders>
            <w:noWrap w:val="0"/>
            <w:vAlign w:val="top"/>
          </w:tcPr>
          <w:p>
            <w:pPr>
              <w:spacing w:line="360" w:lineRule="exact"/>
              <w:ind w:left="-120" w:leftChars="-50" w:right="-120" w:rightChars="-50" w:firstLine="0" w:firstLineChars="0"/>
              <w:jc w:val="center"/>
              <w:rPr>
                <w:color w:val="auto"/>
                <w:sz w:val="21"/>
                <w:szCs w:val="21"/>
              </w:rPr>
            </w:pPr>
            <w:r>
              <w:rPr>
                <w:rFonts w:hint="eastAsia"/>
                <w:color w:val="auto"/>
                <w:sz w:val="21"/>
                <w:szCs w:val="21"/>
                <w:lang w:val="en-US" w:eastAsia="zh-CN"/>
              </w:rPr>
              <w:t xml:space="preserve"> 0</w:t>
            </w:r>
            <w:r>
              <w:rPr>
                <w:color w:val="auto"/>
                <w:sz w:val="21"/>
                <w:szCs w:val="21"/>
              </w:rPr>
              <w:t>类声环境功能区</w:t>
            </w:r>
            <w:r>
              <w:rPr>
                <w:rFonts w:hint="eastAsia" w:cs="宋体"/>
                <w:color w:val="auto"/>
                <w:sz w:val="21"/>
                <w:szCs w:val="21"/>
                <w:lang w:eastAsia="zh-CN"/>
              </w:rPr>
              <w:t>；</w:t>
            </w:r>
            <w:r>
              <w:rPr>
                <w:color w:val="auto"/>
                <w:sz w:val="21"/>
                <w:szCs w:val="21"/>
              </w:rPr>
              <w:t>对噪声有特别限值要求保护区</w:t>
            </w:r>
            <w:r>
              <w:rPr>
                <w:rFonts w:hint="eastAsia" w:cs="宋体"/>
                <w:color w:val="auto"/>
                <w:sz w:val="21"/>
                <w:szCs w:val="21"/>
                <w:lang w:eastAsia="zh-CN"/>
              </w:rPr>
              <w:t>；</w:t>
            </w:r>
            <w:r>
              <w:rPr>
                <w:color w:val="auto"/>
                <w:sz w:val="21"/>
                <w:szCs w:val="21"/>
              </w:rPr>
              <w:t>建设前后敏感目标噪声级增高量＞5dB（A）</w:t>
            </w:r>
            <w:r>
              <w:rPr>
                <w:rFonts w:hint="eastAsia" w:cs="宋体"/>
                <w:color w:val="auto"/>
                <w:sz w:val="21"/>
                <w:szCs w:val="21"/>
                <w:lang w:eastAsia="zh-CN"/>
              </w:rPr>
              <w:t>；</w:t>
            </w:r>
            <w:r>
              <w:rPr>
                <w:color w:val="auto"/>
                <w:sz w:val="21"/>
                <w:szCs w:val="21"/>
              </w:rPr>
              <w:t>受噪声影响人口显著增多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pct"/>
            <w:tcBorders>
              <w:bottom w:val="single" w:color="auto" w:sz="4" w:space="0"/>
            </w:tcBorders>
            <w:shd w:val="clear" w:color="auto" w:fill="BEBEBE"/>
            <w:noWrap w:val="0"/>
            <w:vAlign w:val="center"/>
          </w:tcPr>
          <w:p>
            <w:pPr>
              <w:spacing w:line="360" w:lineRule="exact"/>
              <w:ind w:left="-120" w:leftChars="-50" w:right="-120" w:rightChars="-50" w:firstLine="0" w:firstLineChars="0"/>
              <w:jc w:val="center"/>
              <w:rPr>
                <w:color w:val="auto"/>
                <w:sz w:val="21"/>
                <w:szCs w:val="21"/>
              </w:rPr>
            </w:pPr>
            <w:r>
              <w:rPr>
                <w:color w:val="auto"/>
                <w:sz w:val="21"/>
                <w:szCs w:val="21"/>
              </w:rPr>
              <w:t>二级</w:t>
            </w:r>
          </w:p>
        </w:tc>
        <w:tc>
          <w:tcPr>
            <w:tcW w:w="4210" w:type="pct"/>
            <w:tcBorders>
              <w:bottom w:val="single" w:color="auto" w:sz="4" w:space="0"/>
            </w:tcBorders>
            <w:shd w:val="clear" w:color="auto" w:fill="BEBEBE"/>
            <w:noWrap w:val="0"/>
            <w:vAlign w:val="top"/>
          </w:tcPr>
          <w:p>
            <w:pPr>
              <w:spacing w:line="360" w:lineRule="exact"/>
              <w:ind w:left="-120" w:leftChars="-50" w:right="-120" w:rightChars="-50" w:firstLine="0" w:firstLineChars="0"/>
              <w:jc w:val="center"/>
              <w:rPr>
                <w:color w:val="auto"/>
                <w:sz w:val="21"/>
                <w:szCs w:val="21"/>
              </w:rPr>
            </w:pPr>
            <w:r>
              <w:rPr>
                <w:rFonts w:hint="eastAsia"/>
                <w:color w:val="auto"/>
                <w:sz w:val="21"/>
                <w:szCs w:val="21"/>
                <w:lang w:val="en-US" w:eastAsia="zh-CN"/>
              </w:rPr>
              <w:t xml:space="preserve"> 1</w:t>
            </w:r>
            <w:r>
              <w:rPr>
                <w:color w:val="auto"/>
                <w:sz w:val="21"/>
                <w:szCs w:val="21"/>
              </w:rPr>
              <w:t>类声环境功能区</w:t>
            </w:r>
            <w:r>
              <w:rPr>
                <w:rFonts w:hint="eastAsia" w:cs="宋体"/>
                <w:color w:val="auto"/>
                <w:sz w:val="21"/>
                <w:szCs w:val="21"/>
                <w:lang w:eastAsia="zh-CN"/>
              </w:rPr>
              <w:t>；</w:t>
            </w:r>
            <w:r>
              <w:rPr>
                <w:color w:val="auto"/>
                <w:sz w:val="21"/>
                <w:szCs w:val="21"/>
              </w:rPr>
              <w:t>2类声环境功能区</w:t>
            </w:r>
            <w:r>
              <w:rPr>
                <w:rFonts w:hint="eastAsia" w:cs="宋体"/>
                <w:color w:val="auto"/>
                <w:sz w:val="21"/>
                <w:szCs w:val="21"/>
                <w:lang w:eastAsia="zh-CN"/>
              </w:rPr>
              <w:t>；</w:t>
            </w:r>
            <w:r>
              <w:rPr>
                <w:color w:val="auto"/>
                <w:sz w:val="21"/>
                <w:szCs w:val="21"/>
              </w:rPr>
              <w:t>3dB（A）≤建设前后敏感目标噪声级增高量≤5dB（A）</w:t>
            </w:r>
            <w:r>
              <w:rPr>
                <w:rFonts w:hint="eastAsia" w:cs="宋体"/>
                <w:color w:val="auto"/>
                <w:sz w:val="21"/>
                <w:szCs w:val="21"/>
                <w:lang w:eastAsia="zh-CN"/>
              </w:rPr>
              <w:t>；</w:t>
            </w:r>
            <w:r>
              <w:rPr>
                <w:color w:val="auto"/>
                <w:sz w:val="21"/>
                <w:szCs w:val="21"/>
              </w:rPr>
              <w:t>受噪声影响人口增加较多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pct"/>
            <w:noWrap w:val="0"/>
            <w:vAlign w:val="center"/>
          </w:tcPr>
          <w:p>
            <w:pPr>
              <w:spacing w:line="360" w:lineRule="exact"/>
              <w:ind w:left="-120" w:leftChars="-50" w:right="-120" w:rightChars="-50" w:firstLine="0" w:firstLineChars="0"/>
              <w:jc w:val="center"/>
              <w:rPr>
                <w:color w:val="auto"/>
                <w:sz w:val="21"/>
                <w:szCs w:val="21"/>
              </w:rPr>
            </w:pPr>
            <w:r>
              <w:rPr>
                <w:color w:val="auto"/>
                <w:sz w:val="21"/>
                <w:szCs w:val="21"/>
              </w:rPr>
              <w:t>三级</w:t>
            </w:r>
          </w:p>
        </w:tc>
        <w:tc>
          <w:tcPr>
            <w:tcW w:w="4210" w:type="pct"/>
            <w:noWrap w:val="0"/>
            <w:vAlign w:val="top"/>
          </w:tcPr>
          <w:p>
            <w:pPr>
              <w:spacing w:line="360" w:lineRule="exact"/>
              <w:ind w:left="-120" w:leftChars="-50" w:right="-120" w:rightChars="-50" w:firstLine="0" w:firstLineChars="0"/>
              <w:jc w:val="center"/>
              <w:rPr>
                <w:color w:val="auto"/>
                <w:sz w:val="21"/>
                <w:szCs w:val="21"/>
              </w:rPr>
            </w:pPr>
            <w:r>
              <w:rPr>
                <w:rFonts w:hint="eastAsia"/>
                <w:color w:val="auto"/>
                <w:sz w:val="21"/>
                <w:szCs w:val="21"/>
                <w:lang w:val="en-US" w:eastAsia="zh-CN"/>
              </w:rPr>
              <w:t xml:space="preserve"> 3</w:t>
            </w:r>
            <w:r>
              <w:rPr>
                <w:color w:val="auto"/>
                <w:sz w:val="21"/>
                <w:szCs w:val="21"/>
              </w:rPr>
              <w:t>类声环境功能区</w:t>
            </w:r>
            <w:r>
              <w:rPr>
                <w:rFonts w:hint="eastAsia" w:cs="宋体"/>
                <w:color w:val="auto"/>
                <w:sz w:val="21"/>
                <w:szCs w:val="21"/>
                <w:lang w:eastAsia="zh-CN"/>
              </w:rPr>
              <w:t>；</w:t>
            </w:r>
            <w:r>
              <w:rPr>
                <w:color w:val="auto"/>
                <w:sz w:val="21"/>
                <w:szCs w:val="21"/>
              </w:rPr>
              <w:t>4类声环境功能区</w:t>
            </w:r>
            <w:r>
              <w:rPr>
                <w:rFonts w:hint="eastAsia" w:cs="宋体"/>
                <w:color w:val="auto"/>
                <w:sz w:val="21"/>
                <w:szCs w:val="21"/>
                <w:lang w:eastAsia="zh-CN"/>
              </w:rPr>
              <w:t>；</w:t>
            </w:r>
            <w:r>
              <w:rPr>
                <w:color w:val="auto"/>
                <w:sz w:val="21"/>
                <w:szCs w:val="21"/>
              </w:rPr>
              <w:t>建设前后敏感目标噪声级增高量＜3dB（A），且受噪声影响人口变化不大</w:t>
            </w:r>
          </w:p>
        </w:tc>
      </w:tr>
    </w:tbl>
    <w:p>
      <w:pPr>
        <w:keepNext w:val="0"/>
        <w:keepLines w:val="0"/>
        <w:pageBreakBefore w:val="0"/>
        <w:numPr>
          <w:ilvl w:val="0"/>
          <w:numId w:val="6"/>
        </w:numPr>
        <w:tabs>
          <w:tab w:val="left" w:pos="454"/>
        </w:tabs>
        <w:kinsoku/>
        <w:wordWrap/>
        <w:overflowPunct/>
        <w:topLinePunct w:val="0"/>
        <w:bidi w:val="0"/>
        <w:adjustRightInd/>
        <w:snapToGrid/>
        <w:spacing w:line="360" w:lineRule="auto"/>
        <w:ind w:firstLine="480"/>
        <w:textAlignment w:val="auto"/>
        <w:rPr>
          <w:rFonts w:hint="eastAsia" w:hAnsi="宋体"/>
          <w:color w:val="auto"/>
          <w:lang w:val="en-US" w:eastAsia="zh-CN"/>
        </w:rPr>
      </w:pPr>
      <w:r>
        <w:rPr>
          <w:rFonts w:hint="eastAsia" w:hAnsi="宋体"/>
          <w:color w:val="auto"/>
          <w:lang w:val="en-US" w:eastAsia="zh-CN"/>
        </w:rPr>
        <w:t>土壤评价工作等级</w:t>
      </w:r>
    </w:p>
    <w:p>
      <w:pPr>
        <w:keepNext w:val="0"/>
        <w:keepLines w:val="0"/>
        <w:pageBreakBefore w:val="0"/>
        <w:widowControl/>
        <w:suppressLineNumbers w:val="0"/>
        <w:kinsoku/>
        <w:wordWrap/>
        <w:overflowPunct/>
        <w:topLinePunct w:val="0"/>
        <w:bidi w:val="0"/>
        <w:adjustRightInd/>
        <w:snapToGrid/>
        <w:spacing w:line="360" w:lineRule="auto"/>
        <w:jc w:val="both"/>
        <w:textAlignment w:val="auto"/>
        <w:rPr>
          <w:rFonts w:hint="eastAsia" w:cs="宋体"/>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环境影响评价技术导则 土壤环境（试行）</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HJ964-2018</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kern w:val="0"/>
          <w:sz w:val="24"/>
          <w:szCs w:val="24"/>
          <w:lang w:val="en-US" w:eastAsia="zh-CN" w:bidi="ar"/>
        </w:rPr>
        <w:t>附录A表A.1土壤环境影响评价项目类别，本项目属于社会事业与服务业中的其他类别，属于Ⅳ类项目</w:t>
      </w:r>
      <w:r>
        <w:rPr>
          <w:rFonts w:hint="eastAsia"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sz w:val="24"/>
          <w:szCs w:val="24"/>
          <w:lang w:val="en-US" w:eastAsia="zh-CN"/>
        </w:rPr>
        <w:t>根据《环境影响评价技术导则 土壤环境（试行）》（HJ964-2018）</w:t>
      </w:r>
      <w:r>
        <w:rPr>
          <w:rFonts w:hint="eastAsia" w:cs="Times New Roman"/>
          <w:b w:val="0"/>
          <w:bCs w:val="0"/>
          <w:color w:val="auto"/>
          <w:sz w:val="24"/>
          <w:szCs w:val="24"/>
          <w:lang w:val="en-US" w:eastAsia="zh-CN"/>
        </w:rPr>
        <w:t>：</w:t>
      </w:r>
      <w:r>
        <w:rPr>
          <w:rFonts w:hint="eastAsia" w:ascii="Times New Roman" w:hAnsi="Times New Roman" w:eastAsia="宋体" w:cs="宋体"/>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4.2.2</w:t>
      </w:r>
      <w:r>
        <w:rPr>
          <w:rFonts w:hint="eastAsia" w:cs="Times New Roman"/>
          <w:b w:val="0"/>
          <w:bCs w:val="0"/>
          <w:color w:val="auto"/>
          <w:sz w:val="24"/>
          <w:szCs w:val="24"/>
          <w:lang w:val="en-US" w:eastAsia="zh-CN"/>
        </w:rPr>
        <w:t xml:space="preserve"> </w:t>
      </w:r>
      <w:r>
        <w:rPr>
          <w:rFonts w:hint="default" w:ascii="Times New Roman" w:hAnsi="Times New Roman" w:eastAsia="宋体" w:cs="Times New Roman"/>
          <w:b w:val="0"/>
          <w:bCs w:val="0"/>
          <w:color w:val="auto"/>
          <w:sz w:val="24"/>
          <w:szCs w:val="24"/>
          <w:lang w:val="en-US" w:eastAsia="zh-CN"/>
        </w:rPr>
        <w:t>根据行业特征、工艺特点或规模大小等将建设项目类别分为Ⅰ类、Ⅱ类、Ⅲ类、Ⅳ类，见附录 A，其中</w:t>
      </w:r>
      <w:r>
        <w:rPr>
          <w:rFonts w:hint="default" w:ascii="Times New Roman" w:hAnsi="Times New Roman" w:eastAsia="宋体" w:cs="Times New Roman"/>
          <w:b w:val="0"/>
          <w:bCs w:val="0"/>
          <w:color w:val="auto"/>
          <w:sz w:val="24"/>
          <w:szCs w:val="24"/>
          <w:lang w:val="en-US" w:eastAsia="zh-CN"/>
        </w:rPr>
        <w:t>Ⅳ类建设项目可不开展土壤环境影响评价</w:t>
      </w:r>
      <w:r>
        <w:rPr>
          <w:rFonts w:hint="eastAsia" w:cs="宋体"/>
          <w:b w:val="0"/>
          <w:bCs w:val="0"/>
          <w:color w:val="auto"/>
          <w:sz w:val="24"/>
          <w:szCs w:val="24"/>
          <w:lang w:val="en-US" w:eastAsia="zh-CN"/>
        </w:rPr>
        <w:t>。</w:t>
      </w:r>
    </w:p>
    <w:p>
      <w:pPr>
        <w:keepNext w:val="0"/>
        <w:keepLines w:val="0"/>
        <w:pageBreakBefore w:val="0"/>
        <w:widowControl/>
        <w:suppressLineNumbers w:val="0"/>
        <w:kinsoku/>
        <w:wordWrap/>
        <w:overflowPunct/>
        <w:topLinePunct w:val="0"/>
        <w:bidi w:val="0"/>
        <w:adjustRightInd/>
        <w:snapToGrid/>
        <w:spacing w:line="360" w:lineRule="auto"/>
        <w:jc w:val="both"/>
        <w:textAlignment w:val="auto"/>
        <w:rPr>
          <w:rFonts w:hint="default" w:cs="宋体"/>
          <w:b w:val="0"/>
          <w:bCs w:val="0"/>
          <w:color w:val="auto"/>
          <w:sz w:val="24"/>
          <w:szCs w:val="24"/>
          <w:lang w:val="en-US" w:eastAsia="zh-CN"/>
        </w:rPr>
      </w:pPr>
      <w:r>
        <w:rPr>
          <w:rFonts w:hint="eastAsia" w:cs="宋体"/>
          <w:b w:val="0"/>
          <w:bCs w:val="0"/>
          <w:color w:val="auto"/>
          <w:sz w:val="24"/>
          <w:szCs w:val="24"/>
          <w:lang w:val="en-US" w:eastAsia="zh-CN"/>
        </w:rPr>
        <w:t>项目选址位于合肥市滨湖新区锦绣大道与江苏路交口西南侧，项目选址区域现状为空地，无原有的环境污染问题。</w:t>
      </w:r>
    </w:p>
    <w:p>
      <w:pPr>
        <w:keepNext w:val="0"/>
        <w:keepLines w:val="0"/>
        <w:pageBreakBefore w:val="0"/>
        <w:tabs>
          <w:tab w:val="left" w:pos="454"/>
        </w:tabs>
        <w:kinsoku/>
        <w:wordWrap/>
        <w:overflowPunct/>
        <w:topLinePunct w:val="0"/>
        <w:bidi w:val="0"/>
        <w:adjustRightInd/>
        <w:snapToGrid/>
        <w:spacing w:line="360" w:lineRule="auto"/>
        <w:ind w:firstLine="480"/>
        <w:textAlignment w:val="auto"/>
        <w:rPr>
          <w:rFonts w:hint="eastAsia" w:hAnsi="宋体"/>
          <w:color w:val="auto"/>
        </w:rPr>
      </w:pPr>
      <w:r>
        <w:rPr>
          <w:rFonts w:hint="eastAsia" w:hAnsi="宋体"/>
          <w:color w:val="auto"/>
          <w:lang w:val="en-US" w:eastAsia="zh-CN"/>
        </w:rPr>
        <w:t>5、</w:t>
      </w:r>
      <w:r>
        <w:rPr>
          <w:rFonts w:hint="eastAsia" w:hAnsi="宋体"/>
          <w:color w:val="auto"/>
        </w:rPr>
        <w:t>地下水评价工作等级</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根据《环境影响评价技术导则 地下水环境》（</w:t>
      </w:r>
      <w:r>
        <w:rPr>
          <w:rFonts w:hint="default" w:ascii="Times New Roman" w:hAnsi="Times New Roman" w:eastAsia="宋体" w:cs="Times New Roman"/>
          <w:color w:val="auto"/>
          <w:kern w:val="0"/>
          <w:sz w:val="24"/>
          <w:szCs w:val="24"/>
          <w:lang w:val="en-US" w:eastAsia="zh-CN" w:bidi="ar"/>
        </w:rPr>
        <w:t>HJ 610-2016</w:t>
      </w:r>
      <w:r>
        <w:rPr>
          <w:rFonts w:hint="eastAsia" w:ascii="宋体" w:hAnsi="宋体" w:eastAsia="宋体" w:cs="宋体"/>
          <w:color w:val="auto"/>
          <w:kern w:val="0"/>
          <w:sz w:val="24"/>
          <w:szCs w:val="24"/>
          <w:lang w:val="en-US" w:eastAsia="zh-CN" w:bidi="ar"/>
        </w:rPr>
        <w:t xml:space="preserve">），地下水环境影响评价工作等级依据建设项目所属的地下水环境影响评价项目类别和建设项目的地下水环境敏感程度决定。 </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本项目建成后，医院规划为三级甲等综合医院，根据《环境影响评价技术导则 地下水环境》（</w:t>
      </w:r>
      <w:r>
        <w:rPr>
          <w:rFonts w:hint="default" w:ascii="Times New Roman" w:hAnsi="Times New Roman" w:eastAsia="宋体" w:cs="Times New Roman"/>
          <w:color w:val="auto"/>
          <w:kern w:val="0"/>
          <w:sz w:val="24"/>
          <w:szCs w:val="24"/>
          <w:lang w:val="en-US" w:eastAsia="zh-CN" w:bidi="ar"/>
        </w:rPr>
        <w:t>HJ 610-2016</w:t>
      </w:r>
      <w:r>
        <w:rPr>
          <w:rFonts w:hint="eastAsia" w:ascii="宋体" w:hAnsi="宋体" w:eastAsia="宋体" w:cs="宋体"/>
          <w:color w:val="auto"/>
          <w:kern w:val="0"/>
          <w:sz w:val="24"/>
          <w:szCs w:val="24"/>
          <w:lang w:val="en-US" w:eastAsia="zh-CN" w:bidi="ar"/>
        </w:rPr>
        <w:t>），地下水环境影响评价项目类别属于Ⅲ类建设项目</w:t>
      </w:r>
      <w:r>
        <w:rPr>
          <w:rFonts w:hint="eastAsia" w:ascii="宋体" w:hAnsi="宋体" w:cs="宋体"/>
          <w:color w:val="auto"/>
          <w:kern w:val="0"/>
          <w:sz w:val="24"/>
          <w:szCs w:val="24"/>
          <w:lang w:val="en-US" w:eastAsia="zh-CN" w:bidi="ar"/>
        </w:rPr>
        <w:t>。</w:t>
      </w:r>
      <w:r>
        <w:rPr>
          <w:rFonts w:ascii="宋体" w:hAnsi="宋体" w:eastAsia="宋体" w:cs="宋体"/>
          <w:color w:val="auto"/>
          <w:sz w:val="24"/>
          <w:szCs w:val="24"/>
        </w:rPr>
        <w:t>本项目不开采地下水，也不会排放废水至地下水中，引起地下水流场或地下水水位变化，不会因此导致环境水文地质问题</w:t>
      </w:r>
      <w:r>
        <w:rPr>
          <w:rFonts w:hint="eastAsia" w:ascii="宋体" w:hAnsi="宋体" w:cs="宋体"/>
          <w:color w:val="auto"/>
          <w:sz w:val="24"/>
          <w:szCs w:val="24"/>
          <w:lang w:eastAsia="zh-CN"/>
        </w:rPr>
        <w:t>；</w:t>
      </w:r>
      <w:r>
        <w:rPr>
          <w:rFonts w:ascii="宋体" w:hAnsi="宋体" w:eastAsia="宋体" w:cs="宋体"/>
          <w:color w:val="auto"/>
          <w:sz w:val="24"/>
          <w:szCs w:val="24"/>
        </w:rPr>
        <w:t>经现场调查，</w:t>
      </w:r>
      <w:r>
        <w:rPr>
          <w:rFonts w:hint="eastAsia" w:ascii="宋体" w:hAnsi="宋体" w:cs="宋体"/>
          <w:color w:val="auto"/>
          <w:sz w:val="24"/>
          <w:szCs w:val="24"/>
          <w:lang w:eastAsia="zh-CN"/>
        </w:rPr>
        <w:t>医院</w:t>
      </w:r>
      <w:r>
        <w:rPr>
          <w:rFonts w:ascii="宋体" w:hAnsi="宋体" w:eastAsia="宋体" w:cs="宋体"/>
          <w:color w:val="auto"/>
          <w:sz w:val="24"/>
          <w:szCs w:val="24"/>
        </w:rPr>
        <w:t>周边没有生活供水水源地</w:t>
      </w:r>
      <w:r>
        <w:rPr>
          <w:rFonts w:hint="eastAsia" w:ascii="宋体" w:hAnsi="宋体" w:cs="宋体"/>
          <w:color w:val="auto"/>
          <w:sz w:val="24"/>
          <w:szCs w:val="24"/>
          <w:lang w:eastAsia="zh-CN"/>
        </w:rPr>
        <w:t>；</w:t>
      </w:r>
      <w:r>
        <w:rPr>
          <w:rFonts w:ascii="宋体" w:hAnsi="宋体" w:eastAsia="宋体" w:cs="宋体"/>
          <w:color w:val="auto"/>
          <w:sz w:val="24"/>
          <w:szCs w:val="24"/>
        </w:rPr>
        <w:t>按照《饮用水水源 保护区划分技术规范》孔隙水承压水型水源保护区划分办法，项目所在地不属于饮用水水源准保护区，同时也不属于准保护区以外的地下水补给径流区</w:t>
      </w:r>
      <w:r>
        <w:rPr>
          <w:rFonts w:hint="eastAsia" w:ascii="宋体" w:hAnsi="宋体" w:cs="宋体"/>
          <w:color w:val="auto"/>
          <w:sz w:val="24"/>
          <w:szCs w:val="24"/>
          <w:lang w:eastAsia="zh-CN"/>
        </w:rPr>
        <w:t>；</w:t>
      </w:r>
      <w:r>
        <w:rPr>
          <w:rFonts w:ascii="宋体" w:hAnsi="宋体" w:eastAsia="宋体" w:cs="宋体"/>
          <w:color w:val="auto"/>
          <w:sz w:val="24"/>
          <w:szCs w:val="24"/>
        </w:rPr>
        <w:t>不属于 热水、矿泉水、温泉等特殊地下水资源保护区</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故</w:t>
      </w:r>
      <w:r>
        <w:rPr>
          <w:rFonts w:ascii="宋体" w:hAnsi="宋体" w:eastAsia="宋体" w:cs="宋体"/>
          <w:color w:val="auto"/>
          <w:sz w:val="24"/>
          <w:szCs w:val="24"/>
        </w:rPr>
        <w:t xml:space="preserve">建设项目地下水环境敏感程度为 </w:t>
      </w:r>
      <w:r>
        <w:rPr>
          <w:rFonts w:hint="eastAsia" w:ascii="宋体" w:hAnsi="宋体" w:cs="宋体"/>
          <w:color w:val="auto"/>
          <w:sz w:val="24"/>
          <w:szCs w:val="24"/>
          <w:lang w:eastAsia="zh-CN"/>
        </w:rPr>
        <w:t>“</w:t>
      </w:r>
      <w:r>
        <w:rPr>
          <w:rFonts w:ascii="宋体" w:hAnsi="宋体" w:eastAsia="宋体" w:cs="宋体"/>
          <w:color w:val="auto"/>
          <w:sz w:val="24"/>
          <w:szCs w:val="24"/>
        </w:rPr>
        <w:t>不敏感</w:t>
      </w:r>
      <w:r>
        <w:rPr>
          <w:rFonts w:hint="eastAsia" w:ascii="宋体" w:hAnsi="宋体" w:cs="宋体"/>
          <w:color w:val="auto"/>
          <w:sz w:val="24"/>
          <w:szCs w:val="24"/>
          <w:lang w:eastAsia="zh-CN"/>
        </w:rPr>
        <w:t>”。</w:t>
      </w:r>
      <w:r>
        <w:rPr>
          <w:rFonts w:hint="eastAsia" w:ascii="宋体" w:hAnsi="宋体" w:eastAsia="宋体" w:cs="宋体"/>
          <w:color w:val="auto"/>
          <w:kern w:val="0"/>
          <w:sz w:val="24"/>
          <w:szCs w:val="24"/>
          <w:lang w:val="en-US" w:eastAsia="zh-CN" w:bidi="ar"/>
        </w:rPr>
        <w:t>根据《环境影响评价技术导则 地下水环境》（</w:t>
      </w:r>
      <w:r>
        <w:rPr>
          <w:rFonts w:hint="default" w:ascii="Times New Roman" w:hAnsi="Times New Roman" w:eastAsia="宋体" w:cs="Times New Roman"/>
          <w:color w:val="auto"/>
          <w:kern w:val="0"/>
          <w:sz w:val="24"/>
          <w:szCs w:val="24"/>
          <w:lang w:val="en-US" w:eastAsia="zh-CN" w:bidi="ar"/>
        </w:rPr>
        <w:t>HJ 610-2016</w:t>
      </w:r>
      <w:r>
        <w:rPr>
          <w:rFonts w:hint="eastAsia" w:ascii="宋体" w:hAnsi="宋体" w:eastAsia="宋体" w:cs="宋体"/>
          <w:color w:val="auto"/>
          <w:kern w:val="0"/>
          <w:sz w:val="24"/>
          <w:szCs w:val="24"/>
          <w:lang w:val="en-US" w:eastAsia="zh-CN" w:bidi="ar"/>
        </w:rPr>
        <w:t xml:space="preserve">），本项目地下水环境影响评价等级定为三级。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Times New Roman"/>
          <w:b/>
          <w:color w:val="auto"/>
          <w:sz w:val="21"/>
          <w:szCs w:val="21"/>
        </w:rPr>
      </w:pPr>
      <w:r>
        <w:rPr>
          <w:rFonts w:hint="eastAsia" w:ascii="Times New Roman" w:hAnsi="宋体" w:eastAsia="宋体" w:cs="Times New Roman"/>
          <w:b/>
          <w:color w:val="auto"/>
          <w:sz w:val="21"/>
          <w:szCs w:val="21"/>
          <w:lang w:val="en-US" w:eastAsia="zh-CN"/>
        </w:rPr>
        <w:t>表2.4-5</w:t>
      </w:r>
      <w:r>
        <w:rPr>
          <w:rFonts w:ascii="Times New Roman" w:hAnsi="宋体" w:eastAsia="宋体" w:cs="Times New Roman"/>
          <w:b/>
          <w:color w:val="auto"/>
          <w:sz w:val="21"/>
          <w:szCs w:val="21"/>
        </w:rPr>
        <w:t>地下水评价工作等级分级表</w:t>
      </w:r>
    </w:p>
    <w:tbl>
      <w:tblPr>
        <w:tblStyle w:val="48"/>
        <w:tblW w:w="501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2627"/>
        <w:gridCol w:w="1476"/>
        <w:gridCol w:w="2135"/>
        <w:gridCol w:w="210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157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right"/>
              <w:textAlignment w:val="auto"/>
              <w:rPr>
                <w:rFonts w:hint="eastAsia"/>
                <w:color w:val="auto"/>
                <w:sz w:val="21"/>
                <w:szCs w:val="21"/>
              </w:rPr>
            </w:pPr>
            <w:r>
              <w:rPr>
                <w:rFonts w:hint="eastAsia"/>
                <w:color w:val="auto"/>
                <w:sz w:val="21"/>
                <w:szCs w:val="21"/>
              </w:rPr>
              <w:t xml:space="preserve">环境敏感程度 </w:t>
            </w:r>
          </w:p>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left"/>
              <w:textAlignment w:val="auto"/>
              <w:rPr>
                <w:rFonts w:hint="default"/>
                <w:color w:val="auto"/>
                <w:sz w:val="21"/>
                <w:szCs w:val="21"/>
              </w:rPr>
            </w:pPr>
            <w:r>
              <w:rPr>
                <w:rFonts w:hint="eastAsia"/>
                <w:color w:val="auto"/>
                <w:sz w:val="21"/>
                <w:szCs w:val="21"/>
              </w:rPr>
              <w:t>项目类别</w:t>
            </w:r>
          </w:p>
        </w:tc>
        <w:tc>
          <w:tcPr>
            <w:tcW w:w="88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I类项目</w:t>
            </w:r>
          </w:p>
        </w:tc>
        <w:tc>
          <w:tcPr>
            <w:tcW w:w="1279"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II类项目</w:t>
            </w:r>
          </w:p>
        </w:tc>
        <w:tc>
          <w:tcPr>
            <w:tcW w:w="1261" w:type="pct"/>
            <w:tcBorders>
              <w:top w:val="single" w:color="auto" w:sz="4" w:space="0"/>
              <w:left w:val="single" w:color="auto" w:sz="4" w:space="0"/>
              <w:bottom w:val="nil"/>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III类项目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157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敏感</w:t>
            </w:r>
          </w:p>
        </w:tc>
        <w:tc>
          <w:tcPr>
            <w:tcW w:w="88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ascii="Courier New" w:hAnsi="Courier New"/>
                <w:color w:val="auto"/>
                <w:sz w:val="21"/>
                <w:szCs w:val="21"/>
                <w:lang w:val="en-US" w:eastAsia="zh-CN"/>
              </w:rPr>
              <w:t>一</w:t>
            </w:r>
          </w:p>
        </w:tc>
        <w:tc>
          <w:tcPr>
            <w:tcW w:w="1279"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eastAsia="宋体"/>
                <w:color w:val="auto"/>
                <w:sz w:val="21"/>
                <w:szCs w:val="21"/>
                <w:lang w:eastAsia="zh-CN"/>
              </w:rPr>
            </w:pPr>
            <w:r>
              <w:rPr>
                <w:rFonts w:hint="eastAsia" w:ascii="Courier New" w:hAnsi="Courier New"/>
                <w:color w:val="auto"/>
                <w:sz w:val="21"/>
                <w:szCs w:val="21"/>
                <w:lang w:val="en-US" w:eastAsia="zh-CN"/>
              </w:rPr>
              <w:t>一</w:t>
            </w:r>
          </w:p>
        </w:tc>
        <w:tc>
          <w:tcPr>
            <w:tcW w:w="1261" w:type="pct"/>
            <w:tcBorders>
              <w:top w:val="single" w:color="auto" w:sz="4" w:space="0"/>
              <w:left w:val="single" w:color="auto" w:sz="4" w:space="0"/>
              <w:bottom w:val="nil"/>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157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较敏感</w:t>
            </w:r>
          </w:p>
        </w:tc>
        <w:tc>
          <w:tcPr>
            <w:tcW w:w="884"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ascii="Courier New" w:hAnsi="Courier New"/>
                <w:color w:val="auto"/>
                <w:sz w:val="21"/>
                <w:szCs w:val="21"/>
                <w:lang w:val="en-US" w:eastAsia="zh-CN"/>
              </w:rPr>
              <w:t>一</w:t>
            </w:r>
          </w:p>
        </w:tc>
        <w:tc>
          <w:tcPr>
            <w:tcW w:w="1279"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二</w:t>
            </w:r>
          </w:p>
        </w:tc>
        <w:tc>
          <w:tcPr>
            <w:tcW w:w="1261" w:type="pct"/>
            <w:tcBorders>
              <w:top w:val="single" w:color="auto" w:sz="4" w:space="0"/>
              <w:left w:val="single" w:color="auto" w:sz="4" w:space="0"/>
              <w:bottom w:val="nil"/>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1574"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不敏感</w:t>
            </w:r>
          </w:p>
        </w:tc>
        <w:tc>
          <w:tcPr>
            <w:tcW w:w="884"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二</w:t>
            </w:r>
          </w:p>
        </w:tc>
        <w:tc>
          <w:tcPr>
            <w:tcW w:w="1279"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三</w:t>
            </w:r>
          </w:p>
        </w:tc>
        <w:tc>
          <w:tcPr>
            <w:tcW w:w="1261" w:type="pct"/>
            <w:tcBorders>
              <w:top w:val="single" w:color="auto" w:sz="4" w:space="0"/>
              <w:left w:val="single" w:color="auto" w:sz="4" w:space="0"/>
              <w:bottom w:val="single" w:color="auto" w:sz="4" w:space="0"/>
              <w:right w:val="single" w:color="auto" w:sz="4" w:space="0"/>
              <w:tl2br w:val="nil"/>
              <w:tr2bl w:val="nil"/>
            </w:tcBorders>
            <w:shd w:val="clear" w:color="auto" w:fill="D7D7D7"/>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color w:val="auto"/>
                <w:sz w:val="21"/>
                <w:szCs w:val="21"/>
              </w:rPr>
            </w:pPr>
            <w:r>
              <w:rPr>
                <w:rFonts w:hint="eastAsia"/>
                <w:color w:val="auto"/>
                <w:sz w:val="21"/>
                <w:szCs w:val="21"/>
              </w:rPr>
              <w:t>三</w:t>
            </w:r>
          </w:p>
        </w:tc>
      </w:tr>
    </w:tbl>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rFonts w:hint="eastAsia"/>
          <w:color w:val="auto"/>
          <w:lang w:val="en-US" w:eastAsia="zh-CN"/>
        </w:rPr>
        <w:t>6、</w:t>
      </w:r>
      <w:r>
        <w:rPr>
          <w:color w:val="auto"/>
        </w:rPr>
        <w:t>风险评价</w:t>
      </w:r>
    </w:p>
    <w:p>
      <w:pPr>
        <w:pStyle w:val="159"/>
        <w:keepNext w:val="0"/>
        <w:keepLines w:val="0"/>
        <w:pageBreakBefore w:val="0"/>
        <w:kinsoku/>
        <w:wordWrap/>
        <w:overflowPunct/>
        <w:topLinePunct w:val="0"/>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rPr>
        <w:t>根据《</w:t>
      </w:r>
      <w:r>
        <w:rPr>
          <w:rFonts w:hint="default" w:ascii="Times New Roman" w:hAnsi="Times New Roman" w:cs="Times New Roman"/>
          <w:color w:val="auto"/>
          <w:lang w:eastAsia="zh-CN"/>
        </w:rPr>
        <w:t>建设项目环境风险评价技术导则</w:t>
      </w:r>
      <w:r>
        <w:rPr>
          <w:rFonts w:hint="default" w:ascii="Times New Roman" w:hAnsi="Times New Roman" w:cs="Times New Roman"/>
          <w:color w:val="auto"/>
        </w:rPr>
        <w:t>》(</w:t>
      </w:r>
      <w:r>
        <w:rPr>
          <w:rFonts w:hint="default" w:ascii="Times New Roman" w:hAnsi="Times New Roman" w:cs="Times New Roman"/>
          <w:color w:val="auto"/>
          <w:lang w:val="en-US" w:eastAsia="zh-CN"/>
        </w:rPr>
        <w:t>HJ169-2018</w:t>
      </w:r>
      <w:r>
        <w:rPr>
          <w:rFonts w:hint="default" w:ascii="Times New Roman" w:hAnsi="Times New Roman" w:cs="Times New Roman"/>
          <w:color w:val="auto"/>
        </w:rPr>
        <w:t>)</w:t>
      </w:r>
      <w:r>
        <w:rPr>
          <w:rFonts w:hint="default" w:ascii="Times New Roman" w:hAnsi="Times New Roman" w:cs="Times New Roman"/>
          <w:color w:val="auto"/>
          <w:lang w:eastAsia="zh-CN"/>
        </w:rPr>
        <w:t>附录</w:t>
      </w:r>
      <w:r>
        <w:rPr>
          <w:rFonts w:hint="default" w:ascii="Times New Roman" w:hAnsi="Times New Roman" w:cs="Times New Roman"/>
          <w:color w:val="auto"/>
          <w:lang w:val="en-US" w:eastAsia="zh-CN"/>
        </w:rPr>
        <w:t>C，对危险物质及工艺系统危险性（P）的分级</w:t>
      </w:r>
      <w:r>
        <w:rPr>
          <w:rFonts w:hint="default" w:ascii="Times New Roman" w:hAnsi="Times New Roman" w:cs="Times New Roman"/>
          <w:color w:val="auto"/>
        </w:rPr>
        <w:t>：</w:t>
      </w:r>
    </w:p>
    <w:p>
      <w:pPr>
        <w:pStyle w:val="159"/>
        <w:keepNext w:val="0"/>
        <w:keepLines w:val="0"/>
        <w:pageBreakBefore w:val="0"/>
        <w:numPr>
          <w:ilvl w:val="0"/>
          <w:numId w:val="0"/>
        </w:numPr>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w:t>
      </w:r>
      <w:r>
        <w:rPr>
          <w:rFonts w:hint="default" w:ascii="Times New Roman" w:hAnsi="Times New Roman" w:cs="Times New Roman"/>
          <w:color w:val="auto"/>
          <w:lang w:eastAsia="zh-CN"/>
        </w:rPr>
        <w:t>危险物质数量与临界量比值（</w:t>
      </w:r>
      <w:r>
        <w:rPr>
          <w:rFonts w:hint="default" w:ascii="Times New Roman" w:hAnsi="Times New Roman" w:cs="Times New Roman"/>
          <w:color w:val="auto"/>
          <w:lang w:val="en-US" w:eastAsia="zh-CN"/>
        </w:rPr>
        <w:t>Q）</w:t>
      </w:r>
    </w:p>
    <w:p>
      <w:pPr>
        <w:pStyle w:val="159"/>
        <w:keepNext w:val="0"/>
        <w:keepLines w:val="0"/>
        <w:pageBreakBefore w:val="0"/>
        <w:numPr>
          <w:ilvl w:val="0"/>
          <w:numId w:val="0"/>
        </w:numPr>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当Q&lt;1时，该项目环境风险潜势为</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 1 \* ROMAN \* MERGEFORMAT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rPr>
        <w:t>I</w:t>
      </w:r>
      <w:r>
        <w:rPr>
          <w:rFonts w:hint="default" w:ascii="Times New Roman" w:hAnsi="Times New Roman" w:eastAsia="宋体" w:cs="Times New Roman"/>
          <w:color w:val="auto"/>
          <w:lang w:val="en-US" w:eastAsia="zh-CN"/>
        </w:rPr>
        <w:fldChar w:fldCharType="end"/>
      </w:r>
      <w:r>
        <w:rPr>
          <w:rFonts w:hint="eastAsia" w:cs="宋体"/>
          <w:color w:val="auto"/>
          <w:lang w:val="en-US" w:eastAsia="zh-CN"/>
        </w:rPr>
        <w:t>；</w:t>
      </w:r>
      <w:r>
        <w:rPr>
          <w:rFonts w:hint="default" w:ascii="Times New Roman" w:hAnsi="Times New Roman" w:eastAsia="宋体" w:cs="Times New Roman"/>
          <w:color w:val="auto"/>
          <w:lang w:val="en-US" w:eastAsia="zh-CN"/>
        </w:rPr>
        <w:t>当Q≧1时，将Q划分为1≦Q&lt;10</w:t>
      </w:r>
      <w:r>
        <w:rPr>
          <w:rFonts w:hint="eastAsia" w:cs="宋体"/>
          <w:color w:val="auto"/>
          <w:lang w:val="en-US" w:eastAsia="zh-CN"/>
        </w:rPr>
        <w:t>；</w:t>
      </w:r>
      <w:r>
        <w:rPr>
          <w:rFonts w:hint="default" w:ascii="Times New Roman" w:hAnsi="Times New Roman" w:eastAsia="宋体" w:cs="Times New Roman"/>
          <w:color w:val="auto"/>
          <w:lang w:val="en-US" w:eastAsia="zh-CN"/>
        </w:rPr>
        <w:t>10≦Q&lt;100</w:t>
      </w:r>
      <w:r>
        <w:rPr>
          <w:rFonts w:hint="eastAsia" w:cs="宋体"/>
          <w:color w:val="auto"/>
          <w:lang w:val="en-US" w:eastAsia="zh-CN"/>
        </w:rPr>
        <w:t>；</w:t>
      </w:r>
      <w:r>
        <w:rPr>
          <w:rFonts w:hint="default" w:ascii="Times New Roman" w:hAnsi="Times New Roman" w:eastAsia="宋体" w:cs="Times New Roman"/>
          <w:color w:val="auto"/>
          <w:lang w:val="en-US" w:eastAsia="zh-CN"/>
        </w:rPr>
        <w:t>Q≧100</w:t>
      </w:r>
    </w:p>
    <w:p>
      <w:pPr>
        <w:pStyle w:val="159"/>
        <w:keepNext w:val="0"/>
        <w:keepLines w:val="0"/>
        <w:pageBreakBefore w:val="0"/>
        <w:kinsoku/>
        <w:wordWrap/>
        <w:overflowPunct/>
        <w:topLinePunct w:val="0"/>
        <w:bidi w:val="0"/>
        <w:adjustRightInd/>
        <w:snapToGrid/>
        <w:spacing w:line="360"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当只涉及一种物质时，计算该物质的总量与其临界量比值，即为</w:t>
      </w:r>
      <w:r>
        <w:rPr>
          <w:rFonts w:hint="default" w:ascii="Times New Roman" w:hAnsi="Times New Roman" w:cs="Times New Roman"/>
          <w:color w:val="auto"/>
          <w:lang w:val="en-US" w:eastAsia="zh-CN"/>
        </w:rPr>
        <w:t>Q</w:t>
      </w:r>
      <w:r>
        <w:rPr>
          <w:rFonts w:hint="eastAsia" w:cs="宋体"/>
          <w:color w:val="auto"/>
          <w:lang w:val="en-US" w:eastAsia="zh-CN"/>
        </w:rPr>
        <w:t>；</w:t>
      </w:r>
    </w:p>
    <w:p>
      <w:pPr>
        <w:pStyle w:val="159"/>
        <w:keepNext w:val="0"/>
        <w:keepLines w:val="0"/>
        <w:pageBreakBefore w:val="0"/>
        <w:kinsoku/>
        <w:wordWrap/>
        <w:overflowPunct/>
        <w:topLinePunct w:val="0"/>
        <w:bidi w:val="0"/>
        <w:adjustRightInd/>
        <w:snapToGrid/>
        <w:spacing w:line="360" w:lineRule="auto"/>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eastAsia="zh-CN"/>
        </w:rPr>
        <w:t>当存在多种危险物质时，则按下式计算物质总量与其临界量比值（</w:t>
      </w:r>
      <w:r>
        <w:rPr>
          <w:rFonts w:hint="default" w:ascii="Times New Roman" w:hAnsi="Times New Roman" w:cs="Times New Roman"/>
          <w:color w:val="auto"/>
          <w:lang w:val="en-US" w:eastAsia="zh-CN"/>
        </w:rPr>
        <w:t>Q）：</w:t>
      </w:r>
    </w:p>
    <w:p>
      <w:pPr>
        <w:pStyle w:val="159"/>
        <w:keepNext w:val="0"/>
        <w:keepLines w:val="0"/>
        <w:pageBreakBefore w:val="0"/>
        <w:kinsoku/>
        <w:wordWrap/>
        <w:overflowPunct/>
        <w:topLinePunct w:val="0"/>
        <w:bidi w:val="0"/>
        <w:adjustRightInd/>
        <w:snapToGrid/>
        <w:spacing w:line="360" w:lineRule="auto"/>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lang w:val="en-US" w:eastAsia="zh-CN"/>
        </w:rPr>
        <w:t>Q=</w:t>
      </w:r>
      <w:r>
        <w:rPr>
          <w:rFonts w:hint="default" w:ascii="Times New Roman" w:hAnsi="Times New Roman" w:cs="Times New Roman"/>
          <w:color w:val="auto"/>
        </w:rPr>
        <w:t>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n</w:t>
      </w:r>
      <w:r>
        <w:rPr>
          <w:rFonts w:hint="default" w:ascii="Times New Roman" w:hAnsi="Times New Roman" w:cs="Times New Roman"/>
          <w:color w:val="auto"/>
        </w:rPr>
        <w:t>/Q</w:t>
      </w:r>
      <w:r>
        <w:rPr>
          <w:rFonts w:hint="default" w:ascii="Times New Roman" w:hAnsi="Times New Roman" w:cs="Times New Roman"/>
          <w:color w:val="auto"/>
          <w:vertAlign w:val="subscript"/>
        </w:rPr>
        <w:t>n</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式中：q</w:t>
      </w:r>
      <w:r>
        <w:rPr>
          <w:rFonts w:hint="default" w:ascii="Times New Roman" w:hAnsi="Times New Roman" w:cs="Times New Roman"/>
          <w:color w:val="auto"/>
          <w:kern w:val="0"/>
          <w:sz w:val="24"/>
          <w:szCs w:val="24"/>
          <w:vertAlign w:val="subscript"/>
        </w:rPr>
        <w:t>1</w:t>
      </w:r>
      <w:r>
        <w:rPr>
          <w:rFonts w:hint="default" w:ascii="Times New Roman" w:hAnsi="Times New Roman" w:cs="Times New Roman"/>
          <w:color w:val="auto"/>
          <w:kern w:val="0"/>
          <w:sz w:val="24"/>
          <w:szCs w:val="24"/>
        </w:rPr>
        <w:t>、q</w:t>
      </w:r>
      <w:r>
        <w:rPr>
          <w:rFonts w:hint="default" w:ascii="Times New Roman" w:hAnsi="Times New Roman" w:cs="Times New Roman"/>
          <w:color w:val="auto"/>
          <w:kern w:val="0"/>
          <w:sz w:val="24"/>
          <w:szCs w:val="24"/>
          <w:vertAlign w:val="subscript"/>
        </w:rPr>
        <w:t>2</w:t>
      </w:r>
      <w:r>
        <w:rPr>
          <w:rFonts w:hint="default" w:ascii="Times New Roman" w:hAnsi="Times New Roman" w:cs="Times New Roman"/>
          <w:color w:val="auto"/>
          <w:kern w:val="0"/>
          <w:sz w:val="24"/>
          <w:szCs w:val="24"/>
        </w:rPr>
        <w:t>……q</w:t>
      </w:r>
      <w:r>
        <w:rPr>
          <w:rFonts w:hint="default" w:ascii="Times New Roman" w:hAnsi="Times New Roman" w:cs="Times New Roman"/>
          <w:color w:val="auto"/>
          <w:kern w:val="0"/>
          <w:sz w:val="24"/>
          <w:szCs w:val="24"/>
          <w:vertAlign w:val="subscript"/>
        </w:rPr>
        <w:t>n</w:t>
      </w:r>
      <w:r>
        <w:rPr>
          <w:rFonts w:hint="default" w:ascii="Times New Roman" w:hAnsi="Times New Roman" w:cs="Times New Roman"/>
          <w:color w:val="auto"/>
          <w:kern w:val="0"/>
          <w:sz w:val="24"/>
          <w:szCs w:val="24"/>
        </w:rPr>
        <w:t xml:space="preserve"> ——每种危险物质</w:t>
      </w:r>
      <w:r>
        <w:rPr>
          <w:rFonts w:hint="default" w:ascii="Times New Roman" w:hAnsi="Times New Roman" w:cs="Times New Roman"/>
          <w:color w:val="auto"/>
          <w:kern w:val="0"/>
          <w:sz w:val="24"/>
          <w:szCs w:val="24"/>
          <w:lang w:eastAsia="zh-CN"/>
        </w:rPr>
        <w:t>最大</w:t>
      </w:r>
      <w:r>
        <w:rPr>
          <w:rFonts w:hint="default" w:ascii="Times New Roman" w:hAnsi="Times New Roman" w:cs="Times New Roman"/>
          <w:color w:val="auto"/>
          <w:kern w:val="0"/>
          <w:sz w:val="24"/>
          <w:szCs w:val="24"/>
        </w:rPr>
        <w:t>存在量，t</w:t>
      </w:r>
      <w:r>
        <w:rPr>
          <w:rFonts w:hint="eastAsia" w:cs="宋体"/>
          <w:color w:val="auto"/>
          <w:kern w:val="0"/>
          <w:sz w:val="24"/>
          <w:szCs w:val="24"/>
          <w:lang w:eastAsia="zh-CN"/>
        </w:rPr>
        <w:t>；</w:t>
      </w:r>
      <w:r>
        <w:rPr>
          <w:rFonts w:hint="default" w:ascii="Times New Roman" w:hAnsi="Times New Roman" w:cs="Times New Roman"/>
          <w:color w:val="auto"/>
          <w:kern w:val="0"/>
          <w:sz w:val="24"/>
          <w:szCs w:val="24"/>
        </w:rPr>
        <w:t xml:space="preserve"> </w:t>
      </w:r>
    </w:p>
    <w:p>
      <w:pPr>
        <w:keepNext w:val="0"/>
        <w:keepLines w:val="0"/>
        <w:pageBreakBefore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Q</w:t>
      </w:r>
      <w:r>
        <w:rPr>
          <w:rFonts w:hint="default" w:ascii="Times New Roman" w:hAnsi="Times New Roman" w:cs="Times New Roman"/>
          <w:color w:val="auto"/>
          <w:kern w:val="0"/>
          <w:sz w:val="24"/>
          <w:szCs w:val="24"/>
          <w:vertAlign w:val="subscript"/>
        </w:rPr>
        <w:t>1</w:t>
      </w:r>
      <w:r>
        <w:rPr>
          <w:rFonts w:hint="default" w:ascii="Times New Roman" w:hAnsi="Times New Roman" w:cs="Times New Roman"/>
          <w:color w:val="auto"/>
          <w:kern w:val="0"/>
          <w:sz w:val="24"/>
          <w:szCs w:val="24"/>
        </w:rPr>
        <w:t>、Q</w:t>
      </w:r>
      <w:r>
        <w:rPr>
          <w:rFonts w:hint="default" w:ascii="Times New Roman" w:hAnsi="Times New Roman" w:cs="Times New Roman"/>
          <w:color w:val="auto"/>
          <w:kern w:val="0"/>
          <w:sz w:val="24"/>
          <w:szCs w:val="24"/>
          <w:vertAlign w:val="subscript"/>
        </w:rPr>
        <w:t>2</w:t>
      </w:r>
      <w:r>
        <w:rPr>
          <w:rFonts w:hint="default" w:ascii="Times New Roman" w:hAnsi="Times New Roman" w:cs="Times New Roman"/>
          <w:color w:val="auto"/>
          <w:kern w:val="0"/>
          <w:sz w:val="24"/>
          <w:szCs w:val="24"/>
        </w:rPr>
        <w:t>……Q</w:t>
      </w:r>
      <w:r>
        <w:rPr>
          <w:rFonts w:hint="default" w:ascii="Times New Roman" w:hAnsi="Times New Roman" w:cs="Times New Roman"/>
          <w:color w:val="auto"/>
          <w:kern w:val="0"/>
          <w:sz w:val="24"/>
          <w:szCs w:val="24"/>
          <w:vertAlign w:val="subscript"/>
        </w:rPr>
        <w:t>n</w:t>
      </w:r>
      <w:r>
        <w:rPr>
          <w:rFonts w:hint="default" w:ascii="Times New Roman" w:hAnsi="Times New Roman" w:cs="Times New Roman"/>
          <w:color w:val="auto"/>
          <w:kern w:val="0"/>
          <w:sz w:val="24"/>
          <w:szCs w:val="24"/>
        </w:rPr>
        <w:t xml:space="preserve"> ——</w:t>
      </w:r>
      <w:r>
        <w:rPr>
          <w:rFonts w:hint="default" w:ascii="Times New Roman" w:hAnsi="Times New Roman" w:cs="Times New Roman"/>
          <w:color w:val="auto"/>
          <w:kern w:val="0"/>
          <w:sz w:val="24"/>
          <w:szCs w:val="24"/>
          <w:lang w:eastAsia="zh-CN"/>
        </w:rPr>
        <w:t>每种危险物质</w:t>
      </w:r>
      <w:r>
        <w:rPr>
          <w:rFonts w:hint="default" w:ascii="Times New Roman" w:hAnsi="Times New Roman" w:cs="Times New Roman"/>
          <w:color w:val="auto"/>
          <w:kern w:val="0"/>
          <w:sz w:val="24"/>
          <w:szCs w:val="24"/>
        </w:rPr>
        <w:t>的临界量，t。</w:t>
      </w:r>
    </w:p>
    <w:p>
      <w:pPr>
        <w:pStyle w:val="159"/>
        <w:keepNext w:val="0"/>
        <w:keepLines w:val="0"/>
        <w:pageBreakBefore w:val="0"/>
        <w:kinsoku/>
        <w:wordWrap/>
        <w:overflowPunct/>
        <w:topLinePunct w:val="0"/>
        <w:bidi w:val="0"/>
        <w:adjustRightInd/>
        <w:snapToGrid/>
        <w:spacing w:line="36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Q值</w:t>
      </w:r>
      <w:r>
        <w:rPr>
          <w:rFonts w:hint="default" w:ascii="Times New Roman" w:hAnsi="Times New Roman" w:cs="Times New Roman"/>
          <w:color w:val="auto"/>
          <w:highlight w:val="none"/>
        </w:rPr>
        <w:t>估算见表</w:t>
      </w:r>
      <w:r>
        <w:rPr>
          <w:rFonts w:hint="eastAsia" w:ascii="Times New Roman" w:hAnsi="Times New Roman" w:cs="Times New Roman"/>
          <w:color w:val="auto"/>
          <w:highlight w:val="none"/>
          <w:lang w:val="en-US" w:eastAsia="zh-CN"/>
        </w:rPr>
        <w:t>2.4-</w:t>
      </w:r>
      <w:r>
        <w:rPr>
          <w:rFonts w:hint="eastAsia" w:cs="Times New Roman"/>
          <w:color w:val="auto"/>
          <w:highlight w:val="none"/>
          <w:lang w:val="en-US" w:eastAsia="zh-CN"/>
        </w:rPr>
        <w:t>6</w:t>
      </w:r>
      <w:r>
        <w:rPr>
          <w:rFonts w:hint="default" w:ascii="Times New Roman" w:hAnsi="Times New Roman" w:cs="Times New Roman"/>
          <w:color w:val="auto"/>
          <w:highlight w:val="none"/>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表</w:t>
      </w:r>
      <w:r>
        <w:rPr>
          <w:rFonts w:hint="eastAsia"/>
          <w:b/>
          <w:bCs/>
          <w:color w:val="auto"/>
          <w:sz w:val="21"/>
          <w:szCs w:val="21"/>
          <w:highlight w:val="none"/>
          <w:lang w:val="en-US" w:eastAsia="zh-CN"/>
        </w:rPr>
        <w:t>2</w:t>
      </w:r>
      <w:r>
        <w:rPr>
          <w:rFonts w:hint="default"/>
          <w:b/>
          <w:bCs/>
          <w:color w:val="auto"/>
          <w:sz w:val="21"/>
          <w:szCs w:val="21"/>
          <w:highlight w:val="none"/>
          <w:lang w:val="en-US" w:eastAsia="zh-CN"/>
        </w:rPr>
        <w:t>.4-</w:t>
      </w:r>
      <w:r>
        <w:rPr>
          <w:rFonts w:hint="eastAsia"/>
          <w:b/>
          <w:bCs/>
          <w:color w:val="auto"/>
          <w:sz w:val="21"/>
          <w:szCs w:val="21"/>
          <w:highlight w:val="none"/>
          <w:lang w:val="en-US" w:eastAsia="zh-CN"/>
        </w:rPr>
        <w:t>6</w:t>
      </w:r>
      <w:r>
        <w:rPr>
          <w:rFonts w:hint="default"/>
          <w:b/>
          <w:bCs/>
          <w:color w:val="auto"/>
          <w:sz w:val="21"/>
          <w:szCs w:val="21"/>
          <w:highlight w:val="none"/>
        </w:rPr>
        <w:t xml:space="preserve"> </w:t>
      </w:r>
      <w:r>
        <w:rPr>
          <w:rFonts w:hint="eastAsia"/>
          <w:b/>
          <w:bCs/>
          <w:color w:val="auto"/>
          <w:sz w:val="21"/>
          <w:szCs w:val="21"/>
          <w:highlight w:val="none"/>
          <w:lang w:val="en-US" w:eastAsia="zh-CN"/>
        </w:rPr>
        <w:t xml:space="preserve"> </w:t>
      </w:r>
      <w:r>
        <w:rPr>
          <w:rFonts w:hint="default"/>
          <w:b/>
          <w:bCs/>
          <w:color w:val="auto"/>
          <w:sz w:val="21"/>
          <w:szCs w:val="21"/>
          <w:highlight w:val="none"/>
        </w:rPr>
        <w:t>本项目主要风险源统计表</w:t>
      </w:r>
    </w:p>
    <w:tbl>
      <w:tblPr>
        <w:tblStyle w:val="4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1582"/>
        <w:gridCol w:w="1627"/>
        <w:gridCol w:w="1386"/>
        <w:gridCol w:w="1269"/>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贮存位置</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危险物</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最大储存量</w:t>
            </w:r>
            <w:r>
              <w:rPr>
                <w:rFonts w:hint="default" w:ascii="Times New Roman" w:hAnsi="Times New Roman" w:cs="Times New Roman"/>
                <w:color w:val="auto"/>
                <w:sz w:val="21"/>
                <w:szCs w:val="21"/>
                <w:lang w:eastAsia="zh-CN"/>
              </w:rPr>
              <w:t>（</w:t>
            </w:r>
            <w:r>
              <w:rPr>
                <w:rFonts w:hint="eastAsia" w:cs="Times New Roman"/>
                <w:color w:val="auto"/>
                <w:sz w:val="21"/>
                <w:szCs w:val="21"/>
                <w:lang w:eastAsia="zh-CN"/>
              </w:rPr>
              <w:t>纯物质量</w:t>
            </w:r>
            <w:r>
              <w:rPr>
                <w:rFonts w:hint="default"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eastAsia="zh-CN"/>
              </w:rPr>
              <w:t>）</w:t>
            </w:r>
          </w:p>
        </w:tc>
        <w:tc>
          <w:tcPr>
            <w:tcW w:w="1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临界量</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eastAsia="zh-CN"/>
              </w:rPr>
              <w:t>）</w:t>
            </w:r>
          </w:p>
        </w:tc>
        <w:tc>
          <w:tcPr>
            <w:tcW w:w="126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Σqn/Qn</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CAS号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储油箱</w:t>
            </w:r>
          </w:p>
        </w:tc>
        <w:tc>
          <w:tcPr>
            <w:tcW w:w="1582"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柴油</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snapToGrid/>
                <w:color w:val="auto"/>
                <w:spacing w:val="-2"/>
                <w:kern w:val="0"/>
                <w:sz w:val="21"/>
                <w:szCs w:val="21"/>
                <w:u w:val="none"/>
                <w:lang w:val="en-US" w:eastAsia="zh-CN" w:bidi="ar"/>
              </w:rPr>
              <w:t>0.000128</w:t>
            </w: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天然气管道（在线量）</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天然气（甲烷）</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0.011</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0.0011</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74-82-8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化学品库</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消毒液</w:t>
            </w:r>
            <w:r>
              <w:rPr>
                <w:rFonts w:hint="eastAsia" w:cs="Times New Roman"/>
                <w:b w:val="0"/>
                <w:bCs w:val="0"/>
                <w:color w:val="auto"/>
                <w:sz w:val="21"/>
                <w:szCs w:val="21"/>
                <w:highlight w:val="none"/>
                <w:lang w:val="en-US" w:eastAsia="zh-CN"/>
              </w:rPr>
              <w:t>（次氯酸钠含量6%）</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0.01</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7681-52-9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乙醚</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0.00178</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0.0002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乙腈</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0.0393</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0.0039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75-05-8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甲醇</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0.0396</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0.0040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67-56-1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二甲苯</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0.004</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0.0004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1330-20-7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甲酸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0.0244</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0.0024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64-18-6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丙酮</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0.002</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0.0002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67-64-1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硝酸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0.005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7.5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0.0007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7697-37-2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盐酸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0.005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7.5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0.0007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7647-01-0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福尔马林（甲醛）</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1</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0.02</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8" w:type="dxa"/>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Q值</w:t>
            </w:r>
          </w:p>
        </w:tc>
        <w:tc>
          <w:tcPr>
            <w:tcW w:w="126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0.0433</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bl>
    <w:p>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lang w:eastAsia="zh-CN"/>
        </w:rPr>
        <w:t>本项目</w:t>
      </w:r>
      <w:r>
        <w:rPr>
          <w:rFonts w:hint="default" w:ascii="Times New Roman" w:hAnsi="Times New Roman" w:cs="Times New Roman"/>
          <w:color w:val="auto"/>
          <w:sz w:val="24"/>
          <w:lang w:val="en-US" w:eastAsia="zh-CN"/>
        </w:rPr>
        <w:t>Q值小于1，</w:t>
      </w:r>
      <w:r>
        <w:rPr>
          <w:rFonts w:hint="default" w:ascii="Times New Roman" w:hAnsi="Times New Roman" w:cs="Times New Roman"/>
          <w:color w:val="auto"/>
          <w:sz w:val="24"/>
        </w:rPr>
        <w:t>根据《建设项目环境风险评价技术导则》(HJ169－20</w:t>
      </w:r>
      <w:r>
        <w:rPr>
          <w:rFonts w:hint="default" w:ascii="Times New Roman" w:hAnsi="Times New Roman" w:cs="Times New Roman"/>
          <w:color w:val="auto"/>
          <w:sz w:val="24"/>
          <w:lang w:val="en-US" w:eastAsia="zh-CN"/>
        </w:rPr>
        <w:t>18</w:t>
      </w:r>
      <w:r>
        <w:rPr>
          <w:rFonts w:hint="default" w:ascii="Times New Roman" w:hAnsi="Times New Roman" w:cs="Times New Roman"/>
          <w:color w:val="auto"/>
          <w:sz w:val="24"/>
        </w:rPr>
        <w:t>)中评价工作级别的判别依据和方法，确定本项目风险潜势为Ⅰ</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可简单分析。</w:t>
      </w:r>
    </w:p>
    <w:p>
      <w:pPr>
        <w:pStyle w:val="5"/>
        <w:spacing w:before="120"/>
        <w:ind w:left="480"/>
        <w:rPr>
          <w:rFonts w:hint="eastAsia"/>
          <w:color w:val="auto"/>
        </w:rPr>
      </w:pPr>
      <w:r>
        <w:rPr>
          <w:rFonts w:hint="eastAsia"/>
          <w:color w:val="auto"/>
        </w:rPr>
        <w:t>评价范围</w:t>
      </w:r>
    </w:p>
    <w:p>
      <w:pPr>
        <w:spacing w:line="480" w:lineRule="exact"/>
        <w:ind w:firstLine="480"/>
        <w:rPr>
          <w:rFonts w:hint="eastAsia"/>
          <w:color w:val="auto"/>
        </w:rPr>
      </w:pPr>
      <w:r>
        <w:rPr>
          <w:rFonts w:hint="eastAsia"/>
          <w:color w:val="auto"/>
        </w:rPr>
        <w:t>据建设项目污染物排放特点及当地气象条件、自然环境状况确定各环境要素评价范围具体如下：</w:t>
      </w:r>
    </w:p>
    <w:p>
      <w:pPr>
        <w:spacing w:line="480" w:lineRule="exact"/>
        <w:ind w:firstLine="480"/>
        <w:rPr>
          <w:color w:val="auto"/>
          <w:w w:val="100"/>
        </w:rPr>
      </w:pPr>
      <w:r>
        <w:rPr>
          <w:color w:val="auto"/>
          <w:w w:val="100"/>
        </w:rPr>
        <w:t>1、空气环境影响评价范围</w:t>
      </w:r>
    </w:p>
    <w:p>
      <w:pPr>
        <w:spacing w:line="480" w:lineRule="exact"/>
        <w:ind w:firstLine="480"/>
        <w:rPr>
          <w:color w:val="auto"/>
          <w:w w:val="100"/>
        </w:rPr>
      </w:pPr>
      <w:r>
        <w:rPr>
          <w:color w:val="auto"/>
          <w:w w:val="100"/>
        </w:rPr>
        <w:t>本项目</w:t>
      </w:r>
      <w:r>
        <w:rPr>
          <w:rFonts w:hint="eastAsia"/>
          <w:color w:val="auto"/>
          <w:w w:val="100"/>
        </w:rPr>
        <w:t>地块</w:t>
      </w:r>
      <w:r>
        <w:rPr>
          <w:color w:val="auto"/>
          <w:w w:val="100"/>
        </w:rPr>
        <w:t>地形简单，大气评价等级为</w:t>
      </w:r>
      <w:r>
        <w:rPr>
          <w:rFonts w:hint="eastAsia"/>
          <w:color w:val="auto"/>
          <w:w w:val="100"/>
          <w:lang w:eastAsia="zh-CN"/>
        </w:rPr>
        <w:t>三</w:t>
      </w:r>
      <w:r>
        <w:rPr>
          <w:color w:val="auto"/>
          <w:w w:val="100"/>
        </w:rPr>
        <w:t>级，</w:t>
      </w:r>
      <w:r>
        <w:rPr>
          <w:rFonts w:hint="eastAsia"/>
          <w:color w:val="auto"/>
          <w:w w:val="100"/>
        </w:rPr>
        <w:t>不需设置大气环境影响评价范围</w:t>
      </w:r>
      <w:r>
        <w:rPr>
          <w:color w:val="auto"/>
          <w:w w:val="100"/>
        </w:rPr>
        <w:t>。</w:t>
      </w:r>
    </w:p>
    <w:p>
      <w:pPr>
        <w:spacing w:line="480" w:lineRule="exact"/>
        <w:ind w:firstLine="480"/>
        <w:rPr>
          <w:color w:val="auto"/>
          <w:w w:val="100"/>
        </w:rPr>
      </w:pPr>
      <w:r>
        <w:rPr>
          <w:color w:val="auto"/>
          <w:w w:val="100"/>
        </w:rPr>
        <w:t>2、地表水环境影响评价范围</w:t>
      </w:r>
    </w:p>
    <w:p>
      <w:pPr>
        <w:spacing w:line="480" w:lineRule="exact"/>
        <w:ind w:firstLine="480"/>
        <w:rPr>
          <w:rFonts w:hint="eastAsia"/>
          <w:color w:val="auto"/>
          <w:w w:val="100"/>
        </w:rPr>
      </w:pPr>
      <w:r>
        <w:rPr>
          <w:rFonts w:hint="eastAsia"/>
          <w:color w:val="auto"/>
          <w:w w:val="100"/>
          <w:lang w:eastAsia="zh-CN"/>
        </w:rPr>
        <w:t>本项目地表水评价等级为</w:t>
      </w:r>
      <w:r>
        <w:rPr>
          <w:rFonts w:hint="eastAsia"/>
          <w:color w:val="auto"/>
          <w:w w:val="100"/>
        </w:rPr>
        <w:t>三级 B，其评价范围应符合以下要求：a) 应满足其依托污水处理设施环境可行性分析的要求</w:t>
      </w:r>
      <w:r>
        <w:rPr>
          <w:rFonts w:hint="eastAsia" w:cs="宋体"/>
          <w:color w:val="auto"/>
          <w:w w:val="100"/>
          <w:lang w:eastAsia="zh-CN"/>
        </w:rPr>
        <w:t>；</w:t>
      </w:r>
      <w:r>
        <w:rPr>
          <w:rFonts w:hint="eastAsia"/>
          <w:color w:val="auto"/>
          <w:w w:val="100"/>
        </w:rPr>
        <w:t>b) 涉及地表水环境风险的，应覆盖环境风险影响范围所及的水环境保护目标水域。</w:t>
      </w:r>
    </w:p>
    <w:p>
      <w:pPr>
        <w:spacing w:line="480" w:lineRule="exact"/>
        <w:ind w:firstLine="480"/>
        <w:rPr>
          <w:color w:val="auto"/>
          <w:w w:val="100"/>
        </w:rPr>
      </w:pPr>
      <w:r>
        <w:rPr>
          <w:color w:val="auto"/>
          <w:w w:val="100"/>
        </w:rPr>
        <w:t>3、声环境影响评价范围</w:t>
      </w:r>
    </w:p>
    <w:p>
      <w:pPr>
        <w:spacing w:line="480" w:lineRule="exact"/>
        <w:ind w:firstLine="480"/>
        <w:rPr>
          <w:color w:val="auto"/>
          <w:w w:val="100"/>
        </w:rPr>
      </w:pPr>
      <w:r>
        <w:rPr>
          <w:rFonts w:hint="eastAsia"/>
          <w:color w:val="auto"/>
          <w:w w:val="100"/>
        </w:rPr>
        <w:t>地块场</w:t>
      </w:r>
      <w:r>
        <w:rPr>
          <w:color w:val="auto"/>
          <w:w w:val="100"/>
        </w:rPr>
        <w:t>界</w:t>
      </w:r>
      <w:r>
        <w:rPr>
          <w:rFonts w:hint="eastAsia"/>
          <w:color w:val="auto"/>
          <w:w w:val="100"/>
        </w:rPr>
        <w:t>外</w:t>
      </w:r>
      <w:r>
        <w:rPr>
          <w:color w:val="auto"/>
          <w:w w:val="100"/>
        </w:rPr>
        <w:t>200m范围内</w:t>
      </w:r>
      <w:r>
        <w:rPr>
          <w:rFonts w:hint="eastAsia"/>
          <w:color w:val="auto"/>
          <w:w w:val="100"/>
        </w:rPr>
        <w:t>的敏感目标</w:t>
      </w:r>
      <w:r>
        <w:rPr>
          <w:color w:val="auto"/>
          <w:w w:val="100"/>
        </w:rPr>
        <w:t>。</w:t>
      </w:r>
    </w:p>
    <w:p>
      <w:pPr>
        <w:spacing w:line="480" w:lineRule="exact"/>
        <w:ind w:firstLine="480"/>
        <w:rPr>
          <w:color w:val="auto"/>
          <w:w w:val="100"/>
        </w:rPr>
      </w:pPr>
      <w:r>
        <w:rPr>
          <w:color w:val="auto"/>
          <w:w w:val="100"/>
        </w:rPr>
        <w:t>4、环境风险评价范围</w:t>
      </w:r>
    </w:p>
    <w:p>
      <w:pPr>
        <w:spacing w:line="480" w:lineRule="exact"/>
        <w:ind w:firstLine="480"/>
        <w:rPr>
          <w:color w:val="auto"/>
        </w:rPr>
      </w:pPr>
      <w:r>
        <w:rPr>
          <w:color w:val="auto"/>
          <w:w w:val="100"/>
        </w:rPr>
        <w:t>本项目</w:t>
      </w:r>
      <w:r>
        <w:rPr>
          <w:rFonts w:hint="eastAsia"/>
          <w:color w:val="auto"/>
          <w:w w:val="100"/>
          <w:lang w:eastAsia="zh-CN"/>
        </w:rPr>
        <w:t>环境</w:t>
      </w:r>
      <w:r>
        <w:rPr>
          <w:color w:val="auto"/>
          <w:w w:val="100"/>
        </w:rPr>
        <w:t>风险评价</w:t>
      </w:r>
      <w:r>
        <w:rPr>
          <w:rFonts w:hint="eastAsia" w:eastAsia="宋体"/>
          <w:color w:val="auto"/>
          <w:w w:val="100"/>
          <w:lang w:val="en-US" w:eastAsia="zh-CN"/>
        </w:rPr>
        <w:t>可简单分析</w:t>
      </w:r>
      <w:r>
        <w:rPr>
          <w:color w:val="auto"/>
          <w:w w:val="100"/>
        </w:rPr>
        <w:t>，本次风险评价范围为距离</w:t>
      </w:r>
      <w:r>
        <w:rPr>
          <w:rFonts w:hint="eastAsia"/>
          <w:color w:val="auto"/>
          <w:w w:val="100"/>
          <w:lang w:eastAsia="zh-CN"/>
        </w:rPr>
        <w:t>建设项目边界</w:t>
      </w:r>
      <w:r>
        <w:rPr>
          <w:color w:val="auto"/>
          <w:w w:val="100"/>
        </w:rPr>
        <w:t>不低于3km范</w:t>
      </w:r>
      <w:r>
        <w:rPr>
          <w:color w:val="auto"/>
        </w:rPr>
        <w:t>围。</w:t>
      </w:r>
    </w:p>
    <w:p>
      <w:pPr>
        <w:pStyle w:val="4"/>
        <w:rPr>
          <w:rFonts w:hint="eastAsia"/>
          <w:color w:val="auto"/>
        </w:rPr>
      </w:pPr>
      <w:bookmarkStart w:id="21" w:name="_Toc12821"/>
      <w:r>
        <w:rPr>
          <w:rFonts w:hint="eastAsia"/>
          <w:color w:val="auto"/>
        </w:rPr>
        <w:t>评价标准</w:t>
      </w:r>
      <w:bookmarkEnd w:id="21"/>
    </w:p>
    <w:p>
      <w:pPr>
        <w:pStyle w:val="5"/>
        <w:spacing w:before="120"/>
        <w:ind w:left="480"/>
        <w:rPr>
          <w:rFonts w:hint="eastAsia"/>
          <w:color w:val="auto"/>
        </w:rPr>
      </w:pPr>
      <w:r>
        <w:rPr>
          <w:rFonts w:hint="eastAsia"/>
          <w:color w:val="auto"/>
        </w:rPr>
        <w:t>环境质量标准</w:t>
      </w:r>
    </w:p>
    <w:p>
      <w:pPr>
        <w:spacing w:line="360" w:lineRule="auto"/>
        <w:ind w:firstLine="480"/>
        <w:rPr>
          <w:rFonts w:hint="eastAsia"/>
          <w:color w:val="auto"/>
        </w:rPr>
      </w:pPr>
      <w:r>
        <w:rPr>
          <w:color w:val="auto"/>
        </w:rPr>
        <w:t>（1）</w:t>
      </w:r>
      <w:r>
        <w:rPr>
          <w:rFonts w:hint="eastAsia"/>
          <w:color w:val="auto"/>
        </w:rPr>
        <w:t>环境空气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Ansi="宋体"/>
          <w:b/>
          <w:color w:val="auto"/>
          <w:sz w:val="21"/>
          <w:szCs w:val="21"/>
        </w:rPr>
      </w:pPr>
      <w:r>
        <w:rPr>
          <w:rFonts w:hint="eastAsia"/>
          <w:color w:val="auto"/>
        </w:rPr>
        <w:t>根据区域环境空气功能区划，区域</w:t>
      </w:r>
      <w:r>
        <w:rPr>
          <w:color w:val="auto"/>
        </w:rPr>
        <w:t>环境空气质量执行</w:t>
      </w:r>
      <w:r>
        <w:rPr>
          <w:rFonts w:hAnsi="宋体"/>
          <w:color w:val="auto"/>
        </w:rPr>
        <w:t>《环境空气质量标准》</w:t>
      </w:r>
      <w:r>
        <w:rPr>
          <w:rFonts w:hint="eastAsia"/>
          <w:color w:val="auto"/>
        </w:rPr>
        <w:t>（</w:t>
      </w:r>
      <w:r>
        <w:rPr>
          <w:color w:val="auto"/>
        </w:rPr>
        <w:t>GB3095-</w:t>
      </w:r>
      <w:r>
        <w:rPr>
          <w:rFonts w:hint="eastAsia"/>
          <w:color w:val="auto"/>
        </w:rPr>
        <w:t>2012）</w:t>
      </w:r>
      <w:r>
        <w:rPr>
          <w:rFonts w:hAnsi="宋体"/>
          <w:color w:val="auto"/>
        </w:rPr>
        <w:t>二级标准</w:t>
      </w:r>
      <w:r>
        <w:rPr>
          <w:rFonts w:hint="eastAsia" w:hAnsi="宋体"/>
          <w:color w:val="auto"/>
        </w:rPr>
        <w:t>，</w:t>
      </w:r>
      <w:r>
        <w:rPr>
          <w:rFonts w:hint="eastAsia"/>
          <w:color w:val="auto"/>
        </w:rPr>
        <w:t>硫化氢、氨</w:t>
      </w:r>
      <w:r>
        <w:rPr>
          <w:rFonts w:hint="eastAsia"/>
          <w:color w:val="auto"/>
          <w:lang w:val="en-US" w:eastAsia="zh-CN"/>
        </w:rPr>
        <w:t>执行《环境影响评价技术导则 大气环境》（HJ2.2-2018）附录D中</w:t>
      </w:r>
      <w:r>
        <w:rPr>
          <w:rFonts w:hint="eastAsia" w:cs="宋体"/>
          <w:color w:val="auto"/>
          <w:lang w:val="en-US" w:eastAsia="zh-CN"/>
        </w:rPr>
        <w:t>“</w:t>
      </w:r>
      <w:r>
        <w:rPr>
          <w:rFonts w:hint="eastAsia"/>
          <w:color w:val="auto"/>
          <w:lang w:val="en-US" w:eastAsia="zh-CN"/>
        </w:rPr>
        <w:t>其他污染物空气质量浓度参考限值</w:t>
      </w:r>
      <w:r>
        <w:rPr>
          <w:rFonts w:hint="eastAsia" w:cs="宋体"/>
          <w:color w:val="auto"/>
          <w:lang w:val="en-US" w:eastAsia="zh-CN"/>
        </w:rPr>
        <w:t>”。</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Ansi="宋体"/>
          <w:b/>
          <w:color w:val="auto"/>
          <w:sz w:val="21"/>
          <w:szCs w:val="21"/>
        </w:rPr>
      </w:pPr>
      <w:r>
        <w:rPr>
          <w:rFonts w:hAnsi="宋体"/>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rPr>
        <w:t>5</w:t>
      </w:r>
      <w:r>
        <w:rPr>
          <w:b/>
          <w:color w:val="auto"/>
          <w:sz w:val="21"/>
          <w:szCs w:val="21"/>
        </w:rPr>
        <w:t xml:space="preserve">-1  </w:t>
      </w:r>
      <w:r>
        <w:rPr>
          <w:rFonts w:hAnsi="宋体"/>
          <w:b/>
          <w:color w:val="auto"/>
          <w:sz w:val="21"/>
          <w:szCs w:val="21"/>
        </w:rPr>
        <w:t>环境空气质量标准</w:t>
      </w:r>
    </w:p>
    <w:tbl>
      <w:tblPr>
        <w:tblStyle w:val="48"/>
        <w:tblW w:w="4998"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15" w:type="dxa"/>
          <w:left w:w="15" w:type="dxa"/>
          <w:bottom w:w="15" w:type="dxa"/>
          <w:right w:w="15" w:type="dxa"/>
        </w:tblCellMar>
      </w:tblPr>
      <w:tblGrid>
        <w:gridCol w:w="1387"/>
        <w:gridCol w:w="1189"/>
        <w:gridCol w:w="1195"/>
        <w:gridCol w:w="1114"/>
        <w:gridCol w:w="1279"/>
        <w:gridCol w:w="216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vMerge w:val="restart"/>
            <w:tcBorders>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污染物</w:t>
            </w:r>
          </w:p>
        </w:tc>
        <w:tc>
          <w:tcPr>
            <w:tcW w:w="2865" w:type="pct"/>
            <w:gridSpan w:val="4"/>
            <w:tcBorders>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各项污染物的浓度限值（</w:t>
            </w:r>
            <w:r>
              <w:rPr>
                <w:rFonts w:hint="default" w:ascii="Times New Roman" w:hAnsi="Times New Roman" w:cs="Times New Roman"/>
                <w:i w:val="0"/>
                <w:color w:val="auto"/>
                <w:kern w:val="0"/>
                <w:sz w:val="21"/>
                <w:szCs w:val="21"/>
                <w:u w:val="none"/>
                <w:lang w:val="en-US" w:eastAsia="zh-CN" w:bidi="ar"/>
              </w:rPr>
              <w:t>μg</w:t>
            </w:r>
            <w:r>
              <w:rPr>
                <w:rFonts w:hint="default" w:ascii="Times New Roman" w:hAnsi="Times New Roman" w:eastAsia="宋体" w:cs="Times New Roman"/>
                <w:i w:val="0"/>
                <w:color w:val="auto"/>
                <w:kern w:val="0"/>
                <w:sz w:val="21"/>
                <w:szCs w:val="21"/>
                <w:u w:val="none"/>
                <w:lang w:val="en-US" w:eastAsia="zh-CN" w:bidi="ar"/>
              </w:rPr>
              <w:t>/m</w:t>
            </w:r>
            <w:r>
              <w:rPr>
                <w:rStyle w:val="134"/>
                <w:rFonts w:hint="default" w:ascii="Times New Roman" w:hAnsi="Times New Roman" w:eastAsia="宋体" w:cs="Times New Roman"/>
                <w:color w:val="auto"/>
                <w:vertAlign w:val="superscript"/>
                <w:lang w:val="en-US" w:eastAsia="zh-CN" w:bidi="ar"/>
              </w:rPr>
              <w:t>3</w:t>
            </w:r>
            <w:r>
              <w:rPr>
                <w:rStyle w:val="132"/>
                <w:rFonts w:hint="default" w:ascii="Times New Roman" w:hAnsi="Times New Roman" w:eastAsia="宋体" w:cs="Times New Roman"/>
                <w:color w:val="auto"/>
                <w:lang w:val="en-US" w:eastAsia="zh-CN" w:bidi="ar"/>
              </w:rPr>
              <w:t>）</w:t>
            </w:r>
          </w:p>
        </w:tc>
        <w:tc>
          <w:tcPr>
            <w:tcW w:w="1301" w:type="pct"/>
            <w:vMerge w:val="restart"/>
            <w:tcBorders>
              <w:left w:val="single" w:color="000000" w:sz="4" w:space="0"/>
              <w:bottom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依据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vMerge w:val="continue"/>
            <w:tcBorders>
              <w:top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default" w:ascii="Times New Roman" w:hAnsi="Times New Roman" w:eastAsia="宋体" w:cs="Times New Roman"/>
                <w:i w:val="0"/>
                <w:color w:val="auto"/>
                <w:kern w:val="0"/>
                <w:sz w:val="21"/>
                <w:szCs w:val="21"/>
                <w:u w:val="none"/>
                <w:lang w:val="en-US" w:eastAsia="zh-CN" w:bidi="ar"/>
              </w:rPr>
              <w:t>1</w:t>
            </w:r>
            <w:r>
              <w:rPr>
                <w:rFonts w:hint="eastAsia" w:ascii="Times New Roman" w:hAnsi="Times New Roman" w:eastAsia="宋体" w:cs="Times New Roman"/>
                <w:i w:val="0"/>
                <w:color w:val="auto"/>
                <w:kern w:val="0"/>
                <w:sz w:val="21"/>
                <w:szCs w:val="21"/>
                <w:u w:val="none"/>
                <w:lang w:val="en-US" w:eastAsia="zh-CN" w:bidi="ar"/>
              </w:rPr>
              <w:t>小时平均</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w:t>
            </w:r>
            <w:r>
              <w:rPr>
                <w:rFonts w:hint="eastAsia" w:ascii="Times New Roman" w:hAnsi="Times New Roman" w:eastAsia="宋体" w:cs="Times New Roman"/>
                <w:i w:val="0"/>
                <w:color w:val="auto"/>
                <w:kern w:val="0"/>
                <w:sz w:val="21"/>
                <w:szCs w:val="21"/>
                <w:u w:val="none"/>
                <w:lang w:val="en-US" w:eastAsia="zh-CN" w:bidi="ar"/>
              </w:rPr>
              <w:t>小时平均</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日平均</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年平均</w:t>
            </w:r>
          </w:p>
        </w:tc>
        <w:tc>
          <w:tcPr>
            <w:tcW w:w="1301" w:type="pct"/>
            <w:vMerge w:val="continue"/>
            <w:tcBorders>
              <w:top w:val="single" w:color="000000" w:sz="4" w:space="0"/>
              <w:left w:val="single" w:color="000000" w:sz="4" w:space="0"/>
              <w:bottom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45"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SO</w:t>
            </w:r>
            <w:r>
              <w:rPr>
                <w:rStyle w:val="120"/>
                <w:rFonts w:hint="default" w:ascii="Times New Roman" w:hAnsi="Times New Roman" w:eastAsia="宋体" w:cs="Times New Roman"/>
                <w:color w:val="auto"/>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c>
          <w:tcPr>
            <w:tcW w:w="1301" w:type="pct"/>
            <w:vMerge w:val="restart"/>
            <w:tcBorders>
              <w:top w:val="single" w:color="000000" w:sz="4" w:space="0"/>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sz w:val="21"/>
                <w:szCs w:val="21"/>
                <w:u w:val="none"/>
              </w:rPr>
              <w:t>《环境空气质量标准》</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sz w:val="21"/>
                <w:szCs w:val="21"/>
                <w:u w:val="none"/>
              </w:rPr>
              <w:t>（GB3095-2012）中二级标准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45"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NO</w:t>
            </w:r>
            <w:r>
              <w:rPr>
                <w:rStyle w:val="120"/>
                <w:rFonts w:hint="default" w:ascii="Times New Roman" w:hAnsi="Times New Roman" w:eastAsia="宋体" w:cs="Times New Roman"/>
                <w:color w:val="auto"/>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40</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45"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PM</w:t>
            </w:r>
            <w:r>
              <w:rPr>
                <w:rStyle w:val="120"/>
                <w:rFonts w:hint="default" w:ascii="Times New Roman" w:hAnsi="Times New Roman" w:eastAsia="宋体" w:cs="Times New Roman"/>
                <w:color w:val="auto"/>
                <w:lang w:val="en-US" w:eastAsia="zh-CN" w:bidi="ar"/>
              </w:rPr>
              <w:t>10</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70</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45"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PM</w:t>
            </w:r>
            <w:r>
              <w:rPr>
                <w:rStyle w:val="120"/>
                <w:rFonts w:hint="default" w:ascii="Times New Roman" w:hAnsi="Times New Roman" w:eastAsia="宋体" w:cs="Times New Roman"/>
                <w:color w:val="auto"/>
                <w:lang w:val="en-US" w:eastAsia="zh-CN" w:bidi="ar"/>
              </w:rPr>
              <w:t>2.5</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75</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35</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CO</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10000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4000</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default" w:ascii="Times New Roman" w:hAnsi="Times New Roman" w:eastAsia="宋体" w:cs="Times New Roman"/>
                <w:i w:val="0"/>
                <w:color w:val="auto"/>
                <w:kern w:val="0"/>
                <w:sz w:val="21"/>
                <w:szCs w:val="21"/>
                <w:u w:val="none"/>
                <w:lang w:val="en-US" w:eastAsia="zh-CN" w:bidi="ar"/>
              </w:rPr>
              <w:t>O</w:t>
            </w:r>
            <w:r>
              <w:rPr>
                <w:rFonts w:hint="default" w:ascii="Times New Roman" w:hAnsi="Times New Roman" w:cs="Times New Roman"/>
                <w:i w:val="0"/>
                <w:color w:val="auto"/>
                <w:kern w:val="0"/>
                <w:sz w:val="21"/>
                <w:szCs w:val="21"/>
                <w:u w:val="none"/>
                <w:vertAlign w:val="subscript"/>
                <w:lang w:val="en-US" w:eastAsia="zh-CN" w:bidi="ar"/>
              </w:rPr>
              <w:t>3</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160</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NO</w:t>
            </w:r>
            <w:r>
              <w:rPr>
                <w:rFonts w:hint="eastAsia" w:ascii="Times New Roman" w:hAnsi="Times New Roman" w:eastAsia="宋体" w:cs="Times New Roman"/>
                <w:i w:val="0"/>
                <w:color w:val="auto"/>
                <w:kern w:val="0"/>
                <w:sz w:val="21"/>
                <w:szCs w:val="21"/>
                <w:u w:val="none"/>
                <w:vertAlign w:val="subscript"/>
                <w:lang w:val="en-US" w:eastAsia="zh-CN" w:bidi="ar"/>
              </w:rPr>
              <w:t>x</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250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100</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50</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700" w:hRule="atLeast"/>
        </w:trPr>
        <w:tc>
          <w:tcPr>
            <w:tcW w:w="832" w:type="pct"/>
            <w:tcBorders>
              <w:top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1301" w:type="pct"/>
            <w:vMerge w:val="restart"/>
            <w:tcBorders>
              <w:top w:val="single" w:color="000000" w:sz="4" w:space="0"/>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《环境影响评价技术导则 大气环境》（HJ2.2-2018）附录D中</w:t>
            </w:r>
            <w:r>
              <w:rPr>
                <w:rFonts w:hint="eastAsia" w:cs="宋体"/>
                <w:color w:val="auto"/>
                <w:sz w:val="21"/>
                <w:szCs w:val="21"/>
                <w:lang w:val="en-US" w:eastAsia="zh-CN"/>
              </w:rPr>
              <w:t>“</w:t>
            </w:r>
            <w:r>
              <w:rPr>
                <w:rFonts w:hint="eastAsia"/>
                <w:color w:val="auto"/>
                <w:sz w:val="21"/>
                <w:szCs w:val="21"/>
                <w:lang w:val="en-US" w:eastAsia="zh-CN"/>
              </w:rPr>
              <w:t>其他污染物空气质量浓度参考限值</w:t>
            </w:r>
            <w:r>
              <w:rPr>
                <w:rFonts w:hint="eastAsia"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6" w:hRule="atLeast"/>
        </w:trPr>
        <w:tc>
          <w:tcPr>
            <w:tcW w:w="832" w:type="pct"/>
            <w:tcBorders>
              <w:top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olor w:val="auto"/>
                <w:sz w:val="21"/>
                <w:szCs w:val="21"/>
              </w:rPr>
              <w:t>NH</w:t>
            </w:r>
            <w:r>
              <w:rPr>
                <w:rFonts w:hint="eastAsia"/>
                <w:color w:val="auto"/>
                <w:sz w:val="21"/>
                <w:szCs w:val="21"/>
                <w:vertAlign w:val="subscript"/>
              </w:rPr>
              <w:t>3</w:t>
            </w:r>
          </w:p>
        </w:tc>
        <w:tc>
          <w:tcPr>
            <w:tcW w:w="713" w:type="pct"/>
            <w:tcBorders>
              <w:top w:val="single" w:color="000000"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200</w:t>
            </w:r>
          </w:p>
        </w:tc>
        <w:tc>
          <w:tcPr>
            <w:tcW w:w="717" w:type="pct"/>
            <w:tcBorders>
              <w:top w:val="single" w:color="000000"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668" w:type="pct"/>
            <w:tcBorders>
              <w:top w:val="single" w:color="000000"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66" w:type="pct"/>
            <w:tcBorders>
              <w:top w:val="single" w:color="000000"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1301" w:type="pct"/>
            <w:vMerge w:val="continue"/>
            <w:tcBorders>
              <w:lef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bl>
    <w:p>
      <w:pPr>
        <w:spacing w:line="360" w:lineRule="auto"/>
        <w:ind w:firstLine="480"/>
        <w:rPr>
          <w:rFonts w:hint="eastAsia"/>
          <w:color w:val="auto"/>
        </w:rPr>
      </w:pPr>
      <w:r>
        <w:rPr>
          <w:rFonts w:hint="eastAsia"/>
          <w:color w:val="auto"/>
        </w:rPr>
        <w:t>（2）水环境</w:t>
      </w:r>
    </w:p>
    <w:p>
      <w:pPr>
        <w:spacing w:line="360" w:lineRule="auto"/>
        <w:ind w:firstLine="480"/>
        <w:rPr>
          <w:rFonts w:hint="eastAsia"/>
          <w:color w:val="auto"/>
        </w:rPr>
      </w:pPr>
      <w:r>
        <w:rPr>
          <w:rFonts w:hint="eastAsia"/>
          <w:color w:val="auto"/>
        </w:rPr>
        <w:t>根据区域地表水功能区划，</w:t>
      </w:r>
      <w:r>
        <w:rPr>
          <w:color w:val="auto"/>
        </w:rPr>
        <w:t>地表水</w:t>
      </w:r>
      <w:r>
        <w:rPr>
          <w:rFonts w:hint="eastAsia"/>
          <w:color w:val="auto"/>
          <w:lang w:val="en-US" w:eastAsia="zh-CN"/>
        </w:rPr>
        <w:t>十五里河</w:t>
      </w:r>
      <w:r>
        <w:rPr>
          <w:color w:val="auto"/>
        </w:rPr>
        <w:t>执行《地表水环境质量标准》（GB3838-2002）</w:t>
      </w:r>
      <w:r>
        <w:rPr>
          <w:rFonts w:hint="default" w:ascii="Times New Roman" w:hAnsi="Times New Roman" w:cs="Times New Roman"/>
          <w:color w:val="auto"/>
        </w:rPr>
        <w:t>Ⅳ类标准</w:t>
      </w:r>
      <w:r>
        <w:rPr>
          <w:rFonts w:hint="eastAsia"/>
          <w:color w:val="auto"/>
        </w:rPr>
        <w:t>。</w:t>
      </w:r>
    </w:p>
    <w:p>
      <w:pPr>
        <w:spacing w:line="240" w:lineRule="auto"/>
        <w:ind w:firstLine="422"/>
        <w:jc w:val="center"/>
        <w:rPr>
          <w:b/>
          <w:color w:val="auto"/>
          <w:sz w:val="21"/>
          <w:szCs w:val="21"/>
        </w:rPr>
      </w:pPr>
      <w:r>
        <w:rPr>
          <w:rFonts w:hAnsi="宋体"/>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rPr>
        <w:t>5</w:t>
      </w:r>
      <w:r>
        <w:rPr>
          <w:b/>
          <w:color w:val="auto"/>
          <w:sz w:val="21"/>
          <w:szCs w:val="21"/>
        </w:rPr>
        <w:t xml:space="preserve">-2  </w:t>
      </w:r>
      <w:r>
        <w:rPr>
          <w:rFonts w:hAnsi="宋体"/>
          <w:b/>
          <w:color w:val="auto"/>
          <w:sz w:val="21"/>
          <w:szCs w:val="21"/>
        </w:rPr>
        <w:t>地表水环境质量标准</w:t>
      </w:r>
    </w:p>
    <w:tbl>
      <w:tblPr>
        <w:tblStyle w:val="4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3475"/>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项目</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水环境质量标准值</w:t>
            </w:r>
            <w:r>
              <w:rPr>
                <w:rFonts w:hint="eastAsia" w:hAnsi="宋体" w:eastAsia="宋体"/>
                <w:color w:val="auto"/>
                <w:sz w:val="21"/>
                <w:szCs w:val="21"/>
              </w:rPr>
              <w:t>Ⅳ</w:t>
            </w:r>
            <w:r>
              <w:rPr>
                <w:rFonts w:hAnsi="宋体" w:eastAsia="宋体"/>
                <w:color w:val="auto"/>
                <w:sz w:val="21"/>
                <w:szCs w:val="21"/>
              </w:rPr>
              <w:t>类</w:t>
            </w:r>
          </w:p>
        </w:tc>
        <w:tc>
          <w:tcPr>
            <w:tcW w:w="1709" w:type="pct"/>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r>
              <w:rPr>
                <w:rFonts w:hAnsi="宋体" w:eastAsia="宋体"/>
                <w:color w:val="auto"/>
                <w:kern w:val="2"/>
                <w:sz w:val="21"/>
                <w:szCs w:val="21"/>
                <w:lang w:val="en-US" w:eastAsia="zh-CN" w:bidi="ar-S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hAnsi="宋体" w:eastAsia="宋体"/>
                <w:color w:val="auto"/>
                <w:sz w:val="21"/>
                <w:szCs w:val="21"/>
                <w:lang w:eastAsia="zh-CN"/>
              </w:rPr>
            </w:pPr>
            <w:r>
              <w:rPr>
                <w:rFonts w:hAnsi="宋体" w:eastAsia="宋体"/>
                <w:color w:val="auto"/>
                <w:sz w:val="21"/>
                <w:szCs w:val="21"/>
              </w:rPr>
              <w:t>pH</w:t>
            </w:r>
            <w:r>
              <w:rPr>
                <w:rFonts w:hint="eastAsia" w:hAnsi="宋体" w:eastAsia="宋体"/>
                <w:color w:val="auto"/>
                <w:sz w:val="21"/>
                <w:szCs w:val="21"/>
                <w:lang w:eastAsia="zh-CN"/>
              </w:rPr>
              <w:t>（</w:t>
            </w:r>
            <w:r>
              <w:rPr>
                <w:rFonts w:hint="eastAsia" w:hAnsi="宋体" w:eastAsia="宋体"/>
                <w:color w:val="auto"/>
                <w:sz w:val="21"/>
                <w:szCs w:val="21"/>
                <w:lang w:val="en-US" w:eastAsia="zh-CN"/>
              </w:rPr>
              <w:t>无量纲</w:t>
            </w:r>
            <w:r>
              <w:rPr>
                <w:rFonts w:hint="eastAsia" w:hAnsi="宋体" w:eastAsia="宋体"/>
                <w:color w:val="auto"/>
                <w:sz w:val="21"/>
                <w:szCs w:val="21"/>
                <w:lang w:eastAsia="zh-CN"/>
              </w:rPr>
              <w:t>）</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6～9</w:t>
            </w:r>
          </w:p>
        </w:tc>
        <w:tc>
          <w:tcPr>
            <w:tcW w:w="1709" w:type="pct"/>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eastAsia="宋体"/>
                <w:color w:val="auto"/>
                <w:sz w:val="21"/>
                <w:szCs w:val="21"/>
              </w:rPr>
            </w:pPr>
            <w:r>
              <w:rPr>
                <w:rFonts w:hAnsi="宋体" w:eastAsia="宋体"/>
                <w:color w:val="auto"/>
                <w:sz w:val="21"/>
                <w:szCs w:val="21"/>
              </w:rPr>
              <w:t>《地表水环境质量标准》（</w:t>
            </w:r>
            <w:r>
              <w:rPr>
                <w:rFonts w:eastAsia="宋体"/>
                <w:color w:val="auto"/>
                <w:sz w:val="21"/>
                <w:szCs w:val="21"/>
              </w:rPr>
              <w:t>GB3838</w:t>
            </w:r>
            <w:r>
              <w:rPr>
                <w:rFonts w:hint="eastAsia" w:eastAsia="宋体"/>
                <w:color w:val="auto"/>
                <w:sz w:val="21"/>
                <w:szCs w:val="21"/>
              </w:rPr>
              <w:t>-</w:t>
            </w:r>
            <w:r>
              <w:rPr>
                <w:rFonts w:eastAsia="宋体"/>
                <w:color w:val="auto"/>
                <w:sz w:val="21"/>
                <w:szCs w:val="21"/>
              </w:rPr>
              <w:t>2002</w:t>
            </w:r>
            <w:r>
              <w:rPr>
                <w:rFonts w:hAnsi="宋体" w:eastAsia="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COD</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w:t>
            </w:r>
            <w:r>
              <w:rPr>
                <w:rFonts w:hAnsi="宋体" w:eastAsia="宋体"/>
                <w:color w:val="auto"/>
                <w:sz w:val="21"/>
                <w:szCs w:val="21"/>
              </w:rPr>
              <w:t>30</w:t>
            </w:r>
            <w:r>
              <w:rPr>
                <w:color w:val="auto"/>
                <w:sz w:val="21"/>
                <w:szCs w:val="21"/>
              </w:rPr>
              <w:t xml:space="preserve"> mg/</w:t>
            </w:r>
            <w:r>
              <w:rPr>
                <w:rFonts w:hint="eastAsia"/>
                <w:color w:val="auto"/>
                <w:sz w:val="21"/>
                <w:szCs w:val="21"/>
              </w:rPr>
              <w:t>L</w:t>
            </w:r>
          </w:p>
        </w:tc>
        <w:tc>
          <w:tcPr>
            <w:tcW w:w="1709" w:type="pct"/>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BOD</w:t>
            </w:r>
            <w:r>
              <w:rPr>
                <w:rFonts w:hAnsi="宋体" w:eastAsia="宋体"/>
                <w:color w:val="auto"/>
                <w:sz w:val="21"/>
                <w:szCs w:val="21"/>
                <w:vertAlign w:val="subscript"/>
              </w:rPr>
              <w:t>5</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w:t>
            </w:r>
            <w:r>
              <w:rPr>
                <w:rFonts w:hAnsi="宋体" w:eastAsia="宋体"/>
                <w:color w:val="auto"/>
                <w:sz w:val="21"/>
                <w:szCs w:val="21"/>
              </w:rPr>
              <w:t>6</w:t>
            </w:r>
            <w:r>
              <w:rPr>
                <w:color w:val="auto"/>
                <w:sz w:val="21"/>
                <w:szCs w:val="21"/>
              </w:rPr>
              <w:t xml:space="preserve"> mg/</w:t>
            </w:r>
            <w:r>
              <w:rPr>
                <w:rFonts w:hint="eastAsia"/>
                <w:color w:val="auto"/>
                <w:sz w:val="21"/>
                <w:szCs w:val="21"/>
              </w:rPr>
              <w:t>L</w:t>
            </w:r>
          </w:p>
        </w:tc>
        <w:tc>
          <w:tcPr>
            <w:tcW w:w="1709" w:type="pct"/>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氨氮</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w:t>
            </w:r>
            <w:r>
              <w:rPr>
                <w:rFonts w:hAnsi="宋体" w:eastAsia="宋体"/>
                <w:color w:val="auto"/>
                <w:sz w:val="21"/>
                <w:szCs w:val="21"/>
              </w:rPr>
              <w:t>1.5</w:t>
            </w:r>
            <w:r>
              <w:rPr>
                <w:color w:val="auto"/>
                <w:sz w:val="21"/>
                <w:szCs w:val="21"/>
              </w:rPr>
              <w:t xml:space="preserve"> mg/</w:t>
            </w:r>
            <w:r>
              <w:rPr>
                <w:rFonts w:hint="eastAsia"/>
                <w:color w:val="auto"/>
                <w:sz w:val="21"/>
                <w:szCs w:val="21"/>
              </w:rPr>
              <w:t>L</w:t>
            </w:r>
          </w:p>
        </w:tc>
        <w:tc>
          <w:tcPr>
            <w:tcW w:w="1709" w:type="pct"/>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粪大肠菌群</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≤20000个/L</w:t>
            </w:r>
          </w:p>
        </w:tc>
        <w:tc>
          <w:tcPr>
            <w:tcW w:w="1709" w:type="pct"/>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Ansi="宋体" w:eastAsia="宋体"/>
                <w:color w:val="auto"/>
                <w:sz w:val="21"/>
                <w:szCs w:val="21"/>
              </w:rPr>
              <w:t>总磷（以P计）</w:t>
            </w:r>
          </w:p>
        </w:tc>
        <w:tc>
          <w:tcPr>
            <w:tcW w:w="203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jc w:val="center"/>
              <w:rPr>
                <w:rFonts w:hAnsi="宋体" w:eastAsia="宋体"/>
                <w:color w:val="auto"/>
                <w:sz w:val="21"/>
                <w:szCs w:val="21"/>
              </w:rPr>
            </w:pPr>
            <w:r>
              <w:rPr>
                <w:rFonts w:hint="eastAsia" w:hAnsi="宋体" w:eastAsia="宋体"/>
                <w:color w:val="auto"/>
                <w:sz w:val="21"/>
                <w:szCs w:val="21"/>
              </w:rPr>
              <w:t>≤</w:t>
            </w:r>
            <w:r>
              <w:rPr>
                <w:rFonts w:hAnsi="宋体" w:eastAsia="宋体"/>
                <w:color w:val="auto"/>
                <w:sz w:val="21"/>
                <w:szCs w:val="21"/>
              </w:rPr>
              <w:t>0.3</w:t>
            </w:r>
            <w:r>
              <w:rPr>
                <w:color w:val="auto"/>
                <w:sz w:val="21"/>
                <w:szCs w:val="21"/>
              </w:rPr>
              <w:t xml:space="preserve"> mg/</w:t>
            </w:r>
            <w:r>
              <w:rPr>
                <w:rFonts w:hint="eastAsia"/>
                <w:color w:val="auto"/>
                <w:sz w:val="21"/>
                <w:szCs w:val="21"/>
              </w:rPr>
              <w:t>L</w:t>
            </w:r>
          </w:p>
        </w:tc>
        <w:tc>
          <w:tcPr>
            <w:tcW w:w="1709" w:type="pct"/>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line="240" w:lineRule="auto"/>
              <w:ind w:firstLine="0"/>
              <w:jc w:val="center"/>
              <w:rPr>
                <w:rFonts w:hint="eastAsia"/>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 w:val="24"/>
          <w:szCs w:val="24"/>
        </w:rPr>
      </w:pPr>
      <w:r>
        <w:rPr>
          <w:rFonts w:hint="eastAsia"/>
          <w:color w:val="auto"/>
          <w:sz w:val="24"/>
          <w:szCs w:val="24"/>
        </w:rPr>
        <w:t>（3</w:t>
      </w:r>
      <w:r>
        <w:rPr>
          <w:color w:val="auto"/>
          <w:sz w:val="24"/>
          <w:szCs w:val="24"/>
        </w:rPr>
        <w:t>）</w:t>
      </w:r>
      <w:r>
        <w:rPr>
          <w:rFonts w:hint="eastAsia"/>
          <w:color w:val="auto"/>
          <w:sz w:val="24"/>
          <w:szCs w:val="24"/>
        </w:rPr>
        <w:t>声环境</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hAnsi="宋体" w:eastAsia="宋体"/>
          <w:b/>
          <w:color w:val="auto"/>
          <w:sz w:val="24"/>
          <w:szCs w:val="24"/>
          <w:lang w:eastAsia="zh-CN"/>
        </w:rPr>
      </w:pPr>
      <w:r>
        <w:rPr>
          <w:rFonts w:hint="eastAsia" w:cs="Times New Roman"/>
          <w:color w:val="auto"/>
          <w:lang w:val="en-US" w:eastAsia="zh-CN"/>
        </w:rPr>
        <w:t>根据</w:t>
      </w:r>
      <w:r>
        <w:rPr>
          <w:color w:val="auto"/>
          <w:sz w:val="24"/>
          <w:szCs w:val="24"/>
        </w:rPr>
        <w:t>《</w:t>
      </w:r>
      <w:r>
        <w:rPr>
          <w:rFonts w:hint="eastAsia"/>
          <w:color w:val="auto"/>
          <w:sz w:val="24"/>
          <w:szCs w:val="24"/>
          <w:lang w:eastAsia="zh-CN"/>
        </w:rPr>
        <w:t>合肥市区声环境功能区（</w:t>
      </w:r>
      <w:r>
        <w:rPr>
          <w:rFonts w:hint="eastAsia"/>
          <w:color w:val="auto"/>
          <w:sz w:val="24"/>
          <w:szCs w:val="24"/>
          <w:lang w:val="en-US" w:eastAsia="zh-CN"/>
        </w:rPr>
        <w:t>2020修订</w:t>
      </w:r>
      <w:r>
        <w:rPr>
          <w:rFonts w:hint="eastAsia"/>
          <w:color w:val="auto"/>
          <w:sz w:val="24"/>
          <w:szCs w:val="24"/>
          <w:lang w:eastAsia="zh-CN"/>
        </w:rPr>
        <w:t>）划分方案</w:t>
      </w:r>
      <w:r>
        <w:rPr>
          <w:color w:val="auto"/>
          <w:sz w:val="24"/>
          <w:szCs w:val="24"/>
        </w:rPr>
        <w:t>》</w:t>
      </w:r>
      <w:r>
        <w:rPr>
          <w:rFonts w:hint="eastAsia" w:cs="Times New Roman"/>
          <w:color w:val="auto"/>
          <w:lang w:val="en-US" w:eastAsia="zh-CN"/>
        </w:rPr>
        <w:t>，拟建项目所在区域属于2 类声环境功能区，区域</w:t>
      </w:r>
      <w:r>
        <w:rPr>
          <w:rFonts w:hint="eastAsia"/>
          <w:color w:val="auto"/>
          <w:sz w:val="24"/>
          <w:szCs w:val="24"/>
          <w:lang w:val="en-US" w:eastAsia="zh-CN"/>
        </w:rPr>
        <w:t>声环境质量</w:t>
      </w:r>
      <w:r>
        <w:rPr>
          <w:color w:val="auto"/>
          <w:sz w:val="24"/>
          <w:szCs w:val="24"/>
        </w:rPr>
        <w:t>执行《声环境质量标准》</w:t>
      </w:r>
      <w:r>
        <w:rPr>
          <w:rFonts w:hint="eastAsia"/>
          <w:color w:val="auto"/>
          <w:sz w:val="24"/>
          <w:szCs w:val="24"/>
        </w:rPr>
        <w:t>（</w:t>
      </w:r>
      <w:r>
        <w:rPr>
          <w:color w:val="auto"/>
          <w:sz w:val="24"/>
          <w:szCs w:val="24"/>
        </w:rPr>
        <w:t>GB3096-2008</w:t>
      </w:r>
      <w:r>
        <w:rPr>
          <w:rFonts w:hint="eastAsia"/>
          <w:color w:val="auto"/>
          <w:sz w:val="24"/>
          <w:szCs w:val="24"/>
        </w:rPr>
        <w:t>）</w:t>
      </w:r>
      <w:r>
        <w:rPr>
          <w:color w:val="auto"/>
          <w:sz w:val="24"/>
          <w:szCs w:val="24"/>
        </w:rPr>
        <w:t>中的</w:t>
      </w:r>
      <w:r>
        <w:rPr>
          <w:rFonts w:hint="eastAsia"/>
          <w:color w:val="auto"/>
          <w:sz w:val="24"/>
          <w:szCs w:val="24"/>
        </w:rPr>
        <w:t>2</w:t>
      </w:r>
      <w:r>
        <w:rPr>
          <w:color w:val="auto"/>
          <w:sz w:val="24"/>
          <w:szCs w:val="24"/>
        </w:rPr>
        <w:t>类标准</w:t>
      </w:r>
      <w:r>
        <w:rPr>
          <w:rFonts w:hint="eastAsia"/>
          <w:color w:val="auto"/>
          <w:sz w:val="24"/>
          <w:szCs w:val="24"/>
        </w:rPr>
        <w:t>。</w:t>
      </w:r>
      <w:r>
        <w:rPr>
          <w:rFonts w:hint="eastAsia"/>
          <w:color w:val="auto"/>
          <w:sz w:val="24"/>
          <w:szCs w:val="24"/>
          <w:lang w:eastAsia="zh-CN"/>
        </w:rPr>
        <w:t>项目西侧为安徽路，为城市交通干路，交通干线边界外</w:t>
      </w:r>
      <w:r>
        <w:rPr>
          <w:rFonts w:hint="eastAsia"/>
          <w:color w:val="auto"/>
          <w:sz w:val="24"/>
          <w:szCs w:val="24"/>
          <w:lang w:val="en-US" w:eastAsia="zh-CN"/>
        </w:rPr>
        <w:t>35m范围内执行4a类标准。项目西侧边界执行</w:t>
      </w:r>
      <w:r>
        <w:rPr>
          <w:color w:val="auto"/>
          <w:sz w:val="24"/>
          <w:szCs w:val="24"/>
        </w:rPr>
        <w:t>《声环境质量标准》</w:t>
      </w:r>
      <w:r>
        <w:rPr>
          <w:rFonts w:hint="eastAsia"/>
          <w:color w:val="auto"/>
          <w:sz w:val="24"/>
          <w:szCs w:val="24"/>
        </w:rPr>
        <w:t>（</w:t>
      </w:r>
      <w:r>
        <w:rPr>
          <w:color w:val="auto"/>
          <w:sz w:val="24"/>
          <w:szCs w:val="24"/>
        </w:rPr>
        <w:t>GB3096-2008</w:t>
      </w:r>
      <w:r>
        <w:rPr>
          <w:rFonts w:hint="eastAsia"/>
          <w:color w:val="auto"/>
          <w:sz w:val="24"/>
          <w:szCs w:val="24"/>
        </w:rPr>
        <w:t>）</w:t>
      </w:r>
      <w:r>
        <w:rPr>
          <w:color w:val="auto"/>
          <w:sz w:val="24"/>
          <w:szCs w:val="24"/>
        </w:rPr>
        <w:t>中的</w:t>
      </w:r>
      <w:r>
        <w:rPr>
          <w:rFonts w:hint="eastAsia"/>
          <w:color w:val="auto"/>
          <w:sz w:val="24"/>
          <w:szCs w:val="24"/>
          <w:lang w:val="en-US" w:eastAsia="zh-CN"/>
        </w:rPr>
        <w:t>4a</w:t>
      </w:r>
      <w:r>
        <w:rPr>
          <w:color w:val="auto"/>
          <w:sz w:val="24"/>
          <w:szCs w:val="24"/>
        </w:rPr>
        <w:t>类标准</w:t>
      </w:r>
      <w:r>
        <w:rPr>
          <w:rFonts w:hint="eastAsia"/>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sz w:val="21"/>
          <w:szCs w:val="21"/>
        </w:rPr>
      </w:pPr>
      <w:r>
        <w:rPr>
          <w:rFonts w:hAnsi="宋体"/>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rPr>
        <w:t>5</w:t>
      </w:r>
      <w:r>
        <w:rPr>
          <w:b/>
          <w:color w:val="auto"/>
          <w:sz w:val="21"/>
          <w:szCs w:val="21"/>
        </w:rPr>
        <w:t xml:space="preserve">-3  </w:t>
      </w:r>
      <w:r>
        <w:rPr>
          <w:rFonts w:hAnsi="宋体"/>
          <w:b/>
          <w:color w:val="auto"/>
          <w:sz w:val="21"/>
          <w:szCs w:val="21"/>
        </w:rPr>
        <w:t>声环境质量标准</w:t>
      </w:r>
      <w:r>
        <w:rPr>
          <w:b/>
          <w:color w:val="auto"/>
          <w:sz w:val="21"/>
          <w:szCs w:val="21"/>
        </w:rPr>
        <w:t xml:space="preserve">  </w:t>
      </w:r>
      <w:r>
        <w:rPr>
          <w:rFonts w:hAnsi="宋体"/>
          <w:b/>
          <w:color w:val="auto"/>
          <w:sz w:val="21"/>
          <w:szCs w:val="21"/>
        </w:rPr>
        <w:t>单位：</w:t>
      </w:r>
      <w:r>
        <w:rPr>
          <w:b/>
          <w:color w:val="auto"/>
          <w:sz w:val="21"/>
          <w:szCs w:val="21"/>
        </w:rPr>
        <w:t>dB</w:t>
      </w:r>
      <w:r>
        <w:rPr>
          <w:rFonts w:hAnsi="宋体"/>
          <w:b/>
          <w:color w:val="auto"/>
          <w:sz w:val="21"/>
          <w:szCs w:val="21"/>
        </w:rPr>
        <w:t>（</w:t>
      </w:r>
      <w:r>
        <w:rPr>
          <w:b/>
          <w:color w:val="auto"/>
          <w:sz w:val="21"/>
          <w:szCs w:val="21"/>
        </w:rPr>
        <w:t>A</w:t>
      </w:r>
      <w:r>
        <w:rPr>
          <w:rFonts w:hAnsi="宋体"/>
          <w:b/>
          <w:color w:val="auto"/>
          <w:sz w:val="21"/>
          <w:szCs w:val="21"/>
        </w:rPr>
        <w:t>）</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5"/>
        <w:gridCol w:w="3397"/>
        <w:gridCol w:w="3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905" w:type="dxa"/>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r>
              <w:rPr>
                <w:rFonts w:hAnsi="宋体" w:eastAsia="宋体"/>
                <w:color w:val="auto"/>
                <w:szCs w:val="21"/>
              </w:rPr>
              <w:t>标准类别</w:t>
            </w:r>
          </w:p>
        </w:tc>
        <w:tc>
          <w:tcPr>
            <w:tcW w:w="6617" w:type="dxa"/>
            <w:gridSpan w:val="2"/>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r>
              <w:rPr>
                <w:rFonts w:hAnsi="宋体" w:eastAsia="宋体"/>
                <w:color w:val="auto"/>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905" w:type="dxa"/>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p>
        </w:tc>
        <w:tc>
          <w:tcPr>
            <w:tcW w:w="339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r>
              <w:rPr>
                <w:rFonts w:hAnsi="宋体" w:eastAsia="宋体"/>
                <w:color w:val="auto"/>
                <w:szCs w:val="21"/>
              </w:rPr>
              <w:t>昼间</w:t>
            </w:r>
          </w:p>
        </w:tc>
        <w:tc>
          <w:tcPr>
            <w:tcW w:w="322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r>
              <w:rPr>
                <w:rFonts w:hAnsi="宋体" w:eastAsia="宋体"/>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05"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zCs w:val="21"/>
              </w:rPr>
            </w:pPr>
            <w:r>
              <w:rPr>
                <w:rFonts w:hint="eastAsia" w:hAnsi="宋体" w:eastAsia="宋体"/>
                <w:color w:val="auto"/>
                <w:szCs w:val="21"/>
              </w:rPr>
              <w:t>2</w:t>
            </w:r>
            <w:r>
              <w:rPr>
                <w:rFonts w:hAnsi="宋体" w:eastAsia="宋体"/>
                <w:color w:val="auto"/>
                <w:szCs w:val="21"/>
              </w:rPr>
              <w:t>类</w:t>
            </w:r>
          </w:p>
        </w:tc>
        <w:tc>
          <w:tcPr>
            <w:tcW w:w="339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Cs w:val="21"/>
              </w:rPr>
            </w:pPr>
            <w:r>
              <w:rPr>
                <w:rFonts w:hint="eastAsia" w:eastAsia="宋体"/>
                <w:color w:val="auto"/>
                <w:szCs w:val="21"/>
              </w:rPr>
              <w:t>60</w:t>
            </w:r>
          </w:p>
        </w:tc>
        <w:tc>
          <w:tcPr>
            <w:tcW w:w="322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Cs w:val="21"/>
              </w:rPr>
            </w:pPr>
            <w:r>
              <w:rPr>
                <w:rFonts w:hint="eastAsia" w:eastAsia="宋体"/>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05"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hAnsi="宋体" w:eastAsia="宋体"/>
                <w:color w:val="auto"/>
                <w:szCs w:val="21"/>
                <w:lang w:val="en-US" w:eastAsia="zh-CN"/>
              </w:rPr>
            </w:pPr>
            <w:r>
              <w:rPr>
                <w:rFonts w:hint="eastAsia" w:hAnsi="宋体" w:eastAsia="宋体"/>
                <w:color w:val="auto"/>
                <w:szCs w:val="21"/>
                <w:lang w:val="en-US" w:eastAsia="zh-CN"/>
              </w:rPr>
              <w:t>4a</w:t>
            </w:r>
          </w:p>
        </w:tc>
        <w:tc>
          <w:tcPr>
            <w:tcW w:w="339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Cs w:val="21"/>
                <w:lang w:val="en-US" w:eastAsia="zh-CN"/>
              </w:rPr>
            </w:pPr>
            <w:r>
              <w:rPr>
                <w:rFonts w:hint="eastAsia" w:eastAsia="宋体"/>
                <w:color w:val="auto"/>
                <w:szCs w:val="21"/>
                <w:lang w:val="en-US" w:eastAsia="zh-CN"/>
              </w:rPr>
              <w:t>70</w:t>
            </w:r>
          </w:p>
        </w:tc>
        <w:tc>
          <w:tcPr>
            <w:tcW w:w="322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Cs w:val="21"/>
                <w:lang w:val="en-US" w:eastAsia="zh-CN"/>
              </w:rPr>
            </w:pPr>
            <w:r>
              <w:rPr>
                <w:rFonts w:hint="eastAsia" w:eastAsia="宋体"/>
                <w:color w:val="auto"/>
                <w:szCs w:val="21"/>
                <w:lang w:val="en-US" w:eastAsia="zh-CN"/>
              </w:rPr>
              <w:t>55</w:t>
            </w:r>
          </w:p>
        </w:tc>
      </w:tr>
    </w:tbl>
    <w:p>
      <w:pPr>
        <w:bidi w:val="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地下水环境</w:t>
      </w:r>
    </w:p>
    <w:p>
      <w:pPr>
        <w:bidi w:val="0"/>
        <w:rPr>
          <w:rFonts w:hint="default" w:ascii="Times New Roman" w:hAnsi="Times New Roman" w:eastAsia="宋体" w:cs="Times New Roman"/>
          <w:color w:val="auto"/>
        </w:rPr>
      </w:pPr>
      <w:r>
        <w:rPr>
          <w:rFonts w:hint="eastAsia" w:cs="Times New Roman"/>
          <w:color w:val="auto"/>
          <w:lang w:val="en-US" w:eastAsia="zh-CN"/>
        </w:rPr>
        <w:t>拟建项目所在</w:t>
      </w:r>
      <w:r>
        <w:rPr>
          <w:rFonts w:hint="default" w:ascii="Times New Roman" w:hAnsi="Times New Roman" w:eastAsia="宋体" w:cs="Times New Roman"/>
          <w:color w:val="auto"/>
        </w:rPr>
        <w:t>区域地下水水质执行《地下水质量标准》</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GB/T14848-2017</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中Ⅲ类标准。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.5-4  地下水环境质量标准值    单位mg/l(PH除外)</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2"/>
        <w:gridCol w:w="3024"/>
        <w:gridCol w:w="2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标准类别</w:t>
            </w: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项目</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GB/T14848-</w:t>
            </w:r>
            <w:r>
              <w:rPr>
                <w:rFonts w:hint="eastAsia" w:ascii="Times New Roman" w:hAnsi="Times New Roman" w:eastAsia="宋体" w:cs="Times New Roman"/>
                <w:bCs/>
                <w:color w:val="auto"/>
                <w:spacing w:val="2"/>
                <w:kern w:val="0"/>
                <w:sz w:val="21"/>
                <w:szCs w:val="21"/>
                <w:lang w:val="en-US" w:eastAsia="zh-CN"/>
              </w:rPr>
              <w:t>2017</w:t>
            </w:r>
            <w:r>
              <w:rPr>
                <w:rFonts w:hint="default" w:ascii="Times New Roman" w:hAnsi="Times New Roman" w:eastAsia="宋体" w:cs="Times New Roman"/>
                <w:bCs/>
                <w:color w:val="auto"/>
                <w:spacing w:val="2"/>
                <w:kern w:val="0"/>
                <w:sz w:val="21"/>
                <w:szCs w:val="21"/>
              </w:rPr>
              <w:t>中Ⅲ类</w:t>
            </w: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pH值</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eastAsia="zh-CN"/>
              </w:rPr>
            </w:pPr>
            <w:r>
              <w:rPr>
                <w:rFonts w:hint="default" w:ascii="Times New Roman" w:hAnsi="Times New Roman" w:eastAsia="宋体" w:cs="Times New Roman"/>
                <w:bCs/>
                <w:color w:val="auto"/>
                <w:spacing w:val="2"/>
                <w:kern w:val="0"/>
                <w:sz w:val="21"/>
                <w:szCs w:val="21"/>
              </w:rPr>
              <w:t>氨氮</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硝酸盐</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N计,mg/L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亚硝酸盐</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N计,mg/L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挥发酚</w:t>
            </w:r>
            <w:r>
              <w:rPr>
                <w:rFonts w:hint="eastAsia" w:ascii="Times New Roman" w:hAnsi="Times New Roman" w:eastAsia="宋体" w:cs="Times New Roman"/>
                <w:bCs/>
                <w:color w:val="auto"/>
                <w:spacing w:val="2"/>
                <w:kern w:val="0"/>
                <w:sz w:val="21"/>
                <w:szCs w:val="21"/>
                <w:lang w:eastAsia="zh-CN"/>
              </w:rPr>
              <w:t>（以苯酚计，</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0.00</w:t>
            </w:r>
            <w:r>
              <w:rPr>
                <w:rFonts w:hint="eastAsia" w:ascii="Times New Roman" w:hAnsi="Times New Roman" w:eastAsia="宋体" w:cs="Times New Roman"/>
                <w:bCs/>
                <w:color w:val="auto"/>
                <w:spacing w:val="2"/>
                <w:kern w:val="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氰化物</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总硬度</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CaCO</w:t>
            </w:r>
            <w:r>
              <w:rPr>
                <w:rFonts w:hint="eastAsia" w:ascii="Times New Roman" w:hAnsi="Times New Roman" w:eastAsia="宋体" w:cs="Times New Roman"/>
                <w:bCs/>
                <w:color w:val="auto"/>
                <w:spacing w:val="2"/>
                <w:kern w:val="0"/>
                <w:sz w:val="21"/>
                <w:szCs w:val="21"/>
                <w:vertAlign w:val="subscript"/>
                <w:lang w:val="en-US" w:eastAsia="zh-CN"/>
              </w:rPr>
              <w:t>3</w:t>
            </w:r>
            <w:r>
              <w:rPr>
                <w:rFonts w:hint="eastAsia" w:ascii="Times New Roman" w:hAnsi="Times New Roman" w:eastAsia="宋体" w:cs="Times New Roman"/>
                <w:bCs/>
                <w:color w:val="auto"/>
                <w:spacing w:val="2"/>
                <w:kern w:val="0"/>
                <w:sz w:val="21"/>
                <w:szCs w:val="21"/>
                <w:lang w:val="en-US" w:eastAsia="zh-CN"/>
              </w:rPr>
              <w:t>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溶解性总固体</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总大肠菌群</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MPN</w:t>
            </w:r>
            <w:r>
              <w:rPr>
                <w:rFonts w:hint="eastAsia" w:ascii="Times New Roman" w:hAnsi="Times New Roman" w:eastAsia="宋体" w:cs="Times New Roman"/>
                <w:bCs/>
                <w:color w:val="auto"/>
                <w:spacing w:val="2"/>
                <w:kern w:val="0"/>
                <w:sz w:val="21"/>
                <w:szCs w:val="21"/>
                <w:vertAlign w:val="superscript"/>
                <w:lang w:val="en-US" w:eastAsia="zh-CN"/>
              </w:rPr>
              <w:t>b</w:t>
            </w:r>
            <w:r>
              <w:rPr>
                <w:rFonts w:hint="eastAsia" w:ascii="Times New Roman" w:hAnsi="Times New Roman" w:eastAsia="宋体" w:cs="Times New Roman"/>
                <w:bCs/>
                <w:color w:val="auto"/>
                <w:spacing w:val="2"/>
                <w:kern w:val="0"/>
                <w:sz w:val="21"/>
                <w:szCs w:val="21"/>
                <w:lang w:val="en-US" w:eastAsia="zh-CN"/>
              </w:rPr>
              <w:t>/100mL或CFU</w:t>
            </w:r>
            <w:r>
              <w:rPr>
                <w:rFonts w:hint="eastAsia" w:ascii="Times New Roman" w:hAnsi="Times New Roman" w:eastAsia="宋体" w:cs="Times New Roman"/>
                <w:bCs/>
                <w:color w:val="auto"/>
                <w:spacing w:val="2"/>
                <w:kern w:val="0"/>
                <w:sz w:val="21"/>
                <w:szCs w:val="21"/>
                <w:vertAlign w:val="superscript"/>
                <w:lang w:val="en-US" w:eastAsia="zh-CN"/>
              </w:rPr>
              <w:t>c</w:t>
            </w:r>
            <w:r>
              <w:rPr>
                <w:rFonts w:hint="eastAsia" w:ascii="Times New Roman" w:hAnsi="Times New Roman" w:eastAsia="宋体" w:cs="Times New Roman"/>
                <w:bCs/>
                <w:color w:val="auto"/>
                <w:spacing w:val="2"/>
                <w:kern w:val="0"/>
                <w:sz w:val="21"/>
                <w:szCs w:val="21"/>
                <w:lang w:val="en-US" w:eastAsia="zh-CN"/>
              </w:rPr>
              <w:t>/100mL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eastAsia="zh-CN"/>
              </w:rPr>
              <w:t>菌落</w:t>
            </w:r>
            <w:r>
              <w:rPr>
                <w:rFonts w:hint="default" w:ascii="Times New Roman" w:hAnsi="Times New Roman" w:eastAsia="宋体" w:cs="Times New Roman"/>
                <w:bCs/>
                <w:color w:val="auto"/>
                <w:spacing w:val="2"/>
                <w:kern w:val="0"/>
                <w:sz w:val="21"/>
                <w:szCs w:val="21"/>
              </w:rPr>
              <w:t>总数</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CFU/mL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汞</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砷</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六价铬</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铅</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镉</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0</w:t>
            </w:r>
            <w:r>
              <w:rPr>
                <w:rFonts w:hint="default" w:ascii="Times New Roman" w:hAnsi="Times New Roman" w:eastAsia="宋体" w:cs="Times New Roman"/>
                <w:bCs/>
                <w:color w:val="auto"/>
                <w:spacing w:val="2"/>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铁</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w:t>
            </w:r>
            <w:r>
              <w:rPr>
                <w:rFonts w:hint="eastAsia" w:ascii="Times New Roman" w:hAnsi="Times New Roman" w:eastAsia="宋体" w:cs="Times New Roman"/>
                <w:bCs/>
                <w:color w:val="auto"/>
                <w:spacing w:val="2"/>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锰</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氟化物</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w:t>
            </w:r>
          </w:p>
        </w:tc>
      </w:tr>
    </w:tbl>
    <w:p>
      <w:pPr>
        <w:pStyle w:val="5"/>
        <w:spacing w:before="120"/>
        <w:ind w:left="480"/>
        <w:rPr>
          <w:rFonts w:hint="eastAsia"/>
          <w:color w:val="auto"/>
        </w:rPr>
      </w:pPr>
      <w:r>
        <w:rPr>
          <w:rFonts w:hint="eastAsia"/>
          <w:color w:val="auto"/>
        </w:rPr>
        <w:t>污染物排放标准</w:t>
      </w:r>
    </w:p>
    <w:p>
      <w:pPr>
        <w:spacing w:line="360" w:lineRule="auto"/>
        <w:ind w:firstLine="480"/>
        <w:rPr>
          <w:rFonts w:hint="eastAsia"/>
          <w:color w:val="auto"/>
        </w:rPr>
      </w:pPr>
      <w:r>
        <w:rPr>
          <w:rFonts w:hint="eastAsia"/>
          <w:color w:val="auto"/>
        </w:rPr>
        <w:t>（1）污水排放标准</w:t>
      </w:r>
    </w:p>
    <w:p>
      <w:pPr>
        <w:spacing w:line="360" w:lineRule="auto"/>
        <w:ind w:firstLine="480"/>
        <w:rPr>
          <w:rFonts w:hint="default"/>
          <w:color w:val="auto"/>
          <w:spacing w:val="-5"/>
          <w:lang w:val="en-US" w:eastAsia="zh-CN"/>
        </w:rPr>
      </w:pPr>
      <w:r>
        <w:rPr>
          <w:rFonts w:hint="eastAsia"/>
          <w:color w:val="auto"/>
          <w:spacing w:val="-5"/>
          <w:lang w:val="en-US" w:eastAsia="zh-CN"/>
        </w:rPr>
        <w:t>施工期生活废水经化粪池预处理后达到十五里河污水处理厂标准后排入市政污水管网后经十五里河污水处理厂处理达标后排入十五里河。</w:t>
      </w:r>
    </w:p>
    <w:p>
      <w:pPr>
        <w:spacing w:line="360" w:lineRule="auto"/>
        <w:ind w:firstLine="480"/>
        <w:rPr>
          <w:rFonts w:hint="eastAsia"/>
          <w:color w:val="auto"/>
        </w:rPr>
      </w:pPr>
      <w:r>
        <w:rPr>
          <w:rFonts w:hint="eastAsia"/>
          <w:color w:val="auto"/>
          <w:spacing w:val="-5"/>
          <w:lang w:val="en-US" w:eastAsia="zh-CN"/>
        </w:rPr>
        <w:t>运营期污水经化粪池</w:t>
      </w:r>
      <w:r>
        <w:rPr>
          <w:rFonts w:hint="eastAsia"/>
          <w:color w:val="auto"/>
          <w:spacing w:val="-5"/>
          <w:highlight w:val="none"/>
          <w:lang w:val="en-US" w:eastAsia="zh-CN"/>
        </w:rPr>
        <w:t>、油水分离器</w:t>
      </w:r>
      <w:r>
        <w:rPr>
          <w:rFonts w:hint="eastAsia"/>
          <w:color w:val="auto"/>
          <w:spacing w:val="-5"/>
          <w:lang w:val="en-US" w:eastAsia="zh-CN"/>
        </w:rPr>
        <w:t>预处理后进入院区污水处理站处理，</w:t>
      </w:r>
      <w:r>
        <w:rPr>
          <w:rFonts w:hint="eastAsia"/>
          <w:color w:val="auto"/>
          <w:lang w:val="en-US" w:eastAsia="zh-CN"/>
        </w:rPr>
        <w:t>感染区废水预消毒处理后与其它废水一同进入院区污水处理站处理，</w:t>
      </w:r>
      <w:r>
        <w:rPr>
          <w:rFonts w:hint="eastAsia"/>
          <w:color w:val="auto"/>
          <w:spacing w:val="-5"/>
          <w:lang w:val="en-US" w:eastAsia="zh-CN"/>
        </w:rPr>
        <w:t>医院污水处理站出水执行</w:t>
      </w:r>
      <w:r>
        <w:rPr>
          <w:rFonts w:hint="eastAsia"/>
          <w:color w:val="auto"/>
        </w:rPr>
        <w:t>《医疗机构水污染物排放标准》（GB18466-2005）表</w:t>
      </w:r>
      <w:r>
        <w:rPr>
          <w:rFonts w:hint="eastAsia"/>
          <w:color w:val="auto"/>
          <w:lang w:val="en-US" w:eastAsia="zh-CN"/>
        </w:rPr>
        <w:t>2</w:t>
      </w:r>
      <w:r>
        <w:rPr>
          <w:rFonts w:hint="eastAsia"/>
          <w:color w:val="auto"/>
        </w:rPr>
        <w:t>预处理标准</w:t>
      </w:r>
      <w:r>
        <w:rPr>
          <w:rFonts w:hint="eastAsia"/>
          <w:color w:val="auto"/>
          <w:lang w:eastAsia="zh-CN"/>
        </w:rPr>
        <w:t>及十五里河污水处理厂接管标准。十五里河污水处理厂</w:t>
      </w:r>
      <w:r>
        <w:rPr>
          <w:rFonts w:hint="eastAsia"/>
          <w:color w:val="auto"/>
        </w:rPr>
        <w:t>尾水执行</w:t>
      </w:r>
      <w:r>
        <w:rPr>
          <w:bCs/>
          <w:color w:val="auto"/>
        </w:rPr>
        <w:t>《</w:t>
      </w:r>
      <w:r>
        <w:rPr>
          <w:rFonts w:hint="eastAsia"/>
          <w:bCs/>
          <w:color w:val="auto"/>
          <w:lang w:val="en-US" w:eastAsia="zh-CN"/>
        </w:rPr>
        <w:t>巢湖流域城镇污水处理厂和工业行业主要水污染排放限值</w:t>
      </w:r>
      <w:r>
        <w:rPr>
          <w:bCs/>
          <w:color w:val="auto"/>
        </w:rPr>
        <w:t>》</w:t>
      </w:r>
      <w:r>
        <w:rPr>
          <w:rFonts w:hint="eastAsia"/>
          <w:bCs/>
          <w:color w:val="auto"/>
          <w:lang w:eastAsia="zh-CN"/>
        </w:rPr>
        <w:t>（</w:t>
      </w:r>
      <w:r>
        <w:rPr>
          <w:rFonts w:hint="eastAsia"/>
          <w:bCs/>
          <w:color w:val="auto"/>
          <w:lang w:val="en-US" w:eastAsia="zh-CN"/>
        </w:rPr>
        <w:t>DB34/2710-2016</w:t>
      </w:r>
      <w:r>
        <w:rPr>
          <w:rFonts w:hint="eastAsia"/>
          <w:bCs/>
          <w:color w:val="auto"/>
          <w:lang w:eastAsia="zh-CN"/>
        </w:rPr>
        <w:t>）</w:t>
      </w:r>
      <w:r>
        <w:rPr>
          <w:rFonts w:hint="eastAsia"/>
          <w:bCs/>
          <w:color w:val="auto"/>
          <w:lang w:val="en-US" w:eastAsia="zh-CN"/>
        </w:rPr>
        <w:t>表2中</w:t>
      </w:r>
      <w:r>
        <w:rPr>
          <w:rFonts w:hint="eastAsia"/>
          <w:bCs/>
          <w:color w:val="auto"/>
          <w:lang w:val="en-US" w:eastAsia="zh-CN"/>
        </w:rPr>
        <w:fldChar w:fldCharType="begin"/>
      </w:r>
      <w:r>
        <w:rPr>
          <w:rFonts w:hint="eastAsia"/>
          <w:bCs/>
          <w:color w:val="auto"/>
          <w:lang w:val="en-US" w:eastAsia="zh-CN"/>
        </w:rPr>
        <w:instrText xml:space="preserve"> = 1 \* ROMAN \* MERGEFORMAT </w:instrText>
      </w:r>
      <w:r>
        <w:rPr>
          <w:rFonts w:hint="eastAsia"/>
          <w:bCs/>
          <w:color w:val="auto"/>
          <w:lang w:val="en-US" w:eastAsia="zh-CN"/>
        </w:rPr>
        <w:fldChar w:fldCharType="separate"/>
      </w:r>
      <w:r>
        <w:rPr>
          <w:color w:val="auto"/>
        </w:rPr>
        <w:t>I</w:t>
      </w:r>
      <w:r>
        <w:rPr>
          <w:rFonts w:hint="eastAsia"/>
          <w:bCs/>
          <w:color w:val="auto"/>
          <w:lang w:val="en-US" w:eastAsia="zh-CN"/>
        </w:rPr>
        <w:fldChar w:fldCharType="end"/>
      </w:r>
      <w:r>
        <w:rPr>
          <w:rFonts w:hint="eastAsia"/>
          <w:bCs/>
          <w:color w:val="auto"/>
          <w:lang w:val="en-US" w:eastAsia="zh-CN"/>
        </w:rPr>
        <w:t>类标准（未列出部分执行</w:t>
      </w:r>
      <w:r>
        <w:rPr>
          <w:bCs/>
          <w:color w:val="auto"/>
        </w:rPr>
        <w:t>《城镇污水处理厂污染物排放标准》（GB18918</w:t>
      </w:r>
      <w:r>
        <w:rPr>
          <w:rFonts w:hint="eastAsia"/>
          <w:bCs/>
          <w:color w:val="auto"/>
          <w:lang w:val="en-US" w:eastAsia="zh-CN"/>
        </w:rPr>
        <w:t>-</w:t>
      </w:r>
      <w:r>
        <w:rPr>
          <w:bCs/>
          <w:color w:val="auto"/>
        </w:rPr>
        <w:t>2002）中一级标准的A标准</w:t>
      </w:r>
      <w:r>
        <w:rPr>
          <w:rFonts w:hint="eastAsia"/>
          <w:bCs/>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b/>
          <w:color w:val="auto"/>
          <w:sz w:val="21"/>
          <w:szCs w:val="21"/>
        </w:rPr>
      </w:pPr>
      <w:r>
        <w:rPr>
          <w:rFonts w:hAnsi="宋体"/>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rPr>
        <w:t>5-</w:t>
      </w:r>
      <w:r>
        <w:rPr>
          <w:rFonts w:hint="eastAsia"/>
          <w:b/>
          <w:color w:val="auto"/>
          <w:sz w:val="21"/>
          <w:szCs w:val="21"/>
          <w:lang w:val="en-US" w:eastAsia="zh-CN"/>
        </w:rPr>
        <w:t>5</w:t>
      </w:r>
      <w:r>
        <w:rPr>
          <w:b/>
          <w:color w:val="auto"/>
          <w:sz w:val="21"/>
          <w:szCs w:val="21"/>
        </w:rPr>
        <w:t xml:space="preserve">  </w:t>
      </w:r>
      <w:r>
        <w:rPr>
          <w:rFonts w:hAnsi="宋体"/>
          <w:b/>
          <w:color w:val="auto"/>
          <w:sz w:val="21"/>
          <w:szCs w:val="21"/>
        </w:rPr>
        <w:t>污水排放标准执行标准值</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1488"/>
        <w:gridCol w:w="2173"/>
        <w:gridCol w:w="1578"/>
        <w:gridCol w:w="1091"/>
        <w:gridCol w:w="1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2148" w:type="pct"/>
            <w:gridSpan w:val="2"/>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《医疗机构水污染物排放标准》（GB18466-2005）表</w:t>
            </w:r>
            <w:r>
              <w:rPr>
                <w:rFonts w:hint="eastAsia"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预处理标准</w:t>
            </w:r>
          </w:p>
        </w:tc>
        <w:tc>
          <w:tcPr>
            <w:tcW w:w="926" w:type="pct"/>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十五里河污水处理厂接管标准</w:t>
            </w:r>
            <w:r>
              <w:rPr>
                <w:rFonts w:hint="default" w:ascii="Times New Roman" w:hAnsi="Times New Roman" w:eastAsia="宋体" w:cs="Times New Roman"/>
                <w:color w:val="auto"/>
                <w:sz w:val="21"/>
                <w:szCs w:val="21"/>
                <w:highlight w:val="none"/>
              </w:rPr>
              <w:t>（mg/L）</w:t>
            </w:r>
          </w:p>
        </w:tc>
        <w:tc>
          <w:tcPr>
            <w:tcW w:w="640" w:type="pct"/>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本项目总排口执行标准</w:t>
            </w:r>
            <w:r>
              <w:rPr>
                <w:rFonts w:hint="default" w:ascii="Times New Roman" w:hAnsi="Times New Roman" w:eastAsia="宋体" w:cs="Times New Roman"/>
                <w:color w:val="auto"/>
                <w:sz w:val="21"/>
                <w:szCs w:val="21"/>
                <w:highlight w:val="none"/>
              </w:rPr>
              <w:t>（mg/L）</w:t>
            </w:r>
          </w:p>
        </w:tc>
        <w:tc>
          <w:tcPr>
            <w:tcW w:w="640" w:type="pct"/>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尾水排放标准（mg/L）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最高允许排放负荷/[g/（床位·d）]</w:t>
            </w:r>
          </w:p>
        </w:tc>
        <w:tc>
          <w:tcPr>
            <w:tcW w:w="926" w:type="pct"/>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0" w:type="pct"/>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0" w:type="pct"/>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26"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250</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250</w:t>
            </w:r>
          </w:p>
        </w:tc>
        <w:tc>
          <w:tcPr>
            <w:tcW w:w="926"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380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250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100</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100</w:t>
            </w:r>
          </w:p>
        </w:tc>
        <w:tc>
          <w:tcPr>
            <w:tcW w:w="926"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180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100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60</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60</w:t>
            </w:r>
          </w:p>
        </w:tc>
        <w:tc>
          <w:tcPr>
            <w:tcW w:w="926"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200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60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1275"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26"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45</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45</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w:t>
            </w:r>
            <w:r>
              <w:rPr>
                <w:rFonts w:hint="eastAsia"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动植物油</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20</w:t>
            </w:r>
          </w:p>
        </w:tc>
        <w:tc>
          <w:tcPr>
            <w:tcW w:w="12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20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粪大肠菌群数</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MPN/L</w:t>
            </w:r>
            <w:r>
              <w:rPr>
                <w:rFonts w:hint="eastAsia" w:ascii="Times New Roman" w:hAnsi="Times New Roman" w:eastAsia="宋体" w:cs="Times New Roman"/>
                <w:color w:val="auto"/>
                <w:sz w:val="21"/>
                <w:szCs w:val="21"/>
                <w:highlight w:val="none"/>
                <w:lang w:eastAsia="zh-CN"/>
              </w:rPr>
              <w:t>）</w:t>
            </w:r>
          </w:p>
        </w:tc>
        <w:tc>
          <w:tcPr>
            <w:tcW w:w="873"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5000</w:t>
            </w:r>
          </w:p>
        </w:tc>
        <w:tc>
          <w:tcPr>
            <w:tcW w:w="12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5000</w:t>
            </w:r>
          </w:p>
        </w:tc>
        <w:tc>
          <w:tcPr>
            <w:tcW w:w="64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r>
    </w:tbl>
    <w:p>
      <w:pPr>
        <w:ind w:firstLine="480"/>
        <w:rPr>
          <w:rFonts w:hint="eastAsia" w:hAnsi="宋体"/>
          <w:color w:val="auto"/>
        </w:rPr>
      </w:pPr>
      <w:r>
        <w:rPr>
          <w:rFonts w:hint="eastAsia" w:hAnsi="宋体"/>
          <w:color w:val="auto"/>
        </w:rPr>
        <w:t>（2）废气</w:t>
      </w:r>
      <w:r>
        <w:rPr>
          <w:rFonts w:hint="eastAsia"/>
          <w:color w:val="auto"/>
        </w:rPr>
        <w:t>排放标准</w:t>
      </w:r>
    </w:p>
    <w:p>
      <w:pPr>
        <w:bidi w:val="0"/>
        <w:rPr>
          <w:rFonts w:hint="default" w:cs="Times New Roman"/>
          <w:color w:val="auto"/>
          <w:highlight w:val="none"/>
          <w:lang w:val="en-US" w:eastAsia="zh-CN"/>
        </w:rPr>
      </w:pPr>
      <w:r>
        <w:rPr>
          <w:rFonts w:hint="eastAsia" w:cs="Times New Roman"/>
          <w:color w:val="auto"/>
          <w:spacing w:val="2"/>
          <w:highlight w:val="none"/>
          <w:lang w:val="en-US" w:eastAsia="zh-CN"/>
        </w:rPr>
        <w:t>本项目</w:t>
      </w:r>
      <w:r>
        <w:rPr>
          <w:rFonts w:hint="default" w:ascii="Times New Roman" w:hAnsi="Times New Roman" w:cs="Times New Roman"/>
          <w:color w:val="auto"/>
          <w:spacing w:val="2"/>
          <w:highlight w:val="none"/>
        </w:rPr>
        <w:t>施工期废气执行《大气污染物</w:t>
      </w:r>
      <w:r>
        <w:rPr>
          <w:rFonts w:hint="eastAsia" w:ascii="Times New Roman" w:hAnsi="Times New Roman" w:cs="Times New Roman"/>
          <w:color w:val="auto"/>
          <w:spacing w:val="2"/>
          <w:highlight w:val="none"/>
          <w:lang w:val="en-US" w:eastAsia="zh-CN"/>
        </w:rPr>
        <w:t>综合</w:t>
      </w:r>
      <w:r>
        <w:rPr>
          <w:rFonts w:hint="default" w:ascii="Times New Roman" w:hAnsi="Times New Roman" w:cs="Times New Roman"/>
          <w:color w:val="auto"/>
          <w:spacing w:val="2"/>
          <w:highlight w:val="none"/>
        </w:rPr>
        <w:t>排放标准》</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GB16297-1996</w:t>
      </w:r>
      <w:r>
        <w:rPr>
          <w:rFonts w:hint="default" w:ascii="Times New Roman" w:hAnsi="Times New Roman" w:cs="Times New Roman"/>
          <w:color w:val="auto"/>
          <w:highlight w:val="none"/>
        </w:rPr>
        <w:t>）</w:t>
      </w:r>
      <w:r>
        <w:rPr>
          <w:rFonts w:hint="default" w:ascii="Times New Roman" w:hAnsi="Times New Roman" w:cs="Times New Roman"/>
          <w:color w:val="auto"/>
          <w:spacing w:val="3"/>
          <w:highlight w:val="none"/>
        </w:rPr>
        <w:t>二级标准。</w:t>
      </w:r>
      <w:r>
        <w:rPr>
          <w:rFonts w:hint="default" w:ascii="Times New Roman" w:hAnsi="Times New Roman" w:eastAsia="宋体" w:cs="Times New Roman"/>
          <w:color w:val="auto"/>
          <w:spacing w:val="3"/>
          <w:highlight w:val="none"/>
          <w:lang w:val="en-US" w:eastAsia="zh-CN"/>
        </w:rPr>
        <w:t>营运期</w:t>
      </w:r>
      <w:r>
        <w:rPr>
          <w:rFonts w:hint="default" w:ascii="Times New Roman" w:hAnsi="Times New Roman" w:cs="Times New Roman"/>
          <w:color w:val="auto"/>
          <w:highlight w:val="none"/>
        </w:rPr>
        <w:t>柴油发电机废气和地下车库废气排放执行《大气污染物综合排放标准》（GB16297-1996）中新污染源二级标准</w:t>
      </w:r>
      <w:r>
        <w:rPr>
          <w:rFonts w:hint="eastAsia" w:cs="Times New Roman"/>
          <w:color w:val="auto"/>
          <w:highlight w:val="none"/>
          <w:lang w:eastAsia="zh-CN"/>
        </w:rPr>
        <w:t>。</w:t>
      </w:r>
      <w:r>
        <w:rPr>
          <w:rFonts w:hint="eastAsia" w:cs="Times New Roman"/>
          <w:color w:val="auto"/>
          <w:highlight w:val="none"/>
          <w:lang w:val="en-US" w:eastAsia="zh-CN"/>
        </w:rPr>
        <w:t>根据标准中：</w:t>
      </w:r>
      <w:r>
        <w:rPr>
          <w:rFonts w:hint="eastAsia" w:cs="宋体"/>
          <w:color w:val="auto"/>
          <w:highlight w:val="none"/>
          <w:lang w:val="en-US" w:eastAsia="zh-CN"/>
        </w:rPr>
        <w:t>“</w:t>
      </w:r>
      <w:r>
        <w:rPr>
          <w:rFonts w:hint="eastAsia" w:cs="Times New Roman"/>
          <w:color w:val="auto"/>
          <w:highlight w:val="none"/>
          <w:lang w:eastAsia="zh-CN"/>
        </w:rPr>
        <w:t>7.1 排气筒高度除须遵守表列排放速率标准值外，还应高出周围 200 m半径范围的建筑5 m 以上，不能达到该要求的排气筒，应按其高度对应的表列排放速率标准值严格 50%执行</w:t>
      </w:r>
      <w:r>
        <w:rPr>
          <w:rFonts w:hint="eastAsia" w:cs="宋体"/>
          <w:color w:val="auto"/>
          <w:highlight w:val="none"/>
          <w:lang w:val="en-US" w:eastAsia="zh-CN"/>
        </w:rPr>
        <w:t>”</w:t>
      </w:r>
      <w:r>
        <w:rPr>
          <w:rFonts w:hint="eastAsia" w:cs="Times New Roman"/>
          <w:color w:val="auto"/>
          <w:highlight w:val="none"/>
          <w:lang w:val="en-US" w:eastAsia="zh-CN"/>
        </w:rPr>
        <w:t>，本项目排气筒引至综合住院部大楼顶楼排放（排放高度87.5m），但排放高度未</w:t>
      </w:r>
      <w:r>
        <w:rPr>
          <w:rFonts w:hint="eastAsia" w:cs="Times New Roman"/>
          <w:color w:val="auto"/>
          <w:highlight w:val="none"/>
          <w:lang w:eastAsia="zh-CN"/>
        </w:rPr>
        <w:t>高出周围200 m半径范围的建筑5 m ，</w:t>
      </w:r>
      <w:r>
        <w:rPr>
          <w:rFonts w:hint="eastAsia" w:cs="Times New Roman"/>
          <w:color w:val="auto"/>
          <w:highlight w:val="none"/>
          <w:lang w:val="en-US" w:eastAsia="zh-CN"/>
        </w:rPr>
        <w:t>故本项目</w:t>
      </w:r>
      <w:r>
        <w:rPr>
          <w:rFonts w:hint="eastAsia" w:cs="Times New Roman"/>
          <w:color w:val="auto"/>
          <w:highlight w:val="none"/>
          <w:lang w:eastAsia="zh-CN"/>
        </w:rPr>
        <w:t>排放速率</w:t>
      </w:r>
      <w:r>
        <w:rPr>
          <w:rFonts w:hint="eastAsia" w:cs="Times New Roman"/>
          <w:color w:val="auto"/>
          <w:highlight w:val="none"/>
          <w:lang w:val="en-US" w:eastAsia="zh-CN"/>
        </w:rPr>
        <w:t>需按照</w:t>
      </w:r>
      <w:r>
        <w:rPr>
          <w:rFonts w:hint="eastAsia" w:cs="Times New Roman"/>
          <w:color w:val="auto"/>
          <w:highlight w:val="none"/>
          <w:lang w:eastAsia="zh-CN"/>
        </w:rPr>
        <w:t>标准值严格 50%执行。</w:t>
      </w:r>
    </w:p>
    <w:p>
      <w:pPr>
        <w:ind w:firstLine="422"/>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2</w:t>
      </w:r>
      <w:r>
        <w:rPr>
          <w:rFonts w:hint="eastAsia" w:hAnsi="宋体"/>
          <w:b/>
          <w:color w:val="auto"/>
          <w:sz w:val="21"/>
          <w:szCs w:val="21"/>
        </w:rPr>
        <w:t>.5-</w:t>
      </w:r>
      <w:r>
        <w:rPr>
          <w:rFonts w:hint="eastAsia" w:hAnsi="宋体"/>
          <w:b/>
          <w:color w:val="auto"/>
          <w:sz w:val="21"/>
          <w:szCs w:val="21"/>
          <w:lang w:val="en-US" w:eastAsia="zh-CN"/>
        </w:rPr>
        <w:t>7</w:t>
      </w:r>
      <w:r>
        <w:rPr>
          <w:rFonts w:hAnsi="宋体"/>
          <w:b/>
          <w:color w:val="auto"/>
          <w:sz w:val="21"/>
          <w:szCs w:val="21"/>
        </w:rPr>
        <w:t xml:space="preserve">  </w:t>
      </w:r>
      <w:r>
        <w:rPr>
          <w:b/>
          <w:color w:val="auto"/>
          <w:spacing w:val="6"/>
          <w:sz w:val="21"/>
        </w:rPr>
        <w:t>大气</w:t>
      </w:r>
      <w:r>
        <w:rPr>
          <w:b/>
          <w:color w:val="auto"/>
          <w:sz w:val="21"/>
        </w:rPr>
        <w:t>污</w:t>
      </w:r>
      <w:r>
        <w:rPr>
          <w:b/>
          <w:color w:val="auto"/>
          <w:spacing w:val="6"/>
          <w:sz w:val="21"/>
        </w:rPr>
        <w:t>染</w:t>
      </w:r>
      <w:r>
        <w:rPr>
          <w:b/>
          <w:color w:val="auto"/>
          <w:sz w:val="21"/>
        </w:rPr>
        <w:t>物排放</w:t>
      </w:r>
      <w:r>
        <w:rPr>
          <w:b/>
          <w:color w:val="auto"/>
          <w:spacing w:val="6"/>
          <w:sz w:val="21"/>
        </w:rPr>
        <w:t>标</w:t>
      </w:r>
      <w:r>
        <w:rPr>
          <w:b/>
          <w:color w:val="auto"/>
          <w:sz w:val="21"/>
        </w:rPr>
        <w:t>准限值</w:t>
      </w:r>
    </w:p>
    <w:tbl>
      <w:tblPr>
        <w:tblStyle w:val="48"/>
        <w:tblW w:w="502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92"/>
        <w:gridCol w:w="1114"/>
        <w:gridCol w:w="1677"/>
        <w:gridCol w:w="1477"/>
        <w:gridCol w:w="992"/>
        <w:gridCol w:w="25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4"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序号</w:t>
            </w:r>
          </w:p>
        </w:tc>
        <w:tc>
          <w:tcPr>
            <w:tcW w:w="666"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污染物</w:t>
            </w:r>
          </w:p>
        </w:tc>
        <w:tc>
          <w:tcPr>
            <w:tcW w:w="1002"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最高允许排放浓度（</w:t>
            </w:r>
            <w:r>
              <w:rPr>
                <w:rFonts w:ascii="Times New Roman" w:eastAsia="Times New Roman"/>
                <w:color w:val="auto"/>
                <w:sz w:val="21"/>
                <w:szCs w:val="21"/>
              </w:rPr>
              <w:t>mg/m</w:t>
            </w:r>
            <w:r>
              <w:rPr>
                <w:rFonts w:ascii="Times New Roman" w:eastAsia="Times New Roman"/>
                <w:color w:val="auto"/>
                <w:sz w:val="21"/>
                <w:szCs w:val="21"/>
                <w:vertAlign w:val="superscript"/>
              </w:rPr>
              <w:t>3</w:t>
            </w:r>
            <w:r>
              <w:rPr>
                <w:color w:val="auto"/>
                <w:sz w:val="21"/>
                <w:szCs w:val="21"/>
                <w:vertAlign w:val="baseline"/>
              </w:rPr>
              <w:t>）</w:t>
            </w:r>
          </w:p>
        </w:tc>
        <w:tc>
          <w:tcPr>
            <w:tcW w:w="1476" w:type="pct"/>
            <w:gridSpan w:val="2"/>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eastAsia="Times New Roman"/>
                <w:color w:val="auto"/>
                <w:sz w:val="21"/>
                <w:szCs w:val="21"/>
              </w:rPr>
            </w:pPr>
            <w:r>
              <w:rPr>
                <w:color w:val="auto"/>
                <w:sz w:val="21"/>
                <w:szCs w:val="21"/>
              </w:rPr>
              <w:t>最高允许排放速率</w:t>
            </w:r>
            <w:r>
              <w:rPr>
                <w:rFonts w:ascii="Times New Roman" w:eastAsia="Times New Roman"/>
                <w:color w:val="auto"/>
                <w:sz w:val="21"/>
                <w:szCs w:val="21"/>
              </w:rPr>
              <w:t>(kg/h)</w:t>
            </w:r>
          </w:p>
        </w:tc>
        <w:tc>
          <w:tcPr>
            <w:tcW w:w="15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无组织排放监控浓度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4"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p>
        </w:tc>
        <w:tc>
          <w:tcPr>
            <w:tcW w:w="666"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p>
        </w:tc>
        <w:tc>
          <w:tcPr>
            <w:tcW w:w="1002"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p>
        </w:tc>
        <w:tc>
          <w:tcPr>
            <w:tcW w:w="883"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eastAsia="Times New Roman"/>
                <w:color w:val="auto"/>
                <w:sz w:val="21"/>
                <w:szCs w:val="21"/>
              </w:rPr>
            </w:pPr>
            <w:r>
              <w:rPr>
                <w:color w:val="auto"/>
                <w:sz w:val="21"/>
                <w:szCs w:val="21"/>
              </w:rPr>
              <w:t>排气筒</w:t>
            </w:r>
            <w:r>
              <w:rPr>
                <w:rFonts w:ascii="Times New Roman" w:eastAsia="Times New Roman"/>
                <w:color w:val="auto"/>
                <w:sz w:val="21"/>
                <w:szCs w:val="21"/>
              </w:rPr>
              <w:t>(m)</w:t>
            </w:r>
          </w:p>
        </w:tc>
        <w:tc>
          <w:tcPr>
            <w:tcW w:w="59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二级</w:t>
            </w:r>
          </w:p>
        </w:tc>
        <w:tc>
          <w:tcPr>
            <w:tcW w:w="15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周界外浓度最高点（</w:t>
            </w:r>
            <w:r>
              <w:rPr>
                <w:rFonts w:ascii="Times New Roman" w:eastAsia="Times New Roman"/>
                <w:color w:val="auto"/>
                <w:sz w:val="21"/>
                <w:szCs w:val="21"/>
              </w:rPr>
              <w:t>mg/m</w:t>
            </w:r>
            <w:r>
              <w:rPr>
                <w:rFonts w:ascii="Times New Roman" w:eastAsia="Times New Roman"/>
                <w:color w:val="auto"/>
                <w:sz w:val="21"/>
                <w:szCs w:val="21"/>
                <w:vertAlign w:val="superscript"/>
              </w:rPr>
              <w:t>3</w:t>
            </w:r>
            <w:r>
              <w:rPr>
                <w:color w:val="auto"/>
                <w:sz w:val="21"/>
                <w:szCs w:val="21"/>
                <w:vertAlign w:val="baseli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w:t>
            </w:r>
          </w:p>
        </w:tc>
        <w:tc>
          <w:tcPr>
            <w:tcW w:w="66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SO</w:t>
            </w:r>
            <w:r>
              <w:rPr>
                <w:rFonts w:ascii="Times New Roman"/>
                <w:color w:val="auto"/>
                <w:sz w:val="21"/>
                <w:szCs w:val="21"/>
                <w:vertAlign w:val="subscript"/>
              </w:rPr>
              <w:t>2</w:t>
            </w:r>
          </w:p>
        </w:tc>
        <w:tc>
          <w:tcPr>
            <w:tcW w:w="100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550</w:t>
            </w:r>
          </w:p>
        </w:tc>
        <w:tc>
          <w:tcPr>
            <w:tcW w:w="883"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lang w:val="en-US" w:eastAsia="zh-CN"/>
              </w:rPr>
            </w:pPr>
            <w:r>
              <w:rPr>
                <w:rFonts w:hint="eastAsia" w:eastAsia="宋体"/>
                <w:color w:val="auto"/>
                <w:sz w:val="21"/>
                <w:szCs w:val="21"/>
                <w:highlight w:val="none"/>
                <w:lang w:val="en-US" w:eastAsia="zh-CN"/>
              </w:rPr>
              <w:t>87.5</w:t>
            </w:r>
          </w:p>
        </w:tc>
        <w:tc>
          <w:tcPr>
            <w:tcW w:w="59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lang w:val="en-US" w:eastAsia="zh-CN"/>
              </w:rPr>
            </w:pPr>
            <w:r>
              <w:rPr>
                <w:rFonts w:hint="eastAsia" w:eastAsia="宋体"/>
                <w:color w:val="auto"/>
                <w:sz w:val="21"/>
                <w:szCs w:val="21"/>
                <w:lang w:val="en-US" w:eastAsia="zh-CN"/>
              </w:rPr>
              <w:t>62.5</w:t>
            </w:r>
          </w:p>
        </w:tc>
        <w:tc>
          <w:tcPr>
            <w:tcW w:w="15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0.40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w:t>
            </w:r>
          </w:p>
        </w:tc>
        <w:tc>
          <w:tcPr>
            <w:tcW w:w="66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NOx</w:t>
            </w:r>
          </w:p>
        </w:tc>
        <w:tc>
          <w:tcPr>
            <w:tcW w:w="100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240</w:t>
            </w:r>
          </w:p>
        </w:tc>
        <w:tc>
          <w:tcPr>
            <w:tcW w:w="883"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p>
        </w:tc>
        <w:tc>
          <w:tcPr>
            <w:tcW w:w="59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lang w:val="en-US" w:eastAsia="zh-CN"/>
              </w:rPr>
            </w:pPr>
            <w:r>
              <w:rPr>
                <w:rFonts w:hint="eastAsia" w:eastAsia="宋体"/>
                <w:color w:val="auto"/>
                <w:sz w:val="21"/>
                <w:szCs w:val="21"/>
                <w:lang w:val="en-US" w:eastAsia="zh-CN"/>
              </w:rPr>
              <w:t>18.9</w:t>
            </w:r>
          </w:p>
        </w:tc>
        <w:tc>
          <w:tcPr>
            <w:tcW w:w="15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w:t>
            </w:r>
          </w:p>
        </w:tc>
        <w:tc>
          <w:tcPr>
            <w:tcW w:w="66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rPr>
            </w:pPr>
            <w:r>
              <w:rPr>
                <w:color w:val="auto"/>
                <w:sz w:val="21"/>
                <w:szCs w:val="21"/>
              </w:rPr>
              <w:t>颗粒物</w:t>
            </w:r>
          </w:p>
        </w:tc>
        <w:tc>
          <w:tcPr>
            <w:tcW w:w="100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120</w:t>
            </w:r>
          </w:p>
        </w:tc>
        <w:tc>
          <w:tcPr>
            <w:tcW w:w="883"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p>
        </w:tc>
        <w:tc>
          <w:tcPr>
            <w:tcW w:w="59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lang w:val="en-US" w:eastAsia="zh-CN"/>
              </w:rPr>
            </w:pPr>
            <w:r>
              <w:rPr>
                <w:rFonts w:hint="eastAsia" w:eastAsia="宋体"/>
                <w:color w:val="auto"/>
                <w:sz w:val="21"/>
                <w:szCs w:val="21"/>
                <w:lang w:val="en-US" w:eastAsia="zh-CN"/>
              </w:rPr>
              <w:t>90.4</w:t>
            </w:r>
          </w:p>
        </w:tc>
        <w:tc>
          <w:tcPr>
            <w:tcW w:w="15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rPr>
            </w:pPr>
            <w:r>
              <w:rPr>
                <w:rFonts w:ascii="Times New Roman"/>
                <w:color w:val="auto"/>
                <w:sz w:val="21"/>
                <w:szCs w:val="21"/>
              </w:rPr>
              <w:t>1.0</w:t>
            </w:r>
          </w:p>
        </w:tc>
      </w:tr>
    </w:tbl>
    <w:p>
      <w:pPr>
        <w:bidi w:val="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污水处理站恶臭</w:t>
      </w:r>
      <w:r>
        <w:rPr>
          <w:rFonts w:hint="eastAsia" w:ascii="Times New Roman" w:hAnsi="Times New Roman" w:cs="Times New Roman"/>
          <w:color w:val="auto"/>
          <w:highlight w:val="none"/>
          <w:lang w:val="en-US" w:eastAsia="zh-CN"/>
        </w:rPr>
        <w:t>气体有组织</w:t>
      </w:r>
      <w:r>
        <w:rPr>
          <w:rFonts w:hint="default" w:ascii="Times New Roman" w:hAnsi="Times New Roman" w:cs="Times New Roman"/>
          <w:color w:val="auto"/>
          <w:highlight w:val="none"/>
        </w:rPr>
        <w:t>排放执行《恶臭污染物排放标准》（GB14554-93）表2中恶臭污染物排放标准值，</w:t>
      </w:r>
      <w:r>
        <w:rPr>
          <w:rFonts w:hint="eastAsia" w:cs="Times New Roman"/>
          <w:color w:val="auto"/>
          <w:highlight w:val="none"/>
          <w:lang w:eastAsia="zh-CN"/>
        </w:rPr>
        <w:t>污水处理站</w:t>
      </w:r>
      <w:r>
        <w:rPr>
          <w:rFonts w:hint="default" w:ascii="Times New Roman" w:hAnsi="Times New Roman" w:cs="Times New Roman"/>
          <w:color w:val="auto"/>
          <w:highlight w:val="none"/>
        </w:rPr>
        <w:t>周边大气</w:t>
      </w:r>
      <w:r>
        <w:rPr>
          <w:rFonts w:hint="eastAsia" w:ascii="Times New Roman" w:hAnsi="Times New Roman" w:cs="Times New Roman"/>
          <w:color w:val="auto"/>
          <w:highlight w:val="none"/>
          <w:lang w:val="en-US" w:eastAsia="zh-CN"/>
        </w:rPr>
        <w:t>恶臭污染物排放执行</w:t>
      </w:r>
      <w:r>
        <w:rPr>
          <w:rFonts w:hint="default" w:ascii="Times New Roman" w:hAnsi="Times New Roman" w:cs="Times New Roman"/>
          <w:color w:val="auto"/>
          <w:highlight w:val="none"/>
        </w:rPr>
        <w:t>《医疗机构水污染物排放标准》（GB18466-2005）表3中标准值</w:t>
      </w:r>
      <w:r>
        <w:rPr>
          <w:rFonts w:hint="eastAsia" w:cs="Times New Roman"/>
          <w:color w:val="auto"/>
          <w:highlight w:val="none"/>
          <w:lang w:eastAsia="zh-CN"/>
        </w:rPr>
        <w:t>。</w:t>
      </w:r>
    </w:p>
    <w:p>
      <w:pPr>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.5-</w:t>
      </w:r>
      <w:r>
        <w:rPr>
          <w:rFonts w:hint="eastAsia" w:cs="Times New Roman"/>
          <w:b/>
          <w:color w:val="auto"/>
          <w:sz w:val="21"/>
          <w:szCs w:val="21"/>
          <w:lang w:val="en-US" w:eastAsia="zh-CN"/>
        </w:rPr>
        <w:t xml:space="preserve">8  </w:t>
      </w:r>
      <w:r>
        <w:rPr>
          <w:rFonts w:hint="default" w:ascii="Times New Roman" w:hAnsi="Times New Roman" w:cs="Times New Roman"/>
          <w:b/>
          <w:color w:val="auto"/>
          <w:sz w:val="21"/>
          <w:szCs w:val="21"/>
        </w:rPr>
        <w:t>恶臭污染物排放标准</w:t>
      </w:r>
    </w:p>
    <w:tbl>
      <w:tblPr>
        <w:tblStyle w:val="48"/>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68"/>
        <w:gridCol w:w="2420"/>
        <w:gridCol w:w="2395"/>
        <w:gridCol w:w="22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4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控制项目</w:t>
            </w:r>
          </w:p>
        </w:tc>
        <w:tc>
          <w:tcPr>
            <w:tcW w:w="14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排气筒高度（m）</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标准值（kg/h）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1</w:t>
            </w:r>
          </w:p>
        </w:tc>
        <w:tc>
          <w:tcPr>
            <w:tcW w:w="14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氨</w:t>
            </w:r>
          </w:p>
        </w:tc>
        <w:tc>
          <w:tcPr>
            <w:tcW w:w="14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15</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2</w:t>
            </w:r>
          </w:p>
        </w:tc>
        <w:tc>
          <w:tcPr>
            <w:tcW w:w="14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硫化氢</w:t>
            </w:r>
          </w:p>
        </w:tc>
        <w:tc>
          <w:tcPr>
            <w:tcW w:w="1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0.33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3</w:t>
            </w:r>
          </w:p>
        </w:tc>
        <w:tc>
          <w:tcPr>
            <w:tcW w:w="14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臭气浓度</w:t>
            </w:r>
            <w:r>
              <w:rPr>
                <w:rFonts w:hint="default" w:ascii="Times New Roman" w:hAnsi="Times New Roman" w:cs="Times New Roman"/>
                <w:color w:val="auto"/>
                <w:sz w:val="21"/>
                <w:szCs w:val="21"/>
              </w:rPr>
              <w:t>（无量纲）</w:t>
            </w:r>
          </w:p>
        </w:tc>
        <w:tc>
          <w:tcPr>
            <w:tcW w:w="1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auto"/>
                <w:sz w:val="21"/>
                <w:szCs w:val="21"/>
              </w:rPr>
            </w:pP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2000</w:t>
            </w:r>
          </w:p>
        </w:tc>
      </w:tr>
    </w:tbl>
    <w:p>
      <w:pPr>
        <w:spacing w:line="240" w:lineRule="auto"/>
        <w:ind w:firstLine="422"/>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.5-</w:t>
      </w:r>
      <w:r>
        <w:rPr>
          <w:rFonts w:hint="eastAsia" w:cs="Times New Roman"/>
          <w:b/>
          <w:color w:val="auto"/>
          <w:sz w:val="21"/>
          <w:szCs w:val="21"/>
          <w:lang w:val="en-US" w:eastAsia="zh-CN"/>
        </w:rPr>
        <w:t>9</w:t>
      </w:r>
      <w:r>
        <w:rPr>
          <w:rFonts w:hint="default" w:ascii="Times New Roman" w:hAnsi="Times New Roman" w:cs="Times New Roman"/>
          <w:b/>
          <w:color w:val="auto"/>
          <w:sz w:val="21"/>
          <w:szCs w:val="21"/>
        </w:rPr>
        <w:t xml:space="preserve"> 污水处理站周边大气污染物最高允许浓度</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3"/>
        <w:gridCol w:w="3877"/>
        <w:gridCol w:w="3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2274"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控制项目</w:t>
            </w:r>
          </w:p>
        </w:tc>
        <w:tc>
          <w:tcPr>
            <w:tcW w:w="1943"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274" w:type="pct"/>
            <w:noWrap w:val="0"/>
            <w:vAlign w:val="center"/>
          </w:tcPr>
          <w:p>
            <w:pPr>
              <w:adjustRightInd w:val="0"/>
              <w:snapToGrid w:val="0"/>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氨（mg/m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1943"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274" w:type="pct"/>
            <w:noWrap w:val="0"/>
            <w:vAlign w:val="center"/>
          </w:tcPr>
          <w:p>
            <w:pPr>
              <w:adjustRightInd w:val="0"/>
              <w:snapToGrid w:val="0"/>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硫化氢（mg/m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1943"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274"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臭气浓度（无量纲）</w:t>
            </w:r>
          </w:p>
        </w:tc>
        <w:tc>
          <w:tcPr>
            <w:tcW w:w="1943"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2" w:type="pc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2274"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甲烷</w:t>
            </w:r>
            <w:r>
              <w:rPr>
                <w:rFonts w:hint="default" w:ascii="Times New Roman" w:hAnsi="Times New Roman" w:cs="Times New Roman"/>
                <w:b w:val="0"/>
                <w:bCs w:val="0"/>
                <w:color w:val="auto"/>
                <w:sz w:val="21"/>
                <w:szCs w:val="21"/>
              </w:rPr>
              <w:t>（</w:t>
            </w:r>
            <w:r>
              <w:rPr>
                <w:rFonts w:hint="eastAsia" w:cs="Times New Roman"/>
                <w:b w:val="0"/>
                <w:bCs w:val="0"/>
                <w:color w:val="auto"/>
                <w:sz w:val="21"/>
                <w:szCs w:val="21"/>
                <w:lang w:val="en-US" w:eastAsia="zh-CN"/>
              </w:rPr>
              <w:t>指处理站内最高体积百分数%</w:t>
            </w:r>
            <w:r>
              <w:rPr>
                <w:rFonts w:hint="default" w:ascii="Times New Roman" w:hAnsi="Times New Roman" w:cs="Times New Roman"/>
                <w:b w:val="0"/>
                <w:bCs w:val="0"/>
                <w:color w:val="auto"/>
                <w:sz w:val="21"/>
                <w:szCs w:val="21"/>
              </w:rPr>
              <w:t>）</w:t>
            </w:r>
          </w:p>
        </w:tc>
        <w:tc>
          <w:tcPr>
            <w:tcW w:w="1943"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w:t>
            </w:r>
          </w:p>
        </w:tc>
      </w:tr>
    </w:tbl>
    <w:p>
      <w:pPr>
        <w:spacing w:line="360" w:lineRule="auto"/>
        <w:ind w:firstLine="422"/>
        <w:jc w:val="left"/>
        <w:rPr>
          <w:rFonts w:hint="eastAsia" w:ascii="Times New Roman" w:hAnsi="Times New Roman" w:cs="Times New Roman"/>
          <w:color w:val="auto"/>
          <w:highlight w:val="none"/>
          <w:lang w:val="en-US" w:eastAsia="zh-CN"/>
        </w:rPr>
      </w:pPr>
      <w:r>
        <w:rPr>
          <w:rFonts w:hint="eastAsia" w:cs="Times New Roman"/>
          <w:color w:val="auto"/>
          <w:highlight w:val="none"/>
          <w:shd w:val="clear" w:color="auto" w:fill="auto"/>
          <w:lang w:eastAsia="zh-CN"/>
        </w:rPr>
        <w:t>锅炉燃烧废气</w:t>
      </w:r>
      <w:r>
        <w:rPr>
          <w:rFonts w:hint="eastAsia" w:ascii="Times New Roman" w:hAnsi="Times New Roman" w:cs="Times New Roman"/>
          <w:color w:val="auto"/>
          <w:highlight w:val="none"/>
          <w:shd w:val="clear" w:color="auto" w:fill="auto"/>
          <w:lang w:val="en-US" w:eastAsia="zh-CN"/>
        </w:rPr>
        <w:t>执行《锅炉大气污染物排放标准》（GB13271-2014）表3大气污染物特别排放限值</w:t>
      </w:r>
      <w:r>
        <w:rPr>
          <w:rFonts w:hint="eastAsia" w:cs="Times New Roman"/>
          <w:color w:val="auto"/>
          <w:highlight w:val="none"/>
          <w:shd w:val="clear" w:color="auto" w:fill="auto"/>
          <w:lang w:val="en-US" w:eastAsia="zh-CN"/>
        </w:rPr>
        <w:t>，其中NO</w:t>
      </w:r>
      <w:r>
        <w:rPr>
          <w:rFonts w:hint="eastAsia" w:cs="Times New Roman"/>
          <w:color w:val="auto"/>
          <w:highlight w:val="none"/>
          <w:shd w:val="clear" w:color="auto" w:fill="auto"/>
          <w:vertAlign w:val="subscript"/>
          <w:lang w:val="en-US" w:eastAsia="zh-CN"/>
        </w:rPr>
        <w:t>X</w:t>
      </w:r>
      <w:r>
        <w:rPr>
          <w:rFonts w:hint="eastAsia" w:cs="Times New Roman"/>
          <w:color w:val="auto"/>
          <w:highlight w:val="none"/>
          <w:shd w:val="clear" w:color="auto" w:fill="auto"/>
          <w:vertAlign w:val="baseline"/>
          <w:lang w:val="en-US" w:eastAsia="zh-CN"/>
        </w:rPr>
        <w:t>按照《合肥市燃气锅炉（设施）低氮改造工作方案》（合达办[2019]13 号）中相关要求</w:t>
      </w:r>
      <w:r>
        <w:rPr>
          <w:rFonts w:hint="eastAsia" w:ascii="Times New Roman" w:hAnsi="Times New Roman" w:cs="Times New Roman"/>
          <w:color w:val="auto"/>
          <w:highlight w:val="none"/>
          <w:shd w:val="clear" w:color="auto" w:fill="auto"/>
          <w:lang w:val="en-US" w:eastAsia="zh-CN"/>
        </w:rPr>
        <w:t>。</w:t>
      </w:r>
    </w:p>
    <w:p>
      <w:pPr>
        <w:spacing w:line="240" w:lineRule="auto"/>
        <w:ind w:left="0" w:leftChars="0" w:firstLine="0" w:firstLineChars="0"/>
        <w:jc w:val="center"/>
        <w:rPr>
          <w:rFonts w:hint="eastAsia"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.5-</w:t>
      </w:r>
      <w:r>
        <w:rPr>
          <w:rFonts w:hint="eastAsia" w:cs="Times New Roman"/>
          <w:b/>
          <w:color w:val="auto"/>
          <w:sz w:val="21"/>
          <w:szCs w:val="21"/>
          <w:lang w:val="en-US" w:eastAsia="zh-CN"/>
        </w:rPr>
        <w:t>10</w:t>
      </w:r>
      <w:r>
        <w:rPr>
          <w:rFonts w:hint="default" w:ascii="Times New Roman" w:hAnsi="Times New Roman" w:cs="Times New Roman"/>
          <w:b/>
          <w:color w:val="auto"/>
          <w:sz w:val="21"/>
          <w:szCs w:val="21"/>
        </w:rPr>
        <w:t xml:space="preserve">  </w:t>
      </w:r>
      <w:r>
        <w:rPr>
          <w:rFonts w:hint="eastAsia" w:ascii="Times New Roman" w:hAnsi="Times New Roman" w:cs="Times New Roman"/>
          <w:b/>
          <w:color w:val="auto"/>
          <w:sz w:val="21"/>
          <w:szCs w:val="21"/>
          <w:lang w:val="en-US" w:eastAsia="zh-CN"/>
        </w:rPr>
        <w:t>锅炉大气污染物特别</w:t>
      </w:r>
      <w:r>
        <w:rPr>
          <w:rFonts w:hint="default" w:ascii="Times New Roman" w:hAnsi="Times New Roman" w:cs="Times New Roman"/>
          <w:b/>
          <w:color w:val="auto"/>
          <w:sz w:val="21"/>
          <w:szCs w:val="21"/>
        </w:rPr>
        <w:t>排放</w:t>
      </w:r>
      <w:r>
        <w:rPr>
          <w:rFonts w:hint="eastAsia" w:ascii="Times New Roman" w:hAnsi="Times New Roman" w:cs="Times New Roman"/>
          <w:b/>
          <w:color w:val="auto"/>
          <w:sz w:val="21"/>
          <w:szCs w:val="21"/>
          <w:lang w:val="en-US" w:eastAsia="zh-CN"/>
        </w:rPr>
        <w:t>限值</w:t>
      </w:r>
    </w:p>
    <w:tbl>
      <w:tblPr>
        <w:tblStyle w:val="4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3"/>
        <w:gridCol w:w="2378"/>
        <w:gridCol w:w="2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8"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污染物项目</w:t>
            </w:r>
          </w:p>
        </w:tc>
        <w:tc>
          <w:tcPr>
            <w:tcW w:w="1395" w:type="pc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限值</w:t>
            </w:r>
          </w:p>
        </w:tc>
        <w:tc>
          <w:tcPr>
            <w:tcW w:w="1395"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8" w:type="pct"/>
            <w:vMerge w:val="continue"/>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lang w:val="en-US" w:eastAsia="zh-CN"/>
              </w:rPr>
            </w:pPr>
          </w:p>
        </w:tc>
        <w:tc>
          <w:tcPr>
            <w:tcW w:w="1395" w:type="pct"/>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燃气锅炉</w:t>
            </w:r>
          </w:p>
        </w:tc>
        <w:tc>
          <w:tcPr>
            <w:tcW w:w="1395" w:type="pct"/>
            <w:vMerge w:val="continue"/>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8" w:type="pc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颗粒物</w:t>
            </w:r>
            <w:r>
              <w:rPr>
                <w:rFonts w:hint="default" w:ascii="Times New Roman" w:hAnsi="Times New Roman" w:cs="Times New Roman"/>
                <w:b w:val="0"/>
                <w:bCs w:val="0"/>
                <w:color w:val="auto"/>
                <w:sz w:val="21"/>
                <w:szCs w:val="21"/>
              </w:rPr>
              <w:t>（mg/m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1395"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1395"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8" w:type="pc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二氧化硫</w:t>
            </w:r>
            <w:r>
              <w:rPr>
                <w:rFonts w:hint="default" w:ascii="Times New Roman" w:hAnsi="Times New Roman" w:cs="Times New Roman"/>
                <w:b w:val="0"/>
                <w:bCs w:val="0"/>
                <w:color w:val="auto"/>
                <w:sz w:val="21"/>
                <w:szCs w:val="21"/>
              </w:rPr>
              <w:t>（mg/m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1395"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1395" w:type="pct"/>
            <w:vMerge w:val="continue"/>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8" w:type="pc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氮氧化物</w:t>
            </w:r>
            <w:r>
              <w:rPr>
                <w:rFonts w:hint="default" w:ascii="Times New Roman" w:hAnsi="Times New Roman" w:cs="Times New Roman"/>
                <w:b w:val="0"/>
                <w:bCs w:val="0"/>
                <w:color w:val="auto"/>
                <w:sz w:val="21"/>
                <w:szCs w:val="21"/>
              </w:rPr>
              <w:t>（mg/m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1395"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b/>
                <w:bCs/>
                <w:color w:val="auto"/>
                <w:sz w:val="21"/>
                <w:szCs w:val="21"/>
                <w:lang w:val="en-US" w:eastAsia="zh-CN"/>
              </w:rPr>
              <w:t>30</w:t>
            </w:r>
          </w:p>
        </w:tc>
        <w:tc>
          <w:tcPr>
            <w:tcW w:w="1395" w:type="pct"/>
            <w:vMerge w:val="continue"/>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p>
        </w:tc>
      </w:tr>
    </w:tbl>
    <w:p>
      <w:pPr>
        <w:widowControl/>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食堂油烟排放执行《饮食业油烟排放标准》（GB18483-2001）</w:t>
      </w:r>
      <w:r>
        <w:rPr>
          <w:rFonts w:hint="eastAsia" w:ascii="Times New Roman" w:hAnsi="Times New Roman" w:eastAsia="宋体" w:cs="Times New Roman"/>
          <w:color w:val="auto"/>
          <w:lang w:val="en-US" w:eastAsia="zh-CN"/>
        </w:rPr>
        <w:t>中大型规模排放标准。</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表</w:t>
      </w:r>
      <w:r>
        <w:rPr>
          <w:rFonts w:hint="eastAsia" w:ascii="Times New Roman" w:hAnsi="Times New Roman" w:eastAsia="宋体" w:cs="Times New Roman"/>
          <w:b/>
          <w:color w:val="auto"/>
          <w:sz w:val="21"/>
          <w:szCs w:val="21"/>
          <w:lang w:val="en-US" w:eastAsia="zh-CN" w:bidi="ar"/>
        </w:rPr>
        <w:t>2</w:t>
      </w:r>
      <w:r>
        <w:rPr>
          <w:rFonts w:hint="default" w:ascii="Times New Roman" w:hAnsi="Times New Roman" w:eastAsia="宋体" w:cs="Times New Roman"/>
          <w:b/>
          <w:color w:val="auto"/>
          <w:sz w:val="21"/>
          <w:szCs w:val="21"/>
          <w:lang w:bidi="ar"/>
        </w:rPr>
        <w:t>.5-</w:t>
      </w:r>
      <w:r>
        <w:rPr>
          <w:rFonts w:hint="eastAsia" w:ascii="Times New Roman" w:hAnsi="Times New Roman" w:eastAsia="宋体" w:cs="Times New Roman"/>
          <w:b/>
          <w:color w:val="auto"/>
          <w:sz w:val="21"/>
          <w:szCs w:val="21"/>
          <w:lang w:val="en-US" w:eastAsia="zh-CN" w:bidi="ar"/>
        </w:rPr>
        <w:t>11</w:t>
      </w:r>
      <w:r>
        <w:rPr>
          <w:rFonts w:hint="default" w:ascii="Times New Roman" w:hAnsi="Times New Roman" w:eastAsia="宋体" w:cs="Times New Roman"/>
          <w:b/>
          <w:color w:val="auto"/>
          <w:sz w:val="21"/>
          <w:szCs w:val="21"/>
          <w:lang w:bidi="ar"/>
        </w:rPr>
        <w:t>饮食业油烟排放标准</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7"/>
        <w:gridCol w:w="1650"/>
        <w:gridCol w:w="2023"/>
        <w:gridCol w:w="2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67"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规模</w:t>
            </w:r>
          </w:p>
        </w:tc>
        <w:tc>
          <w:tcPr>
            <w:tcW w:w="165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小型</w:t>
            </w:r>
          </w:p>
        </w:tc>
        <w:tc>
          <w:tcPr>
            <w:tcW w:w="202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中型</w:t>
            </w:r>
          </w:p>
        </w:tc>
        <w:tc>
          <w:tcPr>
            <w:tcW w:w="218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67"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最高允许排放浓度（mg/m</w:t>
            </w:r>
            <w:r>
              <w:rPr>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sz w:val="21"/>
                <w:szCs w:val="21"/>
                <w:lang w:bidi="ar"/>
              </w:rPr>
              <w:t>）</w:t>
            </w:r>
          </w:p>
        </w:tc>
        <w:tc>
          <w:tcPr>
            <w:tcW w:w="5853"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67"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净化设施最低去除效率（%）</w:t>
            </w:r>
          </w:p>
        </w:tc>
        <w:tc>
          <w:tcPr>
            <w:tcW w:w="1650"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60</w:t>
            </w:r>
          </w:p>
        </w:tc>
        <w:tc>
          <w:tcPr>
            <w:tcW w:w="2023"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75</w:t>
            </w:r>
          </w:p>
        </w:tc>
        <w:tc>
          <w:tcPr>
            <w:tcW w:w="2180" w:type="dxa"/>
            <w:shd w:val="clear" w:color="auto" w:fill="D7D7D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80</w:t>
            </w:r>
          </w:p>
        </w:tc>
      </w:tr>
    </w:tbl>
    <w:p>
      <w:pPr>
        <w:ind w:firstLine="480"/>
        <w:rPr>
          <w:color w:val="auto"/>
        </w:rPr>
      </w:pPr>
      <w:r>
        <w:rPr>
          <w:rFonts w:hAnsi="宋体"/>
          <w:color w:val="auto"/>
        </w:rPr>
        <w:t>（</w:t>
      </w:r>
      <w:r>
        <w:rPr>
          <w:rFonts w:hint="eastAsia"/>
          <w:color w:val="auto"/>
        </w:rPr>
        <w:t>3</w:t>
      </w:r>
      <w:r>
        <w:rPr>
          <w:rFonts w:hAnsi="宋体"/>
          <w:color w:val="auto"/>
        </w:rPr>
        <w:t>）噪声执行标准</w:t>
      </w:r>
    </w:p>
    <w:p>
      <w:pPr>
        <w:ind w:firstLine="480"/>
        <w:rPr>
          <w:rFonts w:hint="default" w:ascii="Times New Roman" w:hAnsi="Times New Roman" w:cs="Times New Roman"/>
          <w:color w:val="auto"/>
        </w:rPr>
      </w:pPr>
      <w:r>
        <w:rPr>
          <w:rFonts w:hint="eastAsia" w:hAnsi="宋体"/>
          <w:color w:val="auto"/>
        </w:rPr>
        <w:t>营</w:t>
      </w:r>
      <w:r>
        <w:rPr>
          <w:rFonts w:hint="default" w:ascii="Times New Roman" w:hAnsi="Times New Roman" w:cs="Times New Roman"/>
          <w:color w:val="auto"/>
        </w:rPr>
        <w:t>运期</w:t>
      </w:r>
      <w:r>
        <w:rPr>
          <w:rFonts w:hint="eastAsia" w:cs="Times New Roman"/>
          <w:color w:val="auto"/>
          <w:lang w:eastAsia="zh-CN"/>
        </w:rPr>
        <w:t>医院</w:t>
      </w:r>
      <w:r>
        <w:rPr>
          <w:rFonts w:hint="default" w:ascii="Times New Roman" w:hAnsi="Times New Roman" w:cs="Times New Roman"/>
          <w:color w:val="auto"/>
        </w:rPr>
        <w:t>噪声执行《工业企业厂界环境噪声排放标准》（GB12348</w:t>
      </w:r>
      <w:r>
        <w:rPr>
          <w:rFonts w:hint="default" w:ascii="Times New Roman" w:hAnsi="Times New Roman" w:cs="Times New Roman"/>
          <w:color w:val="auto"/>
          <w:lang w:val="en-US" w:eastAsia="zh-CN"/>
        </w:rPr>
        <w:t>-</w:t>
      </w:r>
      <w:r>
        <w:rPr>
          <w:rFonts w:hint="default" w:ascii="Times New Roman" w:hAnsi="Times New Roman" w:cs="Times New Roman"/>
          <w:color w:val="auto"/>
        </w:rPr>
        <w:t>2008）中2类标准。</w:t>
      </w:r>
    </w:p>
    <w:p>
      <w:pPr>
        <w:ind w:firstLine="422"/>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.5-</w:t>
      </w:r>
      <w:r>
        <w:rPr>
          <w:rFonts w:hint="eastAsia" w:ascii="Times New Roman" w:hAnsi="Times New Roman" w:cs="Times New Roman"/>
          <w:b/>
          <w:color w:val="auto"/>
          <w:sz w:val="21"/>
          <w:szCs w:val="21"/>
          <w:lang w:val="en-US" w:eastAsia="zh-CN"/>
        </w:rPr>
        <w:t>1</w:t>
      </w:r>
      <w:r>
        <w:rPr>
          <w:rFonts w:hint="eastAsia" w:cs="Times New Roman"/>
          <w:b/>
          <w:color w:val="auto"/>
          <w:sz w:val="21"/>
          <w:szCs w:val="21"/>
          <w:lang w:val="en-US" w:eastAsia="zh-CN"/>
        </w:rPr>
        <w:t>2</w:t>
      </w:r>
      <w:r>
        <w:rPr>
          <w:rFonts w:hint="default" w:ascii="Times New Roman" w:hAnsi="Times New Roman" w:cs="Times New Roman"/>
          <w:b/>
          <w:color w:val="auto"/>
          <w:sz w:val="21"/>
          <w:szCs w:val="21"/>
        </w:rPr>
        <w:t xml:space="preserve">  营运期噪声执行标准  </w:t>
      </w:r>
      <w:r>
        <w:rPr>
          <w:rFonts w:hint="default" w:ascii="Times New Roman" w:hAnsi="Times New Roman" w:cs="Times New Roman"/>
          <w:b/>
          <w:color w:val="auto"/>
          <w:sz w:val="21"/>
          <w:szCs w:val="21"/>
          <w:lang w:eastAsia="zh-CN"/>
        </w:rPr>
        <w:t>单位：</w:t>
      </w:r>
      <w:r>
        <w:rPr>
          <w:rFonts w:hint="default" w:ascii="Times New Roman" w:hAnsi="Times New Roman" w:cs="Times New Roman"/>
          <w:b/>
          <w:color w:val="auto"/>
          <w:sz w:val="21"/>
          <w:szCs w:val="21"/>
        </w:rPr>
        <w:t>dB（A）</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9"/>
        <w:gridCol w:w="1633"/>
        <w:gridCol w:w="1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9"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类别</w:t>
            </w:r>
          </w:p>
        </w:tc>
        <w:tc>
          <w:tcPr>
            <w:tcW w:w="1633"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昼间</w:t>
            </w:r>
          </w:p>
        </w:tc>
        <w:tc>
          <w:tcPr>
            <w:tcW w:w="1570"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9"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《工业企业厂界环境噪声排放标准》2类</w:t>
            </w:r>
          </w:p>
        </w:tc>
        <w:tc>
          <w:tcPr>
            <w:tcW w:w="1633"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60</w:t>
            </w:r>
          </w:p>
        </w:tc>
        <w:tc>
          <w:tcPr>
            <w:tcW w:w="1570" w:type="dxa"/>
            <w:noWrap w:val="0"/>
            <w:vAlign w:val="center"/>
          </w:tcPr>
          <w:p>
            <w:pPr>
              <w:pStyle w:val="89"/>
              <w:adjustRightInd/>
              <w:snapToGrid/>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50</w:t>
            </w:r>
          </w:p>
        </w:tc>
      </w:tr>
    </w:tbl>
    <w:p>
      <w:pPr>
        <w:ind w:firstLine="480"/>
        <w:rPr>
          <w:rFonts w:hint="default" w:ascii="Times New Roman" w:hAnsi="Times New Roman" w:cs="Times New Roman"/>
          <w:color w:val="auto"/>
        </w:rPr>
      </w:pPr>
      <w:r>
        <w:rPr>
          <w:rFonts w:hint="default" w:ascii="Times New Roman" w:hAnsi="Times New Roman" w:cs="Times New Roman"/>
          <w:color w:val="auto"/>
        </w:rPr>
        <w:t>施工期场界噪声执行《</w:t>
      </w:r>
      <w:r>
        <w:rPr>
          <w:rFonts w:hint="default" w:ascii="Times New Roman" w:hAnsi="Times New Roman" w:cs="Times New Roman"/>
          <w:bCs/>
          <w:color w:val="auto"/>
        </w:rPr>
        <w:t>建筑施工场界环境噪声排放标准</w:t>
      </w:r>
      <w:r>
        <w:rPr>
          <w:rFonts w:hint="default" w:ascii="Times New Roman" w:hAnsi="Times New Roman" w:cs="Times New Roman"/>
          <w:color w:val="auto"/>
        </w:rPr>
        <w:t>》（GB12523-2011）标准。</w:t>
      </w:r>
    </w:p>
    <w:p>
      <w:pPr>
        <w:spacing w:line="240" w:lineRule="auto"/>
        <w:ind w:firstLine="422"/>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.5-</w:t>
      </w:r>
      <w:r>
        <w:rPr>
          <w:rFonts w:hint="eastAsia" w:ascii="Times New Roman" w:hAnsi="Times New Roman" w:cs="Times New Roman"/>
          <w:b/>
          <w:color w:val="auto"/>
          <w:sz w:val="21"/>
          <w:szCs w:val="21"/>
          <w:lang w:val="en-US" w:eastAsia="zh-CN"/>
        </w:rPr>
        <w:t>1</w:t>
      </w:r>
      <w:r>
        <w:rPr>
          <w:rFonts w:hint="eastAsia" w:cs="Times New Roman"/>
          <w:b/>
          <w:color w:val="auto"/>
          <w:sz w:val="21"/>
          <w:szCs w:val="21"/>
          <w:lang w:val="en-US" w:eastAsia="zh-CN"/>
        </w:rPr>
        <w:t>3</w:t>
      </w:r>
      <w:r>
        <w:rPr>
          <w:rFonts w:hint="default" w:ascii="Times New Roman" w:hAnsi="Times New Roman" w:cs="Times New Roman"/>
          <w:b/>
          <w:color w:val="auto"/>
          <w:sz w:val="21"/>
          <w:szCs w:val="21"/>
        </w:rPr>
        <w:t xml:space="preserve"> 建筑施工场界噪声限值  Leq[dB(A)]</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7"/>
        <w:gridCol w:w="4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2"/>
            <w:noWrap w:val="0"/>
            <w:vAlign w:val="center"/>
          </w:tcPr>
          <w:p>
            <w:pPr>
              <w:pStyle w:val="89"/>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7" w:type="dxa"/>
            <w:noWrap w:val="0"/>
            <w:vAlign w:val="center"/>
          </w:tcPr>
          <w:p>
            <w:pPr>
              <w:pStyle w:val="89"/>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4275" w:type="dxa"/>
            <w:noWrap w:val="0"/>
            <w:vAlign w:val="center"/>
          </w:tcPr>
          <w:p>
            <w:pPr>
              <w:pStyle w:val="89"/>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7" w:type="dxa"/>
            <w:noWrap w:val="0"/>
            <w:vAlign w:val="center"/>
          </w:tcPr>
          <w:p>
            <w:pPr>
              <w:pStyle w:val="89"/>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4275" w:type="dxa"/>
            <w:noWrap w:val="0"/>
            <w:vAlign w:val="center"/>
          </w:tcPr>
          <w:p>
            <w:pPr>
              <w:pStyle w:val="89"/>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r>
    </w:tbl>
    <w:p>
      <w:pPr>
        <w:pageBreakBefore w:val="0"/>
        <w:widowControl w:val="0"/>
        <w:kinsoku/>
        <w:wordWrap/>
        <w:overflowPunct/>
        <w:topLinePunct w:val="0"/>
        <w:autoSpaceDE/>
        <w:autoSpaceDN/>
        <w:bidi w:val="0"/>
        <w:adjustRightInd/>
        <w:snapToGrid/>
        <w:spacing w:line="480" w:lineRule="exact"/>
        <w:ind w:right="0" w:rightChars="0" w:firstLine="480"/>
        <w:textAlignment w:val="auto"/>
        <w:rPr>
          <w:color w:val="auto"/>
        </w:rPr>
      </w:pPr>
      <w:r>
        <w:rPr>
          <w:rFonts w:hAnsi="宋体"/>
          <w:color w:val="auto"/>
        </w:rPr>
        <w:t>（</w:t>
      </w:r>
      <w:r>
        <w:rPr>
          <w:rFonts w:hint="eastAsia"/>
          <w:color w:val="auto"/>
        </w:rPr>
        <w:t>4</w:t>
      </w:r>
      <w:r>
        <w:rPr>
          <w:rFonts w:hAnsi="宋体"/>
          <w:color w:val="auto"/>
        </w:rPr>
        <w:t>）</w:t>
      </w:r>
      <w:r>
        <w:rPr>
          <w:rFonts w:hint="eastAsia" w:hAnsi="宋体"/>
          <w:color w:val="auto"/>
        </w:rPr>
        <w:t>固体废物</w:t>
      </w:r>
    </w:p>
    <w:p>
      <w:pPr>
        <w:bidi w:val="0"/>
        <w:rPr>
          <w:rFonts w:hint="default"/>
          <w:color w:val="auto"/>
        </w:rPr>
      </w:pPr>
      <w:r>
        <w:rPr>
          <w:rFonts w:hint="eastAsia"/>
          <w:color w:val="auto"/>
        </w:rPr>
        <w:t>一般固废执行《</w:t>
      </w:r>
      <w:r>
        <w:rPr>
          <w:color w:val="auto"/>
          <w:szCs w:val="21"/>
        </w:rPr>
        <w:t>一般工业固体废物贮存和填埋污染控制标准》（GB 18599-2020）</w:t>
      </w:r>
      <w:r>
        <w:rPr>
          <w:rFonts w:hint="eastAsia" w:cs="宋体"/>
          <w:color w:val="auto"/>
          <w:lang w:eastAsia="zh-CN"/>
        </w:rPr>
        <w:t>；</w:t>
      </w:r>
      <w:r>
        <w:rPr>
          <w:rFonts w:hint="eastAsia"/>
          <w:color w:val="auto"/>
        </w:rPr>
        <w:t>危险废物执行《危险废物贮存污染控制标准》（GB18597-2001）及2013年修改单中的有关规定。污水处理站污泥要求满足</w:t>
      </w:r>
      <w:r>
        <w:rPr>
          <w:color w:val="auto"/>
        </w:rPr>
        <w:t>《医疗机构水污染物排放标准》（GB18466-2005）表4</w:t>
      </w:r>
      <w:r>
        <w:rPr>
          <w:rFonts w:hint="eastAsia"/>
          <w:color w:val="auto"/>
        </w:rPr>
        <w:t>综合医疗机构和其他医疗机构污泥控制标准值。</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rPr>
      </w:pPr>
      <w:r>
        <w:rPr>
          <w:rFonts w:hint="default"/>
          <w:b/>
          <w:bCs/>
          <w:color w:val="auto"/>
          <w:sz w:val="21"/>
          <w:szCs w:val="21"/>
        </w:rPr>
        <w:t>表</w:t>
      </w:r>
      <w:r>
        <w:rPr>
          <w:rFonts w:hint="eastAsia"/>
          <w:b/>
          <w:bCs/>
          <w:color w:val="auto"/>
          <w:sz w:val="21"/>
          <w:szCs w:val="21"/>
          <w:lang w:val="en-US" w:eastAsia="zh-CN"/>
        </w:rPr>
        <w:t>2</w:t>
      </w:r>
      <w:r>
        <w:rPr>
          <w:rFonts w:hint="default"/>
          <w:b/>
          <w:bCs/>
          <w:color w:val="auto"/>
          <w:sz w:val="21"/>
          <w:szCs w:val="21"/>
        </w:rPr>
        <w:t>.5-</w:t>
      </w:r>
      <w:r>
        <w:rPr>
          <w:rFonts w:hint="eastAsia"/>
          <w:b/>
          <w:bCs/>
          <w:color w:val="auto"/>
          <w:sz w:val="21"/>
          <w:szCs w:val="21"/>
          <w:lang w:val="en-US" w:eastAsia="zh-CN"/>
        </w:rPr>
        <w:t xml:space="preserve">14 </w:t>
      </w:r>
      <w:r>
        <w:rPr>
          <w:rFonts w:hint="default"/>
          <w:b/>
          <w:bCs/>
          <w:color w:val="auto"/>
          <w:sz w:val="21"/>
          <w:szCs w:val="21"/>
        </w:rPr>
        <w:t>医疗机构污泥控制标准</w:t>
      </w:r>
    </w:p>
    <w:tbl>
      <w:tblPr>
        <w:tblStyle w:val="48"/>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96"/>
        <w:gridCol w:w="2622"/>
        <w:gridCol w:w="27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医疗机构类别</w:t>
            </w:r>
          </w:p>
        </w:tc>
        <w:tc>
          <w:tcPr>
            <w:tcW w:w="26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粪大肠菌群（MPN/g）</w:t>
            </w:r>
          </w:p>
        </w:tc>
        <w:tc>
          <w:tcPr>
            <w:tcW w:w="27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蛔虫卵死亡率（%）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综合医疗机构和其他医疗机构</w:t>
            </w:r>
          </w:p>
        </w:tc>
        <w:tc>
          <w:tcPr>
            <w:tcW w:w="26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≤100</w:t>
            </w:r>
          </w:p>
        </w:tc>
        <w:tc>
          <w:tcPr>
            <w:tcW w:w="27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rPr>
              <w:t>&gt;95</w:t>
            </w:r>
          </w:p>
        </w:tc>
      </w:tr>
    </w:tbl>
    <w:p>
      <w:pPr>
        <w:pStyle w:val="4"/>
        <w:pageBreakBefore w:val="0"/>
        <w:widowControl w:val="0"/>
        <w:kinsoku/>
        <w:wordWrap/>
        <w:overflowPunct/>
        <w:topLinePunct w:val="0"/>
        <w:autoSpaceDE/>
        <w:autoSpaceDN/>
        <w:bidi w:val="0"/>
        <w:adjustRightInd/>
        <w:snapToGrid/>
        <w:spacing w:before="0" w:after="0" w:line="360" w:lineRule="auto"/>
        <w:ind w:right="0" w:rightChars="0"/>
        <w:textAlignment w:val="auto"/>
        <w:rPr>
          <w:rFonts w:hint="eastAsia"/>
          <w:color w:val="auto"/>
        </w:rPr>
      </w:pPr>
      <w:bookmarkStart w:id="22" w:name="_Toc13789"/>
      <w:r>
        <w:rPr>
          <w:rFonts w:hint="eastAsia"/>
          <w:color w:val="auto"/>
        </w:rPr>
        <w:t>评价时段</w:t>
      </w:r>
      <w:bookmarkEnd w:id="22"/>
    </w:p>
    <w:p>
      <w:pPr>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rFonts w:hAnsi="宋体"/>
          <w:bCs/>
          <w:color w:val="auto"/>
        </w:rPr>
        <w:t>本次评价时段包括</w:t>
      </w:r>
      <w:r>
        <w:rPr>
          <w:rFonts w:hint="eastAsia" w:hAnsi="宋体"/>
          <w:bCs/>
          <w:color w:val="auto"/>
        </w:rPr>
        <w:t>项目</w:t>
      </w:r>
      <w:r>
        <w:rPr>
          <w:rFonts w:hAnsi="宋体"/>
          <w:bCs/>
          <w:color w:val="auto"/>
        </w:rPr>
        <w:t>施工期和建成后的营运期</w:t>
      </w:r>
      <w:r>
        <w:rPr>
          <w:color w:val="auto"/>
        </w:rPr>
        <w:t>。</w:t>
      </w:r>
    </w:p>
    <w:p>
      <w:pPr>
        <w:pStyle w:val="4"/>
        <w:pageBreakBefore w:val="0"/>
        <w:widowControl w:val="0"/>
        <w:kinsoku/>
        <w:wordWrap/>
        <w:overflowPunct/>
        <w:topLinePunct w:val="0"/>
        <w:autoSpaceDE/>
        <w:autoSpaceDN/>
        <w:bidi w:val="0"/>
        <w:adjustRightInd/>
        <w:snapToGrid/>
        <w:spacing w:before="0" w:after="0" w:line="360" w:lineRule="auto"/>
        <w:ind w:left="0" w:right="0" w:rightChars="0"/>
        <w:textAlignment w:val="auto"/>
        <w:rPr>
          <w:rFonts w:hint="eastAsia"/>
          <w:color w:val="auto"/>
        </w:rPr>
      </w:pPr>
      <w:bookmarkStart w:id="23" w:name="_Toc2236"/>
      <w:r>
        <w:rPr>
          <w:rFonts w:hint="eastAsia"/>
          <w:color w:val="auto"/>
          <w:lang w:eastAsia="zh-CN"/>
        </w:rPr>
        <w:t>选址及</w:t>
      </w:r>
      <w:r>
        <w:rPr>
          <w:rFonts w:hint="eastAsia"/>
          <w:color w:val="auto"/>
        </w:rPr>
        <w:t>环境功能区划</w:t>
      </w:r>
      <w:r>
        <w:rPr>
          <w:rFonts w:hint="eastAsia"/>
          <w:color w:val="auto"/>
          <w:lang w:eastAsia="zh-CN"/>
        </w:rPr>
        <w:t>相符性分析</w:t>
      </w:r>
      <w:bookmarkEnd w:id="23"/>
    </w:p>
    <w:p>
      <w:pPr>
        <w:pStyle w:val="5"/>
        <w:keepNext/>
        <w:keepLines/>
        <w:pageBreakBefore w:val="0"/>
        <w:widowControl w:val="0"/>
        <w:kinsoku/>
        <w:wordWrap/>
        <w:overflowPunct/>
        <w:topLinePunct w:val="0"/>
        <w:autoSpaceDE/>
        <w:autoSpaceDN/>
        <w:bidi w:val="0"/>
        <w:adjustRightInd/>
        <w:snapToGrid/>
        <w:spacing w:before="0" w:beforeLines="0" w:line="360" w:lineRule="auto"/>
        <w:ind w:left="0" w:right="0" w:rightChars="0" w:firstLine="0" w:firstLineChars="0"/>
        <w:textAlignment w:val="auto"/>
        <w:rPr>
          <w:rFonts w:hint="eastAsia"/>
          <w:color w:val="auto"/>
        </w:rPr>
      </w:pPr>
      <w:bookmarkStart w:id="24" w:name="_Toc240037562"/>
      <w:bookmarkStart w:id="25" w:name="_Toc295208876"/>
      <w:bookmarkStart w:id="26" w:name="_Toc239747066"/>
      <w:bookmarkStart w:id="27" w:name="_Toc289178753"/>
      <w:bookmarkStart w:id="28" w:name="_Toc283891855"/>
      <w:bookmarkStart w:id="29" w:name="_Toc296175993"/>
      <w:r>
        <w:rPr>
          <w:rFonts w:hint="eastAsia"/>
          <w:color w:val="auto"/>
        </w:rPr>
        <w:t>选址符合性分析</w:t>
      </w:r>
    </w:p>
    <w:p>
      <w:pPr>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bCs/>
          <w:color w:val="auto"/>
          <w:highlight w:val="none"/>
          <w:lang w:val="en-US" w:eastAsia="zh-CN"/>
        </w:rPr>
      </w:pPr>
      <w:r>
        <w:rPr>
          <w:rFonts w:hint="eastAsia"/>
          <w:bCs/>
          <w:color w:val="auto"/>
          <w:highlight w:val="none"/>
          <w:lang w:val="en-US" w:eastAsia="zh-CN"/>
        </w:rPr>
        <w:t>（1）周边环境相容性：</w:t>
      </w:r>
    </w:p>
    <w:p>
      <w:pPr>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bCs/>
          <w:color w:val="auto"/>
          <w:highlight w:val="none"/>
          <w:lang w:eastAsia="zh-CN"/>
        </w:rPr>
      </w:pPr>
      <w:r>
        <w:rPr>
          <w:rFonts w:hint="eastAsia"/>
          <w:bCs/>
          <w:color w:val="auto"/>
          <w:highlight w:val="none"/>
          <w:lang w:val="en-US" w:eastAsia="zh-CN"/>
        </w:rPr>
        <w:t>项目</w:t>
      </w:r>
      <w:r>
        <w:rPr>
          <w:rFonts w:hint="eastAsia"/>
          <w:bCs/>
          <w:color w:val="auto"/>
          <w:highlight w:val="none"/>
        </w:rPr>
        <w:t>地块东侧</w:t>
      </w:r>
      <w:r>
        <w:rPr>
          <w:rFonts w:hint="eastAsia"/>
          <w:bCs/>
          <w:color w:val="auto"/>
          <w:highlight w:val="none"/>
          <w:lang w:val="en-US" w:eastAsia="zh-CN"/>
        </w:rPr>
        <w:t>隔江苏路为空地和滨湖医院项目办，南侧隔扬子江路为安徽省立医院老年医学康复中心，西侧隔安徽路为郡和府（在建小区），北侧隔空地为锦绣大道。</w:t>
      </w:r>
      <w:r>
        <w:rPr>
          <w:rFonts w:hint="eastAsia"/>
          <w:color w:val="auto"/>
          <w:highlight w:val="none"/>
          <w:lang w:val="en-US" w:eastAsia="zh-CN"/>
        </w:rPr>
        <w:t>项目</w:t>
      </w:r>
      <w:r>
        <w:rPr>
          <w:rFonts w:hint="eastAsia" w:eastAsia="宋体"/>
          <w:color w:val="auto"/>
          <w:highlight w:val="none"/>
          <w:lang w:eastAsia="zh-CN"/>
        </w:rPr>
        <w:t>四周均为住宅用地、</w:t>
      </w:r>
      <w:r>
        <w:rPr>
          <w:rFonts w:hint="eastAsia"/>
          <w:color w:val="auto"/>
          <w:highlight w:val="none"/>
          <w:lang w:val="en-US" w:eastAsia="zh-CN"/>
        </w:rPr>
        <w:t>医疗</w:t>
      </w:r>
      <w:r>
        <w:rPr>
          <w:rFonts w:hint="eastAsia" w:eastAsia="宋体"/>
          <w:color w:val="auto"/>
          <w:highlight w:val="none"/>
          <w:lang w:eastAsia="zh-CN"/>
        </w:rPr>
        <w:t>用地等</w:t>
      </w:r>
      <w:r>
        <w:rPr>
          <w:rFonts w:hint="eastAsia"/>
          <w:bCs/>
          <w:color w:val="auto"/>
          <w:highlight w:val="none"/>
        </w:rPr>
        <w:t>，与本项目相容。</w:t>
      </w:r>
      <w:r>
        <w:rPr>
          <w:rFonts w:hint="eastAsia"/>
          <w:bCs/>
          <w:color w:val="auto"/>
          <w:highlight w:val="none"/>
          <w:lang w:eastAsia="zh-CN"/>
        </w:rPr>
        <w:t>建设项目周边概况详见图</w:t>
      </w:r>
      <w:r>
        <w:rPr>
          <w:rFonts w:hint="eastAsia"/>
          <w:bCs/>
          <w:color w:val="auto"/>
          <w:highlight w:val="none"/>
          <w:lang w:val="en-US" w:eastAsia="zh-CN"/>
        </w:rPr>
        <w:t>3</w:t>
      </w:r>
      <w:r>
        <w:rPr>
          <w:rFonts w:hint="eastAsia"/>
          <w:bCs/>
          <w:color w:val="auto"/>
          <w:highlight w:val="none"/>
          <w:lang w:eastAsia="zh-CN"/>
        </w:rPr>
        <w:t>.1-2 。</w:t>
      </w:r>
    </w:p>
    <w:p>
      <w:pPr>
        <w:pStyle w:val="30"/>
        <w:numPr>
          <w:ilvl w:val="0"/>
          <w:numId w:val="7"/>
        </w:numPr>
        <w:spacing w:line="360" w:lineRule="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选址合理性</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位于合肥市滨湖新区锦绣大道与江苏路交口西南侧，根据建设项目选址意见书（详见附件4，用字第340111202200047）及安徽省卫生健康委员会“关于安徽省立医院（中国科大附一院）滨湖院区项目的批复”（详见附件3）</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合肥市城市总体规划（2011-2020年）</w:t>
      </w:r>
      <w:r>
        <w:rPr>
          <w:rFonts w:hint="eastAsia" w:ascii="Times New Roman" w:hAnsi="Times New Roman" w:eastAsia="宋体" w:cs="Times New Roman"/>
          <w:bCs/>
          <w:color w:val="auto"/>
          <w:kern w:val="2"/>
          <w:sz w:val="24"/>
          <w:szCs w:val="24"/>
          <w:highlight w:val="none"/>
          <w:lang w:val="en-US" w:eastAsia="zh-CN" w:bidi="ar-SA"/>
        </w:rPr>
        <w:t>》可知</w:t>
      </w:r>
      <w:r>
        <w:rPr>
          <w:rFonts w:hint="eastAsia" w:cs="Times New Roman"/>
          <w:bCs/>
          <w:color w:val="auto"/>
          <w:kern w:val="2"/>
          <w:sz w:val="24"/>
          <w:szCs w:val="24"/>
          <w:highlight w:val="none"/>
          <w:lang w:val="en-US" w:eastAsia="zh-CN" w:bidi="ar-SA"/>
        </w:rPr>
        <w:t>（详见图2.7-1）</w:t>
      </w:r>
      <w:r>
        <w:rPr>
          <w:rFonts w:hint="eastAsia" w:ascii="Times New Roman" w:hAnsi="Times New Roman" w:eastAsia="宋体" w:cs="Times New Roman"/>
          <w:bCs/>
          <w:color w:val="auto"/>
          <w:kern w:val="2"/>
          <w:sz w:val="24"/>
          <w:szCs w:val="24"/>
          <w:highlight w:val="none"/>
          <w:lang w:val="en-US" w:eastAsia="zh-CN" w:bidi="ar-SA"/>
        </w:rPr>
        <w:t>，建设项目地块属于规划中的医疗卫生用地，该项目地块用地性质为医疗卫生用地，因此本项目用地性质符合要求</w:t>
      </w:r>
      <w:r>
        <w:rPr>
          <w:rFonts w:hint="eastAsia" w:cs="Times New Roman"/>
          <w:bCs/>
          <w:color w:val="auto"/>
          <w:kern w:val="2"/>
          <w:sz w:val="24"/>
          <w:szCs w:val="24"/>
          <w:highlight w:val="none"/>
          <w:lang w:val="en-US" w:eastAsia="zh-CN" w:bidi="ar-SA"/>
        </w:rPr>
        <w:t>；项目运营后周边为住宅和医疗用地，周边环境状况良好，没有对本项目产生不良环境影响的工业企业等污染源，且项目区域附近交通便利，资源供给充足，本项目的选址是合理的</w:t>
      </w:r>
      <w:r>
        <w:rPr>
          <w:rFonts w:hint="eastAsia" w:ascii="Times New Roman" w:hAnsi="Times New Roman" w:eastAsia="宋体" w:cs="Times New Roman"/>
          <w:bCs/>
          <w:color w:val="auto"/>
          <w:kern w:val="2"/>
          <w:sz w:val="24"/>
          <w:szCs w:val="24"/>
          <w:highlight w:val="none"/>
          <w:lang w:val="en-US" w:eastAsia="zh-CN" w:bidi="ar-SA"/>
        </w:rPr>
        <w:t>。</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sectPr>
          <w:footerReference r:id="rId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cs="Times New Roman"/>
          <w:bCs/>
          <w:color w:val="auto"/>
          <w:kern w:val="2"/>
          <w:sz w:val="24"/>
          <w:szCs w:val="24"/>
          <w:highlight w:val="none"/>
          <w:lang w:val="en-US" w:eastAsia="zh-CN" w:bidi="ar-SA"/>
        </w:rPr>
        <w:sectPr>
          <w:pgSz w:w="16838" w:h="23811"/>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47328" behindDoc="0" locked="0" layoutInCell="1" allowOverlap="1">
                <wp:simplePos x="0" y="0"/>
                <wp:positionH relativeFrom="column">
                  <wp:posOffset>2630170</wp:posOffset>
                </wp:positionH>
                <wp:positionV relativeFrom="paragraph">
                  <wp:posOffset>9058275</wp:posOffset>
                </wp:positionV>
                <wp:extent cx="344805" cy="238125"/>
                <wp:effectExtent l="12700" t="12700" r="23495" b="15875"/>
                <wp:wrapNone/>
                <wp:docPr id="65" name="五角星 65"/>
                <wp:cNvGraphicFramePr/>
                <a:graphic xmlns:a="http://schemas.openxmlformats.org/drawingml/2006/main">
                  <a:graphicData uri="http://schemas.microsoft.com/office/word/2010/wordprocessingShape">
                    <wps:wsp>
                      <wps:cNvSpPr/>
                      <wps:spPr>
                        <a:xfrm>
                          <a:off x="3535045" y="10055860"/>
                          <a:ext cx="344805" cy="23812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7.1pt;margin-top:713.25pt;height:18.75pt;width:27.15pt;z-index:251747328;v-text-anchor:middle;mso-width-relative:page;mso-height-relative:page;" fillcolor="#4F81BD [3204]" filled="t" stroked="t" coordsize="344805,238125" o:gfxdata="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vZX9qdsAAAAN&#10;AQAADwAAAAAAAAABACAAAAAiAAAAZHJzL2Rvd25yZXYueG1sUEsBAhQAFAAAAAgAh07iQFIhir6L&#10;AgAAEAUAAA4AAAAAAAAAAQAgAAAAKgEAAGRycy9lMm9Eb2MueG1sUEsFBgAAAAAGAAYAWQEAACcG&#10;AAAAAA==&#10;" path="m0,90955l131704,90956,172402,0,213100,90956,344804,90955,238253,147168,278952,238124,172402,181910,65852,238124,106551,147168xe">
                <v:path o:connectlocs="172402,0;0,90955;65852,238124;278952,238124;344804,90955" o:connectangles="247,164,82,82,0"/>
                <v:fill on="t" focussize="0,0"/>
                <v:stroke weight="2pt" color="#385D8A [3204]" joinstyle="round"/>
                <v:imagedata o:title=""/>
                <o:lock v:ext="edit" aspectratio="f"/>
              </v:shape>
            </w:pict>
          </mc:Fallback>
        </mc:AlternateContent>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2784475</wp:posOffset>
                </wp:positionH>
                <wp:positionV relativeFrom="paragraph">
                  <wp:posOffset>8461375</wp:posOffset>
                </wp:positionV>
                <wp:extent cx="3745230" cy="727710"/>
                <wp:effectExtent l="0" t="20320" r="7620" b="71120"/>
                <wp:wrapNone/>
                <wp:docPr id="62" name="直接箭头连接符 62"/>
                <wp:cNvGraphicFramePr/>
                <a:graphic xmlns:a="http://schemas.openxmlformats.org/drawingml/2006/main">
                  <a:graphicData uri="http://schemas.microsoft.com/office/word/2010/wordprocessingShape">
                    <wps:wsp>
                      <wps:cNvCnPr/>
                      <wps:spPr>
                        <a:xfrm flipH="1">
                          <a:off x="3927475" y="9375775"/>
                          <a:ext cx="3745230" cy="727710"/>
                        </a:xfrm>
                        <a:prstGeom prst="straightConnector1">
                          <a:avLst/>
                        </a:prstGeom>
                        <a:ln w="412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19.25pt;margin-top:666.25pt;height:57.3pt;width:294.9pt;z-index:251746304;mso-width-relative:page;mso-height-relative:page;" filled="f" stroked="t" coordsize="21600,21600" o:gfxdata="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7q3z2gAAAA4BAAAP&#10;AAAAAAAAAAEAIAAAACIAAABkcnMvZG93bnJldi54bWxQSwECFAAUAAAACACHTuJA4oqjvhYCAADl&#10;AwAADgAAAAAAAAABACAAAAApAQAAZHJzL2Uyb0RvYy54bWxQSwUGAAAAAAYABgBZAQAAsQUAAAAA&#10;">
                <v:fill on="f" focussize="0,0"/>
                <v:stroke weight="3.25pt" color="#FF0000 [3204]" joinstyle="round" endarrow="open"/>
                <v:imagedata o:title=""/>
                <o:lock v:ext="edit" aspectratio="f"/>
              </v:shape>
            </w:pict>
          </mc:Fallback>
        </mc:AlternateContent>
      </w:r>
      <w:r>
        <w:rPr>
          <w:rFonts w:hint="eastAsia" w:eastAsiaTheme="minorEastAsia"/>
          <w:color w:val="auto"/>
          <w:lang w:eastAsia="zh-CN"/>
        </w:rPr>
        <w:drawing>
          <wp:anchor distT="0" distB="0" distL="114300" distR="114300" simplePos="0" relativeHeight="251745280" behindDoc="0" locked="0" layoutInCell="1" allowOverlap="1">
            <wp:simplePos x="0" y="0"/>
            <wp:positionH relativeFrom="column">
              <wp:posOffset>654685</wp:posOffset>
            </wp:positionH>
            <wp:positionV relativeFrom="page">
              <wp:posOffset>8665210</wp:posOffset>
            </wp:positionV>
            <wp:extent cx="4581525" cy="3590925"/>
            <wp:effectExtent l="0" t="0" r="9525" b="9525"/>
            <wp:wrapNone/>
            <wp:docPr id="13" name="图片 13" descr="2023010509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30105091320"/>
                    <pic:cNvPicPr>
                      <a:picLocks noChangeAspect="1"/>
                    </pic:cNvPicPr>
                  </pic:nvPicPr>
                  <pic:blipFill>
                    <a:blip r:embed="rId18"/>
                    <a:stretch>
                      <a:fillRect/>
                    </a:stretch>
                  </pic:blipFill>
                  <pic:spPr>
                    <a:xfrm>
                      <a:off x="0" y="0"/>
                      <a:ext cx="4581525" cy="3590925"/>
                    </a:xfrm>
                    <a:prstGeom prst="rect">
                      <a:avLst/>
                    </a:prstGeom>
                  </pic:spPr>
                </pic:pic>
              </a:graphicData>
            </a:graphic>
          </wp:anchor>
        </w:drawing>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274320</wp:posOffset>
                </wp:positionH>
                <wp:positionV relativeFrom="paragraph">
                  <wp:posOffset>12767945</wp:posOffset>
                </wp:positionV>
                <wp:extent cx="8401050" cy="409575"/>
                <wp:effectExtent l="0" t="0" r="0" b="0"/>
                <wp:wrapNone/>
                <wp:docPr id="25" name="文本框 725"/>
                <wp:cNvGraphicFramePr/>
                <a:graphic xmlns:a="http://schemas.openxmlformats.org/drawingml/2006/main">
                  <a:graphicData uri="http://schemas.microsoft.com/office/word/2010/wordprocessingShape">
                    <wps:wsp>
                      <wps:cNvSpPr txBox="1"/>
                      <wps:spPr>
                        <a:xfrm>
                          <a:off x="0" y="0"/>
                          <a:ext cx="8401050" cy="409575"/>
                        </a:xfrm>
                        <a:prstGeom prst="rect">
                          <a:avLst/>
                        </a:prstGeom>
                        <a:noFill/>
                        <a:ln>
                          <a:noFill/>
                        </a:ln>
                      </wps:spPr>
                      <wps:txbx>
                        <w:txbxContent>
                          <w:p>
                            <w:pPr>
                              <w:ind w:left="0" w:leftChars="0" w:firstLine="0" w:firstLineChars="0"/>
                              <w:jc w:val="center"/>
                              <w:rPr>
                                <w:b/>
                                <w:bCs/>
                                <w:sz w:val="21"/>
                                <w:szCs w:val="21"/>
                              </w:rPr>
                            </w:pPr>
                            <w:r>
                              <w:rPr>
                                <w:rFonts w:hint="eastAsia" w:hAnsi="宋体"/>
                                <w:b/>
                                <w:bCs/>
                                <w:color w:val="auto"/>
                                <w:sz w:val="21"/>
                                <w:szCs w:val="21"/>
                                <w:lang w:eastAsia="zh-CN"/>
                              </w:rPr>
                              <w:t>图</w:t>
                            </w:r>
                            <w:r>
                              <w:rPr>
                                <w:rFonts w:hint="eastAsia" w:hAnsi="宋体"/>
                                <w:b/>
                                <w:bCs/>
                                <w:color w:val="auto"/>
                                <w:sz w:val="21"/>
                                <w:szCs w:val="21"/>
                                <w:lang w:val="en-US" w:eastAsia="zh-CN"/>
                              </w:rPr>
                              <w:t>2.7-1 合肥市城市</w:t>
                            </w:r>
                            <w:r>
                              <w:rPr>
                                <w:rFonts w:hint="eastAsia" w:hAnsi="宋体"/>
                                <w:b/>
                                <w:bCs/>
                                <w:color w:val="auto"/>
                                <w:sz w:val="21"/>
                                <w:szCs w:val="21"/>
                                <w:lang w:eastAsia="zh-CN"/>
                              </w:rPr>
                              <w:t>总体规划图</w:t>
                            </w:r>
                          </w:p>
                        </w:txbxContent>
                      </wps:txbx>
                      <wps:bodyPr vert="horz" wrap="square" anchor="t" anchorCtr="0" upright="1"/>
                    </wps:wsp>
                  </a:graphicData>
                </a:graphic>
              </wp:anchor>
            </w:drawing>
          </mc:Choice>
          <mc:Fallback>
            <w:pict>
              <v:shape id="文本框 725" o:spid="_x0000_s1026" o:spt="202" type="#_x0000_t202" style="position:absolute;left:0pt;margin-left:21.6pt;margin-top:1005.35pt;height:32.25pt;width:661.5pt;z-index:251699200;mso-width-relative:page;mso-height-relative:page;" filled="f" stroked="f" coordsize="21600,21600" o:gfxdata="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cUCWN2AAAAA0BAAAPAAAAAAAAAAEAIAAAACIAAABk&#10;cnMvZG93bnJldi54bWxQSwECFAAUAAAACACHTuJAKRjlrs0BAACEAwAADgAAAAAAAAABACAAAAAn&#10;AQAAZHJzL2Uyb0RvYy54bWxQSwUGAAAAAAYABgBZAQAAZgUAAAAA&#10;">
                <v:fill on="f" focussize="0,0"/>
                <v:stroke on="f"/>
                <v:imagedata o:title=""/>
                <o:lock v:ext="edit" aspectratio="f"/>
                <v:textbox>
                  <w:txbxContent>
                    <w:p>
                      <w:pPr>
                        <w:ind w:left="0" w:leftChars="0" w:firstLine="0" w:firstLineChars="0"/>
                        <w:jc w:val="center"/>
                        <w:rPr>
                          <w:b/>
                          <w:bCs/>
                          <w:sz w:val="21"/>
                          <w:szCs w:val="21"/>
                        </w:rPr>
                      </w:pPr>
                      <w:r>
                        <w:rPr>
                          <w:rFonts w:hint="eastAsia" w:hAnsi="宋体"/>
                          <w:b/>
                          <w:bCs/>
                          <w:color w:val="auto"/>
                          <w:sz w:val="21"/>
                          <w:szCs w:val="21"/>
                          <w:lang w:eastAsia="zh-CN"/>
                        </w:rPr>
                        <w:t>图</w:t>
                      </w:r>
                      <w:r>
                        <w:rPr>
                          <w:rFonts w:hint="eastAsia" w:hAnsi="宋体"/>
                          <w:b/>
                          <w:bCs/>
                          <w:color w:val="auto"/>
                          <w:sz w:val="21"/>
                          <w:szCs w:val="21"/>
                          <w:lang w:val="en-US" w:eastAsia="zh-CN"/>
                        </w:rPr>
                        <w:t>2.7-1 合肥市城市</w:t>
                      </w:r>
                      <w:r>
                        <w:rPr>
                          <w:rFonts w:hint="eastAsia" w:hAnsi="宋体"/>
                          <w:b/>
                          <w:bCs/>
                          <w:color w:val="auto"/>
                          <w:sz w:val="21"/>
                          <w:szCs w:val="21"/>
                          <w:lang w:eastAsia="zh-CN"/>
                        </w:rPr>
                        <w:t>总体规划图</w:t>
                      </w:r>
                    </w:p>
                  </w:txbxContent>
                </v:textbox>
              </v:shape>
            </w:pict>
          </mc:Fallback>
        </mc:AlternateContent>
      </w:r>
      <w:r>
        <w:rPr>
          <w:rFonts w:hint="eastAsia" w:eastAsiaTheme="minorEastAsia"/>
          <w:color w:val="auto"/>
          <w:lang w:eastAsia="zh-CN"/>
        </w:rPr>
        <w:drawing>
          <wp:inline distT="0" distB="0" distL="114300" distR="114300">
            <wp:extent cx="8607425" cy="12818745"/>
            <wp:effectExtent l="0" t="0" r="3175" b="1905"/>
            <wp:docPr id="8" name="图片 8" descr="4057A3AE0EE5F47CC06D07F5A734C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057A3AE0EE5F47CC06D07F5A734C2A0"/>
                    <pic:cNvPicPr>
                      <a:picLocks noChangeAspect="1"/>
                    </pic:cNvPicPr>
                  </pic:nvPicPr>
                  <pic:blipFill>
                    <a:blip r:embed="rId19"/>
                    <a:stretch>
                      <a:fillRect/>
                    </a:stretch>
                  </pic:blipFill>
                  <pic:spPr>
                    <a:xfrm>
                      <a:off x="0" y="0"/>
                      <a:ext cx="8607425" cy="12818745"/>
                    </a:xfrm>
                    <a:prstGeom prst="rect">
                      <a:avLst/>
                    </a:prstGeom>
                  </pic:spPr>
                </pic:pic>
              </a:graphicData>
            </a:graphic>
          </wp:inline>
        </w:drawing>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3208655</wp:posOffset>
                </wp:positionH>
                <wp:positionV relativeFrom="paragraph">
                  <wp:posOffset>4945380</wp:posOffset>
                </wp:positionV>
                <wp:extent cx="4274820" cy="1088390"/>
                <wp:effectExtent l="12700" t="12700" r="17780" b="2404110"/>
                <wp:wrapNone/>
                <wp:docPr id="24" name="矩形标注 24"/>
                <wp:cNvGraphicFramePr/>
                <a:graphic xmlns:a="http://schemas.openxmlformats.org/drawingml/2006/main">
                  <a:graphicData uri="http://schemas.microsoft.com/office/word/2010/wordprocessingShape">
                    <wps:wsp>
                      <wps:cNvSpPr/>
                      <wps:spPr>
                        <a:xfrm>
                          <a:off x="0" y="0"/>
                          <a:ext cx="4274820" cy="1088390"/>
                        </a:xfrm>
                        <a:prstGeom prst="wedgeRectCallout">
                          <a:avLst>
                            <a:gd name="adj1" fmla="val 28683"/>
                            <a:gd name="adj2" fmla="val 268903"/>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000000" w:themeColor="text1"/>
                                <w:sz w:val="44"/>
                                <w:szCs w:val="44"/>
                                <w:lang w:eastAsia="zh-CN"/>
                                <w14:textFill>
                                  <w14:solidFill>
                                    <w14:schemeClr w14:val="tx1"/>
                                  </w14:solidFill>
                                </w14:textFill>
                              </w:rPr>
                            </w:pPr>
                            <w:r>
                              <w:rPr>
                                <w:rFonts w:hint="eastAsia"/>
                                <w:b/>
                                <w:bCs/>
                                <w:color w:val="000000" w:themeColor="text1"/>
                                <w:sz w:val="44"/>
                                <w:szCs w:val="44"/>
                                <w:lang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2.65pt;margin-top:389.4pt;height:85.7pt;width:336.6pt;z-index:251698176;v-text-anchor:middle;mso-width-relative:page;mso-height-relative:page;" fillcolor="#4F81BD [3204]" filled="t" stroked="t" coordsize="21600,21600" o:gfxdata="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BLTlfNcAAAAMAQAADwAAAAAAAAABACAAAAAi&#10;AAAAZHJzL2Rvd25yZXYueG1sUEsBAhQAFAAAAAgAh07iQNtUega2AgAAcAUAAA4AAAAAAAAAAQAg&#10;AAAAJgEAAGRycy9lMm9Eb2MueG1sUEsFBgAAAAAGAAYAWQEAAE4GAAAAAA==&#10;" adj="16996,68883">
                <v:fill on="t" focussize="0,0"/>
                <v:stroke weight="2pt" color="#385D8A [3204]" joinstyle="round"/>
                <v:imagedata o:title=""/>
                <o:lock v:ext="edit" aspectratio="f"/>
                <v:textbox>
                  <w:txbxContent>
                    <w:p>
                      <w:pPr>
                        <w:jc w:val="center"/>
                        <w:rPr>
                          <w:rFonts w:hint="eastAsia" w:eastAsiaTheme="minorEastAsia"/>
                          <w:b/>
                          <w:bCs/>
                          <w:color w:val="000000" w:themeColor="text1"/>
                          <w:sz w:val="44"/>
                          <w:szCs w:val="44"/>
                          <w:lang w:eastAsia="zh-CN"/>
                          <w14:textFill>
                            <w14:solidFill>
                              <w14:schemeClr w14:val="tx1"/>
                            </w14:solidFill>
                          </w14:textFill>
                        </w:rPr>
                      </w:pPr>
                      <w:r>
                        <w:rPr>
                          <w:rFonts w:hint="eastAsia"/>
                          <w:b/>
                          <w:bCs/>
                          <w:color w:val="000000" w:themeColor="text1"/>
                          <w:sz w:val="44"/>
                          <w:szCs w:val="44"/>
                          <w:lang w:eastAsia="zh-CN"/>
                          <w14:textFill>
                            <w14:solidFill>
                              <w14:schemeClr w14:val="tx1"/>
                            </w14:solidFill>
                          </w14:textFill>
                        </w:rPr>
                        <w:t>项目所在地</w:t>
                      </w:r>
                    </w:p>
                  </w:txbxContent>
                </v:textbox>
              </v:shap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6515100</wp:posOffset>
                </wp:positionH>
                <wp:positionV relativeFrom="paragraph">
                  <wp:posOffset>8385810</wp:posOffset>
                </wp:positionV>
                <wp:extent cx="75565" cy="75565"/>
                <wp:effectExtent l="12700" t="12700" r="26035" b="26035"/>
                <wp:wrapNone/>
                <wp:docPr id="23" name="五角星 23"/>
                <wp:cNvGraphicFramePr/>
                <a:graphic xmlns:a="http://schemas.openxmlformats.org/drawingml/2006/main">
                  <a:graphicData uri="http://schemas.microsoft.com/office/word/2010/wordprocessingShape">
                    <wps:wsp>
                      <wps:cNvSpPr/>
                      <wps:spPr>
                        <a:xfrm>
                          <a:off x="7660640" y="9338310"/>
                          <a:ext cx="75565" cy="75565"/>
                        </a:xfrm>
                        <a:prstGeom prst="star5">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3pt;margin-top:660.3pt;height:5.95pt;width:5.95pt;z-index:251697152;v-text-anchor:middle;mso-width-relative:page;mso-height-relative:page;" fillcolor="#00B0F0" filled="t" stroked="t" coordsize="75565,75565" o:gfxdata="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uYs032wAAAA8BAAAP&#10;AAAAAAAAAAEAIAAAACIAAABkcnMvZG93bnJldi54bWxQSwECFAAUAAAACACHTuJABVv8Q4cCAAAN&#10;BQAADgAAAAAAAAABACAAAAAqAQAAZHJzL2Uyb0RvYy54bWxQSwUGAAAAAAYABgBZAQAAIwYAAAAA&#10;" path="m0,28863l28863,28863,37782,0,46701,28863,75564,28863,52213,46701,61133,75564,37782,57726,14431,75564,23351,46701xe">
                <v:path o:connectlocs="37782,0;0,28863;14431,75564;61133,75564;75564,28863" o:connectangles="247,164,82,82,0"/>
                <v:fill on="t" focussize="0,0"/>
                <v:stroke weight="2pt" color="#385D8A [3204]" joinstyle="round"/>
                <v:imagedata o:title=""/>
                <o:lock v:ext="edit" aspectratio="f"/>
              </v:shape>
            </w:pict>
          </mc:Fallback>
        </mc:AlternateConten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（3）与《综合医院建筑设计规范》（GB 51039-2014）</w:t>
      </w:r>
      <w:r>
        <w:rPr>
          <w:rFonts w:hint="eastAsia" w:ascii="Times New Roman" w:eastAsia="宋体" w:cs="Times New Roman"/>
          <w:bCs/>
          <w:color w:val="auto"/>
          <w:kern w:val="2"/>
          <w:sz w:val="24"/>
          <w:szCs w:val="24"/>
          <w:highlight w:val="none"/>
          <w:lang w:val="en-US" w:eastAsia="zh-CN" w:bidi="ar-SA"/>
        </w:rPr>
        <w:t>符合性</w:t>
      </w:r>
    </w:p>
    <w:p>
      <w:pPr>
        <w:pStyle w:val="30"/>
        <w:numPr>
          <w:ilvl w:val="0"/>
          <w:numId w:val="0"/>
        </w:numPr>
        <w:spacing w:line="240" w:lineRule="auto"/>
        <w:jc w:val="center"/>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表2.7-1 本项目与《综合医院建筑设计规范》、区域用地规划符合性分析</w:t>
      </w:r>
    </w:p>
    <w:tbl>
      <w:tblPr>
        <w:tblStyle w:val="49"/>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3705"/>
        <w:gridCol w:w="2938"/>
        <w:gridCol w:w="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内容</w:t>
            </w: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规范要求</w:t>
            </w:r>
          </w:p>
        </w:tc>
        <w:tc>
          <w:tcPr>
            <w:tcW w:w="17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w:t>
            </w: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bCs/>
                <w:color w:val="auto"/>
                <w:kern w:val="2"/>
                <w:sz w:val="24"/>
                <w:szCs w:val="24"/>
                <w:highlight w:val="none"/>
                <w:lang w:val="en-US" w:eastAsia="zh-CN" w:bidi="ar-SA"/>
              </w:rPr>
              <w:t>《综合医院建筑设计规范》（GB 51039-2014）</w:t>
            </w: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1交通方便，宜面临2条城市道路；</w:t>
            </w:r>
          </w:p>
        </w:tc>
        <w:tc>
          <w:tcPr>
            <w:tcW w:w="172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医院位于合肥市滨湖新区锦绣大道与江苏路交口西南侧；所在位置属于城市建成区，周边为小区住宅及</w:t>
            </w:r>
            <w:r>
              <w:rPr>
                <w:rFonts w:hint="eastAsia" w:cs="Times New Roman"/>
                <w:color w:val="auto"/>
                <w:kern w:val="0"/>
                <w:sz w:val="21"/>
                <w:szCs w:val="21"/>
                <w:lang w:val="en-US" w:eastAsia="zh-CN"/>
              </w:rPr>
              <w:t>医学康复中心</w:t>
            </w:r>
            <w:r>
              <w:rPr>
                <w:rFonts w:hint="eastAsia" w:ascii="Times New Roman" w:hAnsi="Times New Roman" w:eastAsia="宋体" w:cs="Times New Roman"/>
                <w:color w:val="auto"/>
                <w:kern w:val="0"/>
                <w:sz w:val="21"/>
                <w:szCs w:val="21"/>
                <w:lang w:val="en-US" w:eastAsia="zh-CN"/>
              </w:rPr>
              <w:t>（隔</w:t>
            </w:r>
            <w:r>
              <w:rPr>
                <w:rFonts w:hint="eastAsia" w:cs="Times New Roman"/>
                <w:color w:val="auto"/>
                <w:kern w:val="0"/>
                <w:sz w:val="21"/>
                <w:szCs w:val="21"/>
                <w:lang w:val="en-US" w:eastAsia="zh-CN"/>
              </w:rPr>
              <w:t>扬子江路</w:t>
            </w:r>
            <w:r>
              <w:rPr>
                <w:rFonts w:hint="eastAsia" w:ascii="Times New Roman" w:hAnsi="Times New Roman" w:eastAsia="宋体" w:cs="Times New Roman"/>
                <w:color w:val="auto"/>
                <w:kern w:val="0"/>
                <w:sz w:val="21"/>
                <w:szCs w:val="21"/>
                <w:lang w:val="en-US" w:eastAsia="zh-CN"/>
              </w:rPr>
              <w:t>路），环境安静且配套设施完善；项目布局规整，布局合理，周边无</w:t>
            </w:r>
            <w:r>
              <w:rPr>
                <w:rFonts w:hint="default" w:ascii="Times New Roman" w:hAnsi="Times New Roman" w:eastAsia="宋体" w:cs="Times New Roman"/>
                <w:color w:val="auto"/>
                <w:kern w:val="0"/>
                <w:sz w:val="21"/>
                <w:szCs w:val="21"/>
                <w:lang w:val="en-US" w:eastAsia="zh-CN"/>
              </w:rPr>
              <w:t>易燃、易爆物品的</w:t>
            </w:r>
            <w:r>
              <w:rPr>
                <w:rFonts w:hint="eastAsia" w:ascii="Times New Roman" w:hAnsi="Times New Roman" w:eastAsia="宋体" w:cs="Times New Roman"/>
                <w:color w:val="auto"/>
                <w:kern w:val="0"/>
                <w:sz w:val="21"/>
                <w:szCs w:val="21"/>
                <w:lang w:val="en-US" w:eastAsia="zh-CN"/>
              </w:rPr>
              <w:t>生产</w:t>
            </w:r>
            <w:r>
              <w:rPr>
                <w:rFonts w:hint="default" w:ascii="Times New Roman" w:hAnsi="Times New Roman" w:eastAsia="宋体" w:cs="Times New Roman"/>
                <w:color w:val="auto"/>
                <w:kern w:val="0"/>
                <w:sz w:val="21"/>
                <w:szCs w:val="21"/>
                <w:lang w:val="en-US" w:eastAsia="zh-CN"/>
              </w:rPr>
              <w:t>和储存区</w:t>
            </w:r>
            <w:r>
              <w:rPr>
                <w:rFonts w:hint="eastAsia" w:ascii="Times New Roman" w:hAnsi="Times New Roman" w:eastAsia="宋体" w:cs="Times New Roman"/>
                <w:color w:val="auto"/>
                <w:kern w:val="0"/>
                <w:sz w:val="21"/>
                <w:szCs w:val="21"/>
                <w:lang w:val="en-US" w:eastAsia="zh-CN"/>
              </w:rPr>
              <w:t>和高</w:t>
            </w:r>
            <w:r>
              <w:rPr>
                <w:rFonts w:hint="default" w:ascii="Times New Roman" w:hAnsi="Times New Roman" w:eastAsia="宋体" w:cs="Times New Roman"/>
                <w:color w:val="auto"/>
                <w:kern w:val="0"/>
                <w:sz w:val="21"/>
                <w:szCs w:val="21"/>
                <w:lang w:val="en-US" w:eastAsia="zh-CN"/>
              </w:rPr>
              <w:t>压线路及其设施</w:t>
            </w:r>
            <w:r>
              <w:rPr>
                <w:rFonts w:hint="eastAsia" w:ascii="Times New Roman" w:hAnsi="Times New Roman" w:eastAsia="宋体" w:cs="Times New Roman"/>
                <w:color w:val="auto"/>
                <w:kern w:val="0"/>
                <w:sz w:val="21"/>
                <w:szCs w:val="21"/>
                <w:lang w:val="en-US" w:eastAsia="zh-CN"/>
              </w:rPr>
              <w:t>；项目污染物经治理后均达标排放，不会影响城市</w:t>
            </w:r>
            <w:r>
              <w:rPr>
                <w:rFonts w:hint="default" w:ascii="Times New Roman" w:hAnsi="Times New Roman" w:eastAsia="宋体" w:cs="Times New Roman"/>
                <w:color w:val="auto"/>
                <w:kern w:val="0"/>
                <w:sz w:val="21"/>
                <w:szCs w:val="21"/>
                <w:lang w:val="en-US" w:eastAsia="zh-CN"/>
              </w:rPr>
              <w:t>的其他区域</w:t>
            </w: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color w:val="auto"/>
                <w:kern w:val="2"/>
                <w:sz w:val="24"/>
                <w:szCs w:val="24"/>
                <w:highlight w:val="none"/>
                <w:lang w:val="en-US" w:eastAsia="zh-CN" w:bidi="ar-SA"/>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2宜便于利用城市基础设施；</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color w:val="auto"/>
                <w:kern w:val="2"/>
                <w:sz w:val="24"/>
                <w:szCs w:val="24"/>
                <w:highlight w:val="none"/>
                <w:lang w:val="en-US" w:eastAsia="zh-CN" w:bidi="ar-SA"/>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w:t>
            </w:r>
            <w:r>
              <w:rPr>
                <w:rFonts w:hint="eastAsia" w:ascii="Times New Roman" w:hAnsi="Times New Roman" w:eastAsia="宋体" w:cs="Times New Roman"/>
                <w:color w:val="auto"/>
                <w:kern w:val="0"/>
                <w:sz w:val="21"/>
                <w:szCs w:val="21"/>
                <w:lang w:val="en-US" w:eastAsia="zh-CN"/>
              </w:rPr>
              <w:t>环</w:t>
            </w:r>
            <w:r>
              <w:rPr>
                <w:rFonts w:hint="default" w:ascii="Times New Roman" w:hAnsi="Times New Roman" w:eastAsia="宋体" w:cs="Times New Roman"/>
                <w:color w:val="auto"/>
                <w:kern w:val="0"/>
                <w:sz w:val="21"/>
                <w:szCs w:val="21"/>
                <w:lang w:val="en-US" w:eastAsia="zh-CN"/>
              </w:rPr>
              <w:t>境宜安静，应远离污染源；</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4地形宜力求规整，适宜医院功能布局；</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5远离易燃、易爆物品的</w:t>
            </w:r>
            <w:r>
              <w:rPr>
                <w:rFonts w:hint="eastAsia" w:ascii="Times New Roman" w:hAnsi="Times New Roman" w:eastAsia="宋体" w:cs="Times New Roman"/>
                <w:color w:val="auto"/>
                <w:kern w:val="0"/>
                <w:sz w:val="21"/>
                <w:szCs w:val="21"/>
                <w:lang w:val="en-US" w:eastAsia="zh-CN"/>
              </w:rPr>
              <w:t>生产</w:t>
            </w:r>
            <w:r>
              <w:rPr>
                <w:rFonts w:hint="default" w:ascii="Times New Roman" w:hAnsi="Times New Roman" w:eastAsia="宋体" w:cs="Times New Roman"/>
                <w:color w:val="auto"/>
                <w:kern w:val="0"/>
                <w:sz w:val="21"/>
                <w:szCs w:val="21"/>
                <w:lang w:val="en-US" w:eastAsia="zh-CN"/>
              </w:rPr>
              <w:t>和储存区，并应远</w:t>
            </w:r>
            <w:r>
              <w:rPr>
                <w:rFonts w:hint="eastAsia" w:ascii="Times New Roman" w:hAnsi="Times New Roman" w:eastAsia="宋体" w:cs="Times New Roman"/>
                <w:color w:val="auto"/>
                <w:kern w:val="0"/>
                <w:sz w:val="21"/>
                <w:szCs w:val="21"/>
                <w:lang w:val="en-US" w:eastAsia="zh-CN"/>
              </w:rPr>
              <w:t>离高</w:t>
            </w:r>
            <w:r>
              <w:rPr>
                <w:rFonts w:hint="default" w:ascii="Times New Roman" w:hAnsi="Times New Roman" w:eastAsia="宋体" w:cs="Times New Roman"/>
                <w:color w:val="auto"/>
                <w:kern w:val="0"/>
                <w:sz w:val="21"/>
                <w:szCs w:val="21"/>
                <w:lang w:val="en-US" w:eastAsia="zh-CN"/>
              </w:rPr>
              <w:t>压线路及其设施</w:t>
            </w:r>
            <w:r>
              <w:rPr>
                <w:rFonts w:hint="eastAsia" w:ascii="Times New Roman" w:hAnsi="Times New Roman" w:eastAsia="宋体" w:cs="Times New Roman"/>
                <w:color w:val="auto"/>
                <w:kern w:val="0"/>
                <w:sz w:val="21"/>
                <w:szCs w:val="21"/>
                <w:lang w:val="en-US" w:eastAsia="zh-CN"/>
              </w:rPr>
              <w:t>；</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6不应临近少年儿童活动密</w:t>
            </w:r>
            <w:r>
              <w:rPr>
                <w:rFonts w:hint="eastAsia" w:ascii="Times New Roman" w:hAnsi="Times New Roman" w:eastAsia="宋体" w:cs="Times New Roman"/>
                <w:color w:val="auto"/>
                <w:kern w:val="0"/>
                <w:sz w:val="21"/>
                <w:szCs w:val="21"/>
                <w:lang w:val="en-US" w:eastAsia="zh-CN"/>
              </w:rPr>
              <w:t>集</w:t>
            </w:r>
            <w:r>
              <w:rPr>
                <w:rFonts w:hint="default" w:ascii="Times New Roman" w:hAnsi="Times New Roman" w:eastAsia="宋体" w:cs="Times New Roman"/>
                <w:color w:val="auto"/>
                <w:kern w:val="0"/>
                <w:sz w:val="21"/>
                <w:szCs w:val="21"/>
                <w:lang w:val="en-US" w:eastAsia="zh-CN"/>
              </w:rPr>
              <w:t>场所；</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21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7不应污染、影响</w:t>
            </w:r>
            <w:r>
              <w:rPr>
                <w:rFonts w:hint="eastAsia" w:ascii="Times New Roman" w:hAnsi="Times New Roman" w:eastAsia="宋体" w:cs="Times New Roman"/>
                <w:color w:val="auto"/>
                <w:kern w:val="0"/>
                <w:sz w:val="21"/>
                <w:szCs w:val="21"/>
                <w:lang w:val="en-US" w:eastAsia="zh-CN"/>
              </w:rPr>
              <w:t>城市</w:t>
            </w:r>
            <w:r>
              <w:rPr>
                <w:rFonts w:hint="default" w:ascii="Times New Roman" w:hAnsi="Times New Roman" w:eastAsia="宋体" w:cs="Times New Roman"/>
                <w:color w:val="auto"/>
                <w:kern w:val="0"/>
                <w:sz w:val="21"/>
                <w:szCs w:val="21"/>
                <w:lang w:val="en-US" w:eastAsia="zh-CN"/>
              </w:rPr>
              <w:t>的其他区域</w:t>
            </w:r>
          </w:p>
        </w:tc>
        <w:tc>
          <w:tcPr>
            <w:tcW w:w="17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bl>
    <w:p>
      <w:pPr>
        <w:pStyle w:val="5"/>
        <w:keepNext/>
        <w:keepLines/>
        <w:pageBreakBefore w:val="0"/>
        <w:widowControl w:val="0"/>
        <w:kinsoku/>
        <w:wordWrap/>
        <w:overflowPunct/>
        <w:topLinePunct w:val="0"/>
        <w:autoSpaceDE/>
        <w:autoSpaceDN/>
        <w:bidi w:val="0"/>
        <w:adjustRightInd/>
        <w:snapToGrid/>
        <w:spacing w:before="0" w:beforeLines="0" w:line="360" w:lineRule="auto"/>
        <w:ind w:left="0" w:right="0" w:rightChars="0" w:firstLine="0" w:firstLineChars="0"/>
        <w:textAlignment w:val="auto"/>
        <w:rPr>
          <w:rFonts w:hint="eastAsia"/>
          <w:color w:val="auto"/>
        </w:rPr>
      </w:pPr>
      <w:r>
        <w:rPr>
          <w:rFonts w:hint="eastAsia" w:cs="宋体"/>
          <w:color w:val="auto"/>
          <w:lang w:eastAsia="zh-CN"/>
        </w:rPr>
        <w:t>“</w:t>
      </w:r>
      <w:r>
        <w:rPr>
          <w:rFonts w:hint="eastAsia"/>
          <w:color w:val="auto"/>
        </w:rPr>
        <w:t>三线一单</w:t>
      </w:r>
      <w:r>
        <w:rPr>
          <w:rFonts w:hint="eastAsia" w:cs="宋体"/>
          <w:color w:val="auto"/>
          <w:lang w:eastAsia="zh-CN"/>
        </w:rPr>
        <w:t>”</w:t>
      </w:r>
      <w:r>
        <w:rPr>
          <w:rFonts w:hint="eastAsia"/>
          <w:color w:val="auto"/>
        </w:rPr>
        <w:t>符合性</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hAnsi="宋体" w:eastAsia="宋体"/>
          <w:bCs/>
          <w:color w:val="auto"/>
          <w:lang w:val="en-US" w:eastAsia="zh-CN"/>
        </w:rPr>
      </w:pPr>
      <w:r>
        <w:rPr>
          <w:rFonts w:hint="eastAsia" w:hAnsi="宋体"/>
          <w:bCs/>
          <w:color w:val="auto"/>
        </w:rPr>
        <w:t>根据《关于以改善环境质量为核心加强环境影响评价管理的通知》（环环评[2016]150号），应切实加强环境影响评价管理，落实</w:t>
      </w:r>
      <w:r>
        <w:rPr>
          <w:rFonts w:hint="eastAsia" w:hAnsi="宋体" w:cs="宋体"/>
          <w:bCs/>
          <w:color w:val="auto"/>
          <w:lang w:eastAsia="zh-CN"/>
        </w:rPr>
        <w:t>“</w:t>
      </w:r>
      <w:r>
        <w:rPr>
          <w:rFonts w:hint="eastAsia" w:hAnsi="宋体"/>
          <w:bCs/>
          <w:color w:val="auto"/>
        </w:rPr>
        <w:t>生态保护红线、环境质量底线、资源利用上线和环境准入负面清单</w:t>
      </w:r>
      <w:r>
        <w:rPr>
          <w:rFonts w:hint="eastAsia" w:hAnsi="宋体" w:cs="宋体"/>
          <w:bCs/>
          <w:color w:val="auto"/>
          <w:lang w:eastAsia="zh-CN"/>
        </w:rPr>
        <w:t>”</w:t>
      </w:r>
      <w:r>
        <w:rPr>
          <w:rFonts w:hint="eastAsia" w:hAnsi="宋体"/>
          <w:bCs/>
          <w:color w:val="auto"/>
        </w:rPr>
        <w:t>（以下简称</w:t>
      </w:r>
      <w:r>
        <w:rPr>
          <w:rFonts w:hint="eastAsia" w:hAnsi="宋体" w:cs="宋体"/>
          <w:bCs/>
          <w:color w:val="auto"/>
          <w:lang w:eastAsia="zh-CN"/>
        </w:rPr>
        <w:t>“</w:t>
      </w:r>
      <w:r>
        <w:rPr>
          <w:rFonts w:hint="eastAsia" w:hAnsi="宋体"/>
          <w:bCs/>
          <w:color w:val="auto"/>
        </w:rPr>
        <w:t>三线一单</w:t>
      </w:r>
      <w:r>
        <w:rPr>
          <w:rFonts w:hint="eastAsia" w:hAnsi="宋体" w:cs="宋体"/>
          <w:bCs/>
          <w:color w:val="auto"/>
          <w:lang w:eastAsia="zh-CN"/>
        </w:rPr>
        <w:t>”</w:t>
      </w:r>
      <w:r>
        <w:rPr>
          <w:rFonts w:hint="eastAsia" w:hAnsi="宋体"/>
          <w:bCs/>
          <w:color w:val="auto"/>
        </w:rPr>
        <w:t>）约束，建立项目环评审批与规划环评、现有项目环境管理、区域环境质量联动机制（以下简称</w:t>
      </w:r>
      <w:r>
        <w:rPr>
          <w:rFonts w:hint="eastAsia" w:hAnsi="宋体" w:cs="宋体"/>
          <w:bCs/>
          <w:color w:val="auto"/>
          <w:lang w:eastAsia="zh-CN"/>
        </w:rPr>
        <w:t>“</w:t>
      </w:r>
      <w:r>
        <w:rPr>
          <w:rFonts w:hint="eastAsia" w:hAnsi="宋体"/>
          <w:bCs/>
          <w:color w:val="auto"/>
        </w:rPr>
        <w:t>三挂钩</w:t>
      </w:r>
      <w:r>
        <w:rPr>
          <w:rFonts w:hint="eastAsia" w:hAnsi="宋体" w:cs="宋体"/>
          <w:bCs/>
          <w:color w:val="auto"/>
          <w:lang w:eastAsia="zh-CN"/>
        </w:rPr>
        <w:t>”</w:t>
      </w:r>
      <w:r>
        <w:rPr>
          <w:rFonts w:hint="eastAsia" w:hAnsi="宋体"/>
          <w:bCs/>
          <w:color w:val="auto"/>
        </w:rPr>
        <w:t>机制），更好地发挥环评制度从源头防范环境污染和生态破坏的作用，加快推进改善环境质量。</w:t>
      </w:r>
      <w:r>
        <w:rPr>
          <w:rFonts w:hint="eastAsia" w:hAnsi="宋体" w:eastAsia="宋体"/>
          <w:bCs/>
          <w:color w:val="auto"/>
          <w:lang w:val="en-US" w:eastAsia="zh-CN"/>
        </w:rPr>
        <w:t>本项目</w:t>
      </w:r>
      <w:r>
        <w:rPr>
          <w:rFonts w:hint="eastAsia" w:hAnsi="宋体" w:cs="宋体"/>
          <w:bCs/>
          <w:color w:val="auto"/>
          <w:lang w:val="en-US" w:eastAsia="zh-CN"/>
        </w:rPr>
        <w:t>“</w:t>
      </w:r>
      <w:r>
        <w:rPr>
          <w:rFonts w:hint="eastAsia" w:hAnsi="宋体" w:eastAsia="宋体"/>
          <w:bCs/>
          <w:color w:val="auto"/>
          <w:lang w:val="en-US" w:eastAsia="zh-CN"/>
        </w:rPr>
        <w:t>三线一单</w:t>
      </w:r>
      <w:r>
        <w:rPr>
          <w:rFonts w:hint="eastAsia" w:hAnsi="宋体" w:cs="宋体"/>
          <w:bCs/>
          <w:color w:val="auto"/>
          <w:lang w:val="en-US" w:eastAsia="zh-CN"/>
        </w:rPr>
        <w:t>”</w:t>
      </w:r>
      <w:r>
        <w:rPr>
          <w:rFonts w:hint="eastAsia" w:hAnsi="宋体" w:eastAsia="宋体"/>
          <w:bCs/>
          <w:color w:val="auto"/>
          <w:lang w:val="en-US" w:eastAsia="zh-CN"/>
        </w:rPr>
        <w:t>符合性分析如下。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hAnsi="宋体"/>
          <w:bCs/>
          <w:color w:val="auto"/>
        </w:rPr>
      </w:pPr>
      <w:r>
        <w:rPr>
          <w:rFonts w:hint="eastAsia" w:hAnsi="宋体" w:eastAsia="宋体"/>
          <w:bCs/>
          <w:color w:val="auto"/>
          <w:lang w:eastAsia="zh-CN"/>
        </w:rPr>
        <w:t>（</w:t>
      </w:r>
      <w:r>
        <w:rPr>
          <w:rFonts w:hint="eastAsia" w:hAnsi="宋体" w:eastAsia="宋体"/>
          <w:bCs/>
          <w:color w:val="auto"/>
          <w:lang w:val="en-US" w:eastAsia="zh-CN"/>
        </w:rPr>
        <w:t>1</w:t>
      </w:r>
      <w:r>
        <w:rPr>
          <w:rFonts w:hint="eastAsia" w:hAnsi="宋体" w:eastAsia="宋体"/>
          <w:bCs/>
          <w:color w:val="auto"/>
          <w:lang w:eastAsia="zh-CN"/>
        </w:rPr>
        <w:t>）</w:t>
      </w:r>
      <w:r>
        <w:rPr>
          <w:rFonts w:hint="eastAsia" w:hAnsi="宋体"/>
          <w:bCs/>
          <w:color w:val="auto"/>
        </w:rPr>
        <w:t>生态保护红线</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default" w:hAnsi="宋体"/>
          <w:bCs/>
          <w:color w:val="auto"/>
          <w:highlight w:val="none"/>
          <w:lang w:val="en-US"/>
        </w:rPr>
      </w:pPr>
      <w:r>
        <w:rPr>
          <w:rFonts w:hint="eastAsia" w:hAnsi="宋体"/>
          <w:bCs/>
          <w:color w:val="auto"/>
        </w:rPr>
        <w:t>项目选址位于</w:t>
      </w:r>
      <w:r>
        <w:rPr>
          <w:rFonts w:hint="eastAsia" w:hAnsi="宋体"/>
          <w:bCs/>
          <w:color w:val="auto"/>
          <w:lang w:val="en-US" w:eastAsia="zh-CN"/>
        </w:rPr>
        <w:t>合肥市滨湖新区锦绣大道与江苏路交口西南侧</w:t>
      </w:r>
      <w:r>
        <w:rPr>
          <w:rFonts w:hint="eastAsia" w:hAnsi="宋体"/>
          <w:bCs/>
          <w:color w:val="auto"/>
          <w:highlight w:val="none"/>
        </w:rPr>
        <w:t>，</w:t>
      </w:r>
      <w:r>
        <w:rPr>
          <w:rFonts w:hint="eastAsia" w:hAnsi="宋体"/>
          <w:bCs/>
          <w:color w:val="auto"/>
          <w:highlight w:val="none"/>
          <w:lang w:val="en-US" w:eastAsia="zh-CN"/>
        </w:rPr>
        <w:t>根据</w:t>
      </w:r>
      <w:r>
        <w:rPr>
          <w:rFonts w:hint="default" w:ascii="Times New Roman" w:hAnsi="Times New Roman" w:cs="Times New Roman"/>
          <w:color w:val="auto"/>
          <w:sz w:val="24"/>
          <w:szCs w:val="22"/>
          <w:lang w:val="en-US" w:eastAsia="zh-CN"/>
        </w:rPr>
        <w:t>《安徽省人民政府关于发布安徽省生态保护红线的通知》皖政秘[2018]120号可知</w:t>
      </w:r>
      <w:r>
        <w:rPr>
          <w:rFonts w:hint="eastAsia" w:hAnsi="宋体"/>
          <w:bCs/>
          <w:color w:val="auto"/>
          <w:highlight w:val="none"/>
          <w:lang w:val="en-US" w:eastAsia="zh-CN"/>
        </w:rPr>
        <w:t>，本项目不涉及合肥市范围内生态保护红线区域。因此，本项目合肥市符合生态保护红线要求。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hAnsi="宋体"/>
          <w:bCs/>
          <w:color w:val="auto"/>
        </w:rPr>
      </w:pPr>
      <w:r>
        <w:rPr>
          <w:rFonts w:hint="eastAsia" w:hAnsi="宋体" w:eastAsia="宋体"/>
          <w:bCs/>
          <w:color w:val="auto"/>
          <w:lang w:eastAsia="zh-CN"/>
        </w:rPr>
        <w:t>（</w:t>
      </w:r>
      <w:r>
        <w:rPr>
          <w:rFonts w:hint="eastAsia" w:hAnsi="宋体" w:eastAsia="宋体"/>
          <w:bCs/>
          <w:color w:val="auto"/>
          <w:lang w:val="en-US" w:eastAsia="zh-CN"/>
        </w:rPr>
        <w:t>2</w:t>
      </w:r>
      <w:r>
        <w:rPr>
          <w:rFonts w:hint="eastAsia" w:hAnsi="宋体" w:eastAsia="宋体"/>
          <w:bCs/>
          <w:color w:val="auto"/>
          <w:lang w:eastAsia="zh-CN"/>
        </w:rPr>
        <w:t>）</w:t>
      </w:r>
      <w:r>
        <w:rPr>
          <w:color w:val="auto"/>
        </w:rPr>
        <w:t>环境质量底线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①环境空气</w:t>
      </w:r>
    </w:p>
    <w:p>
      <w:pPr>
        <w:pStyle w:val="1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lang w:val="en-US" w:eastAsia="zh-CN"/>
        </w:rPr>
        <w:t>项目区域选址位于《环境空气质量标准》（GB3095-2012）二类环境空气功能区，</w:t>
      </w:r>
      <w:r>
        <w:rPr>
          <w:rFonts w:hint="default" w:ascii="Times New Roman" w:hAnsi="Times New Roman" w:eastAsia="宋体" w:cs="Times New Roman"/>
          <w:color w:val="auto"/>
          <w:kern w:val="2"/>
          <w:sz w:val="24"/>
          <w:szCs w:val="24"/>
          <w:lang w:val="en-US" w:eastAsia="zh-CN" w:bidi="ar"/>
        </w:rPr>
        <w:t>根据</w:t>
      </w:r>
      <w:r>
        <w:rPr>
          <w:rFonts w:hint="eastAsia"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2021年合肥市</w:t>
      </w:r>
      <w:r>
        <w:rPr>
          <w:rFonts w:hint="eastAsia" w:cs="Times New Roman"/>
          <w:color w:val="auto"/>
          <w:kern w:val="2"/>
          <w:sz w:val="24"/>
          <w:szCs w:val="24"/>
          <w:lang w:val="en-US" w:eastAsia="zh-CN" w:bidi="ar"/>
        </w:rPr>
        <w:t>生态</w:t>
      </w:r>
      <w:r>
        <w:rPr>
          <w:rFonts w:hint="default" w:ascii="Times New Roman" w:hAnsi="Times New Roman" w:eastAsia="宋体" w:cs="Times New Roman"/>
          <w:color w:val="auto"/>
          <w:kern w:val="2"/>
          <w:sz w:val="24"/>
          <w:szCs w:val="24"/>
          <w:lang w:val="en-US" w:eastAsia="zh-CN" w:bidi="ar"/>
        </w:rPr>
        <w:t>环境状况公</w:t>
      </w:r>
      <w:r>
        <w:rPr>
          <w:rFonts w:hint="eastAsia" w:cs="Times New Roman"/>
          <w:color w:val="auto"/>
          <w:kern w:val="2"/>
          <w:sz w:val="24"/>
          <w:szCs w:val="24"/>
          <w:lang w:val="en-US" w:eastAsia="zh-CN" w:bidi="ar"/>
        </w:rPr>
        <w:t>报》，</w:t>
      </w:r>
      <w:r>
        <w:rPr>
          <w:rFonts w:hint="default" w:ascii="Times New Roman" w:hAnsi="Times New Roman" w:cs="Times New Roman"/>
          <w:color w:val="auto"/>
          <w:sz w:val="24"/>
          <w:szCs w:val="24"/>
          <w:lang w:val="en-US" w:eastAsia="zh-CN"/>
        </w:rPr>
        <w:t>评价</w:t>
      </w:r>
      <w:r>
        <w:rPr>
          <w:rFonts w:hint="eastAsia" w:cs="Times New Roman"/>
          <w:color w:val="auto"/>
          <w:sz w:val="24"/>
          <w:szCs w:val="24"/>
          <w:lang w:val="en-US" w:eastAsia="zh-CN"/>
        </w:rPr>
        <w:t>区域基本污染物</w:t>
      </w:r>
      <w:r>
        <w:rPr>
          <w:rFonts w:hint="eastAsia" w:cs="Times New Roman"/>
          <w:color w:val="auto"/>
          <w:kern w:val="2"/>
          <w:sz w:val="24"/>
          <w:szCs w:val="24"/>
          <w:shd w:val="clear" w:color="auto" w:fill="FFFFFF"/>
          <w:lang w:val="en-US" w:eastAsia="zh-CN" w:bidi="ar"/>
        </w:rPr>
        <w:t>满足</w:t>
      </w:r>
      <w:r>
        <w:rPr>
          <w:rFonts w:hint="default" w:ascii="Times New Roman" w:hAnsi="Times New Roman" w:cs="Times New Roman"/>
          <w:color w:val="auto"/>
          <w:sz w:val="24"/>
          <w:szCs w:val="24"/>
          <w:lang w:val="en-US" w:eastAsia="zh-CN"/>
        </w:rPr>
        <w:t>《环境空气质量标准》（GB3095-2012）</w:t>
      </w:r>
      <w:r>
        <w:rPr>
          <w:rFonts w:hint="default" w:ascii="Times New Roman" w:hAnsi="Times New Roman" w:eastAsia="宋体" w:cs="Times New Roman"/>
          <w:color w:val="auto"/>
          <w:kern w:val="2"/>
          <w:sz w:val="24"/>
          <w:szCs w:val="24"/>
          <w:shd w:val="clear" w:color="auto" w:fill="FFFFFF"/>
          <w:lang w:val="en-US" w:eastAsia="zh-CN" w:bidi="ar"/>
        </w:rPr>
        <w:t>二级标准，</w:t>
      </w:r>
      <w:r>
        <w:rPr>
          <w:rFonts w:hint="eastAsia" w:ascii="Times New Roman" w:hAnsi="Times New Roman" w:cs="Times New Roman"/>
          <w:color w:val="auto"/>
          <w:sz w:val="24"/>
          <w:szCs w:val="24"/>
          <w:highlight w:val="none"/>
          <w:lang w:val="en-US" w:eastAsia="zh-CN"/>
        </w:rPr>
        <w:t>项目所在区域为达标区域</w:t>
      </w:r>
      <w:r>
        <w:rPr>
          <w:rFonts w:hint="default" w:ascii="Times New Roman" w:hAnsi="Times New Roman" w:cs="Times New Roman"/>
          <w:color w:val="auto"/>
          <w:sz w:val="24"/>
          <w:szCs w:val="24"/>
          <w:highlight w:val="none"/>
        </w:rPr>
        <w:t>。</w:t>
      </w:r>
    </w:p>
    <w:p>
      <w:pPr>
        <w:pStyle w:val="1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根据安徽省国众检测科技有限公司于</w:t>
      </w:r>
      <w:r>
        <w:rPr>
          <w:rFonts w:hint="eastAsia" w:cs="Times New Roman"/>
          <w:color w:val="auto"/>
          <w:sz w:val="24"/>
          <w:szCs w:val="24"/>
          <w:highlight w:val="none"/>
          <w:lang w:val="en-US" w:eastAsia="zh-CN"/>
        </w:rPr>
        <w:t>2022年12月13日~12月19日现场采样分析，区域</w:t>
      </w:r>
      <w:r>
        <w:rPr>
          <w:rFonts w:hint="default" w:ascii="Times New Roman" w:hAnsi="Times New Roman" w:cs="Times New Roman"/>
          <w:color w:val="auto"/>
          <w:sz w:val="24"/>
          <w:szCs w:val="24"/>
          <w:highlight w:val="none"/>
        </w:rPr>
        <w:t>补充监测因子</w:t>
      </w:r>
      <w:r>
        <w:rPr>
          <w:rFonts w:hint="eastAsia" w:cs="Times New Roman"/>
          <w:color w:val="auto"/>
          <w:sz w:val="24"/>
          <w:szCs w:val="24"/>
          <w:highlight w:val="none"/>
          <w:lang w:val="en-US" w:eastAsia="zh-CN"/>
        </w:rPr>
        <w:t>硫化氢、氨</w:t>
      </w:r>
      <w:r>
        <w:rPr>
          <w:rFonts w:hint="eastAsia" w:cs="Times New Roman"/>
          <w:color w:val="auto"/>
          <w:sz w:val="24"/>
          <w:szCs w:val="24"/>
          <w:highlight w:val="none"/>
          <w:lang w:eastAsia="zh-CN"/>
        </w:rPr>
        <w:t>满足《环境影响评价技术导则 大气环境》（HJ2.2-2018）附录D中</w:t>
      </w:r>
      <w:r>
        <w:rPr>
          <w:rFonts w:hint="eastAsia" w:cs="宋体"/>
          <w:color w:val="auto"/>
          <w:sz w:val="24"/>
          <w:szCs w:val="24"/>
          <w:highlight w:val="none"/>
          <w:lang w:eastAsia="zh-CN"/>
        </w:rPr>
        <w:t>“</w:t>
      </w:r>
      <w:r>
        <w:rPr>
          <w:rFonts w:hint="eastAsia" w:cs="Times New Roman"/>
          <w:color w:val="auto"/>
          <w:sz w:val="24"/>
          <w:szCs w:val="24"/>
          <w:highlight w:val="none"/>
          <w:lang w:eastAsia="zh-CN"/>
        </w:rPr>
        <w:t>其他污染物空气质量浓度参考限值</w:t>
      </w:r>
      <w:r>
        <w:rPr>
          <w:rFonts w:hint="eastAsia" w:cs="宋体"/>
          <w:color w:val="auto"/>
          <w:sz w:val="24"/>
          <w:szCs w:val="24"/>
          <w:highlight w:val="none"/>
          <w:lang w:eastAsia="zh-CN"/>
        </w:rPr>
        <w:t>”</w:t>
      </w:r>
      <w:r>
        <w:rPr>
          <w:rFonts w:hint="default" w:ascii="Times New Roman" w:hAnsi="Times New Roman" w:cs="Times New Roman"/>
          <w:color w:val="auto"/>
          <w:sz w:val="24"/>
          <w:szCs w:val="24"/>
          <w:highlight w:val="none"/>
        </w:rPr>
        <w:t>要求，本项目大气环境影响可以接受。根据《</w:t>
      </w:r>
      <w:r>
        <w:rPr>
          <w:rFonts w:hint="eastAsia" w:cs="Times New Roman"/>
          <w:color w:val="auto"/>
          <w:sz w:val="24"/>
          <w:szCs w:val="24"/>
          <w:highlight w:val="none"/>
          <w:lang w:val="en-US" w:eastAsia="zh-CN"/>
        </w:rPr>
        <w:t>合肥市</w:t>
      </w:r>
      <w:r>
        <w:rPr>
          <w:rFonts w:hint="default" w:ascii="Times New Roman" w:hAnsi="Times New Roman" w:cs="Times New Roman"/>
          <w:color w:val="auto"/>
          <w:sz w:val="24"/>
          <w:szCs w:val="24"/>
          <w:highlight w:val="none"/>
        </w:rPr>
        <w:t>大气污染防治行动计划实施方案》、《</w:t>
      </w:r>
      <w:r>
        <w:rPr>
          <w:rFonts w:hint="eastAsia" w:cs="Times New Roman"/>
          <w:color w:val="auto"/>
          <w:sz w:val="24"/>
          <w:szCs w:val="24"/>
          <w:highlight w:val="none"/>
          <w:lang w:val="en-US" w:eastAsia="zh-CN"/>
        </w:rPr>
        <w:t>合肥市</w:t>
      </w:r>
      <w:r>
        <w:rPr>
          <w:rFonts w:hint="default" w:ascii="Times New Roman" w:hAnsi="Times New Roman" w:cs="Times New Roman"/>
          <w:color w:val="auto"/>
          <w:sz w:val="24"/>
          <w:szCs w:val="24"/>
          <w:highlight w:val="none"/>
        </w:rPr>
        <w:t>打赢蓝天保卫战三年行动实施实施方案》和《长三角地区2020-2021 年秋冬季大气污染物综合治理攻坚行动方案》等工作要求，从优化产业布局、严控</w:t>
      </w:r>
      <w:r>
        <w:rPr>
          <w:rFonts w:hint="eastAsia" w:cs="宋体"/>
          <w:color w:val="auto"/>
          <w:sz w:val="24"/>
          <w:szCs w:val="24"/>
          <w:highlight w:val="none"/>
          <w:lang w:eastAsia="zh-CN"/>
        </w:rPr>
        <w:t>“</w:t>
      </w:r>
      <w:r>
        <w:rPr>
          <w:rFonts w:hint="default" w:ascii="Times New Roman" w:hAnsi="Times New Roman" w:cs="Times New Roman"/>
          <w:color w:val="auto"/>
          <w:sz w:val="24"/>
          <w:szCs w:val="24"/>
          <w:highlight w:val="none"/>
        </w:rPr>
        <w:t>两高</w:t>
      </w:r>
      <w:r>
        <w:rPr>
          <w:rFonts w:hint="eastAsia" w:cs="宋体"/>
          <w:color w:val="auto"/>
          <w:sz w:val="24"/>
          <w:szCs w:val="24"/>
          <w:highlight w:val="none"/>
          <w:lang w:eastAsia="zh-CN"/>
        </w:rPr>
        <w:t>”</w:t>
      </w:r>
      <w:r>
        <w:rPr>
          <w:rFonts w:hint="default" w:ascii="Times New Roman" w:hAnsi="Times New Roman" w:cs="Times New Roman"/>
          <w:color w:val="auto"/>
          <w:sz w:val="24"/>
          <w:szCs w:val="24"/>
          <w:highlight w:val="none"/>
        </w:rPr>
        <w:t>行业产能、强化</w:t>
      </w:r>
      <w:r>
        <w:rPr>
          <w:rFonts w:hint="eastAsia" w:cs="宋体"/>
          <w:color w:val="auto"/>
          <w:sz w:val="24"/>
          <w:szCs w:val="24"/>
          <w:highlight w:val="none"/>
          <w:lang w:eastAsia="zh-CN"/>
        </w:rPr>
        <w:t>“</w:t>
      </w:r>
      <w:r>
        <w:rPr>
          <w:rFonts w:hint="default" w:ascii="Times New Roman" w:hAnsi="Times New Roman" w:cs="Times New Roman"/>
          <w:color w:val="auto"/>
          <w:sz w:val="24"/>
          <w:szCs w:val="24"/>
          <w:highlight w:val="none"/>
        </w:rPr>
        <w:t>散乱污</w:t>
      </w:r>
      <w:r>
        <w:rPr>
          <w:rFonts w:hint="eastAsia" w:cs="宋体"/>
          <w:color w:val="auto"/>
          <w:sz w:val="24"/>
          <w:szCs w:val="24"/>
          <w:highlight w:val="none"/>
          <w:lang w:eastAsia="zh-CN"/>
        </w:rPr>
        <w:t>”</w:t>
      </w:r>
      <w:r>
        <w:rPr>
          <w:rFonts w:hint="default" w:ascii="Times New Roman" w:hAnsi="Times New Roman" w:cs="Times New Roman"/>
          <w:color w:val="auto"/>
          <w:sz w:val="24"/>
          <w:szCs w:val="24"/>
          <w:highlight w:val="none"/>
        </w:rPr>
        <w:t>企业综合整治、深化工业污染治理、大力培育绿色环保产业、加快调整能源结构，构建清洁低碳高效能源体系、积极调整运输结构，发展绿色交通体系、优化调整用地结构，推进面源污染治理、实施重大专项行动，大幅降低污染物排放、强化区域联防联控，有效应对重污染天气、完善政策法规体系，落实环境经济政策、加强基础能力建设，严格环境执法督察、落实和强化各方责任，发动全民广泛参与等方面着手，明显减少重污染天数，区域环境空气质量得到改善。</w:t>
      </w:r>
    </w:p>
    <w:p>
      <w:pPr>
        <w:pStyle w:val="1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w:t>
      </w:r>
      <w:r>
        <w:rPr>
          <w:rFonts w:hint="eastAsia"/>
          <w:color w:val="auto"/>
        </w:rPr>
        <w:t>项目废气主要是</w:t>
      </w:r>
      <w:r>
        <w:rPr>
          <w:rFonts w:hint="eastAsia"/>
          <w:color w:val="auto"/>
          <w:lang w:val="en-US" w:eastAsia="zh-CN"/>
        </w:rPr>
        <w:t>食堂油烟、</w:t>
      </w:r>
      <w:r>
        <w:rPr>
          <w:rFonts w:hint="eastAsia"/>
          <w:color w:val="auto"/>
        </w:rPr>
        <w:t>污水处理站恶臭、</w:t>
      </w:r>
      <w:r>
        <w:rPr>
          <w:color w:val="auto"/>
        </w:rPr>
        <w:t>汽车尾气</w:t>
      </w:r>
      <w:r>
        <w:rPr>
          <w:rFonts w:hint="eastAsia"/>
          <w:color w:val="auto"/>
          <w:lang w:eastAsia="zh-CN"/>
        </w:rPr>
        <w:t>、锅炉燃烧废气</w:t>
      </w:r>
      <w:r>
        <w:rPr>
          <w:rFonts w:hint="eastAsia"/>
          <w:color w:val="auto"/>
        </w:rPr>
        <w:t>以及柴油发电机应急时产生的烟气，</w:t>
      </w:r>
      <w:r>
        <w:rPr>
          <w:rFonts w:hint="eastAsia" w:eastAsia="宋体"/>
          <w:color w:val="auto"/>
          <w:lang w:val="en-US" w:eastAsia="zh-CN"/>
        </w:rPr>
        <w:t>废气</w:t>
      </w:r>
      <w:r>
        <w:rPr>
          <w:rFonts w:hint="eastAsia"/>
          <w:color w:val="auto"/>
        </w:rPr>
        <w:t>排放量</w:t>
      </w:r>
      <w:r>
        <w:rPr>
          <w:rFonts w:hint="eastAsia"/>
          <w:color w:val="auto"/>
          <w:lang w:eastAsia="zh-CN"/>
        </w:rPr>
        <w:t>较</w:t>
      </w:r>
      <w:r>
        <w:rPr>
          <w:rFonts w:hint="eastAsia"/>
          <w:color w:val="auto"/>
        </w:rPr>
        <w:t>小，对区域大气环境影响较小，因此</w:t>
      </w:r>
      <w:r>
        <w:rPr>
          <w:rFonts w:hint="eastAsia" w:eastAsia="宋体"/>
          <w:color w:val="auto"/>
          <w:lang w:eastAsia="zh-CN"/>
        </w:rPr>
        <w:t>建设项目废气排放对环境空气质量影响很小</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eastAsia="宋体"/>
          <w:b/>
          <w:color w:val="auto"/>
          <w:szCs w:val="21"/>
          <w:lang w:eastAsia="zh-CN"/>
        </w:rPr>
      </w:pPr>
      <w:r>
        <w:rPr>
          <w:rFonts w:hint="default" w:ascii="Times New Roman" w:hAnsi="Times New Roman" w:cs="Times New Roman"/>
          <w:color w:val="auto"/>
          <w:sz w:val="24"/>
          <w:szCs w:val="24"/>
          <w:lang w:val="en-US" w:eastAsia="zh-CN"/>
        </w:rPr>
        <w:t>项目区域内</w:t>
      </w:r>
      <w:r>
        <w:rPr>
          <w:rFonts w:hint="eastAsia" w:cs="Times New Roman"/>
          <w:color w:val="auto"/>
          <w:sz w:val="24"/>
          <w:szCs w:val="24"/>
          <w:lang w:val="en-US" w:eastAsia="zh-CN"/>
        </w:rPr>
        <w:t>十五里河</w:t>
      </w:r>
      <w:r>
        <w:rPr>
          <w:rFonts w:hint="default" w:ascii="Times New Roman" w:hAnsi="Times New Roman" w:cs="Times New Roman"/>
          <w:color w:val="auto"/>
          <w:sz w:val="24"/>
          <w:szCs w:val="24"/>
          <w:lang w:val="en-US" w:eastAsia="zh-CN"/>
        </w:rPr>
        <w:t>的水质</w:t>
      </w:r>
      <w:r>
        <w:rPr>
          <w:rFonts w:hint="eastAsia" w:cs="Times New Roman"/>
          <w:color w:val="auto"/>
          <w:sz w:val="24"/>
          <w:szCs w:val="24"/>
          <w:lang w:val="en-US" w:eastAsia="zh-CN"/>
        </w:rPr>
        <w:t>不满</w:t>
      </w:r>
      <w:r>
        <w:rPr>
          <w:rFonts w:hint="eastAsia" w:cs="Times New Roman"/>
          <w:color w:val="auto"/>
          <w:sz w:val="24"/>
          <w:szCs w:val="24"/>
          <w:lang w:val="en-US" w:eastAsia="zh-CN"/>
        </w:rPr>
        <w:t>足</w:t>
      </w:r>
      <w:r>
        <w:rPr>
          <w:rFonts w:hint="default" w:ascii="Times New Roman" w:hAnsi="Times New Roman" w:cs="Times New Roman"/>
          <w:color w:val="auto"/>
          <w:sz w:val="24"/>
          <w:szCs w:val="24"/>
          <w:lang w:val="en-US" w:eastAsia="zh-CN"/>
        </w:rPr>
        <w:t>《地表水环境质量标准》（GB3838-2002）中Ⅳ类标准要求</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highlight w:val="none"/>
          <w:lang w:val="en-US" w:eastAsia="zh-CN"/>
        </w:rPr>
        <w:t>本</w:t>
      </w:r>
      <w:r>
        <w:rPr>
          <w:rFonts w:hint="eastAsia" w:ascii="Times New Roman" w:hAnsi="Times New Roman" w:cs="Times New Roman"/>
          <w:color w:val="auto"/>
          <w:sz w:val="24"/>
          <w:highlight w:val="none"/>
          <w:lang w:val="en-US" w:eastAsia="zh-CN"/>
        </w:rPr>
        <w:t>项目为</w:t>
      </w:r>
      <w:r>
        <w:rPr>
          <w:rFonts w:hint="eastAsia" w:cs="Times New Roman"/>
          <w:color w:val="auto"/>
          <w:sz w:val="24"/>
          <w:highlight w:val="none"/>
          <w:lang w:val="en-US" w:eastAsia="zh-CN"/>
        </w:rPr>
        <w:t>综合</w:t>
      </w:r>
      <w:r>
        <w:rPr>
          <w:rFonts w:hint="eastAsia" w:ascii="Times New Roman" w:hAnsi="Times New Roman" w:cs="Times New Roman"/>
          <w:color w:val="auto"/>
          <w:sz w:val="24"/>
          <w:highlight w:val="none"/>
          <w:lang w:val="en-US" w:eastAsia="zh-CN"/>
        </w:rPr>
        <w:t>医院建设项目，项目废水经院区内自建的污水处理设施处理达标后排入</w:t>
      </w:r>
      <w:r>
        <w:rPr>
          <w:rFonts w:hint="eastAsia"/>
          <w:bCs/>
          <w:color w:val="auto"/>
          <w:lang w:eastAsia="zh-CN"/>
        </w:rPr>
        <w:t>十五里河污水处理厂</w:t>
      </w:r>
      <w:r>
        <w:rPr>
          <w:rFonts w:hint="eastAsia"/>
          <w:bCs/>
          <w:color w:val="auto"/>
        </w:rPr>
        <w:t>处理</w:t>
      </w:r>
      <w:r>
        <w:rPr>
          <w:rFonts w:hint="eastAsia"/>
          <w:bCs/>
          <w:color w:val="auto"/>
          <w:lang w:eastAsia="zh-CN"/>
        </w:rPr>
        <w:t>，十五里河污水处理厂</w:t>
      </w:r>
      <w:r>
        <w:rPr>
          <w:rFonts w:hint="eastAsia"/>
          <w:bCs/>
          <w:color w:val="auto"/>
          <w:szCs w:val="21"/>
        </w:rPr>
        <w:t>尾水</w:t>
      </w:r>
      <w:r>
        <w:rPr>
          <w:rFonts w:hint="eastAsia"/>
          <w:bCs/>
          <w:color w:val="auto"/>
          <w:szCs w:val="21"/>
          <w:lang w:eastAsia="zh-CN"/>
        </w:rPr>
        <w:t>排放</w:t>
      </w:r>
      <w:r>
        <w:rPr>
          <w:rFonts w:hint="eastAsia"/>
          <w:bCs/>
          <w:color w:val="auto"/>
          <w:szCs w:val="21"/>
          <w:lang w:val="en-US" w:eastAsia="zh-CN"/>
        </w:rPr>
        <w:t>执行《巢湖流域城镇污水处理厂和工业行业主要水污染物排放限值》（DB34/2710-2016）表2中相关标准和《城镇污水处理厂污染物排放标准》（GB18918-2002）一级A标准，排入十五里河</w:t>
      </w:r>
      <w:r>
        <w:rPr>
          <w:rFonts w:hint="eastAsia"/>
          <w:bCs/>
          <w:color w:val="auto"/>
          <w:lang w:eastAsia="zh-CN"/>
        </w:rPr>
        <w:t>。</w:t>
      </w:r>
      <w:r>
        <w:rPr>
          <w:rFonts w:hint="eastAsia"/>
          <w:bCs/>
          <w:color w:val="auto"/>
          <w:szCs w:val="21"/>
          <w:lang w:val="en-US" w:eastAsia="zh-CN"/>
        </w:rPr>
        <w:t>因此，项目废水</w:t>
      </w:r>
      <w:r>
        <w:rPr>
          <w:rFonts w:hint="eastAsia"/>
          <w:bCs/>
          <w:color w:val="auto"/>
          <w:szCs w:val="21"/>
          <w:lang w:eastAsia="zh-CN"/>
        </w:rPr>
        <w:t>对地表水影响较小，</w:t>
      </w:r>
      <w:r>
        <w:rPr>
          <w:rFonts w:hint="default" w:ascii="Times New Roman" w:hAnsi="Times New Roman" w:cs="Times New Roman"/>
          <w:color w:val="auto"/>
          <w:sz w:val="24"/>
          <w:highlight w:val="none"/>
          <w:lang w:val="en-US" w:eastAsia="zh-CN"/>
        </w:rPr>
        <w:t>不会降低所在地地表水环境质量</w:t>
      </w:r>
      <w:r>
        <w:rPr>
          <w:rFonts w:hint="eastAsia"/>
          <w:bCs/>
          <w:color w:val="auto"/>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③声环境</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color w:val="auto"/>
          <w:lang w:val="en-US" w:eastAsia="zh-CN"/>
        </w:rPr>
      </w:pPr>
      <w:r>
        <w:rPr>
          <w:rFonts w:hint="default" w:ascii="Times New Roman" w:hAnsi="Times New Roman" w:cs="Times New Roman"/>
          <w:color w:val="auto"/>
          <w:sz w:val="24"/>
          <w:szCs w:val="24"/>
          <w:highlight w:val="none"/>
          <w:lang w:val="en-US" w:eastAsia="zh-CN"/>
        </w:rPr>
        <w:t>项目所在地</w:t>
      </w:r>
      <w:r>
        <w:rPr>
          <w:rFonts w:hint="eastAsia" w:cs="Times New Roman"/>
          <w:color w:val="auto"/>
          <w:sz w:val="24"/>
          <w:szCs w:val="24"/>
          <w:highlight w:val="none"/>
          <w:lang w:val="en-US" w:eastAsia="zh-CN"/>
        </w:rPr>
        <w:t>边界及敏感点</w:t>
      </w:r>
      <w:r>
        <w:rPr>
          <w:rFonts w:hint="default" w:ascii="Times New Roman" w:hAnsi="Times New Roman" w:cs="Times New Roman"/>
          <w:color w:val="auto"/>
          <w:sz w:val="24"/>
          <w:szCs w:val="24"/>
          <w:highlight w:val="none"/>
          <w:lang w:val="en-US" w:eastAsia="zh-CN"/>
        </w:rPr>
        <w:t>昼、夜间噪声均符合《声环境质量标准》(GB3096-2008)中</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类准</w:t>
      </w:r>
      <w:r>
        <w:rPr>
          <w:rFonts w:hint="eastAsia" w:ascii="Times New Roman" w:hAnsi="Times New Roman" w:cs="Times New Roman"/>
          <w:color w:val="auto"/>
          <w:sz w:val="24"/>
          <w:szCs w:val="24"/>
          <w:highlight w:val="none"/>
          <w:lang w:val="en-US" w:eastAsia="zh-CN"/>
        </w:rPr>
        <w:t>。本项目</w:t>
      </w:r>
      <w:r>
        <w:rPr>
          <w:rFonts w:hint="eastAsia"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综合</w:t>
      </w:r>
      <w:r>
        <w:rPr>
          <w:rFonts w:hint="eastAsia" w:ascii="Times New Roman" w:hAnsi="Times New Roman" w:cs="Times New Roman"/>
          <w:color w:val="auto"/>
          <w:sz w:val="24"/>
          <w:highlight w:val="none"/>
          <w:lang w:val="en-US" w:eastAsia="zh-CN"/>
        </w:rPr>
        <w:t>医院建设项目</w:t>
      </w:r>
      <w:r>
        <w:rPr>
          <w:rFonts w:hint="eastAsia" w:ascii="Times New Roman" w:hAnsi="Times New Roman" w:cs="Times New Roman"/>
          <w:color w:val="auto"/>
          <w:sz w:val="24"/>
          <w:szCs w:val="24"/>
          <w:highlight w:val="none"/>
          <w:lang w:val="en-US" w:eastAsia="zh-CN"/>
        </w:rPr>
        <w:t>，项目噪声源</w:t>
      </w:r>
      <w:r>
        <w:rPr>
          <w:rFonts w:hint="eastAsia" w:cs="Times New Roman"/>
          <w:color w:val="auto"/>
          <w:sz w:val="24"/>
          <w:szCs w:val="24"/>
          <w:highlight w:val="none"/>
          <w:lang w:val="en-US" w:eastAsia="zh-CN"/>
        </w:rPr>
        <w:t>基本都布置在地下一层和楼顶</w:t>
      </w:r>
      <w:r>
        <w:rPr>
          <w:rFonts w:hint="eastAsia" w:ascii="Times New Roman" w:hAnsi="Times New Roman" w:cs="Times New Roman"/>
          <w:color w:val="auto"/>
          <w:sz w:val="24"/>
          <w:szCs w:val="24"/>
          <w:highlight w:val="none"/>
          <w:lang w:val="en-US" w:eastAsia="zh-CN"/>
        </w:rPr>
        <w:t>，不会对区域声环境</w:t>
      </w:r>
      <w:r>
        <w:rPr>
          <w:rFonts w:hint="default" w:ascii="Times New Roman" w:hAnsi="Times New Roman" w:cs="Times New Roman"/>
          <w:color w:val="auto"/>
          <w:sz w:val="24"/>
          <w:szCs w:val="24"/>
          <w:highlight w:val="none"/>
          <w:lang w:val="en-US" w:eastAsia="zh-CN"/>
        </w:rPr>
        <w:t>质量</w:t>
      </w:r>
      <w:r>
        <w:rPr>
          <w:rFonts w:hint="eastAsia" w:ascii="Times New Roman" w:hAnsi="Times New Roman" w:cs="Times New Roman"/>
          <w:color w:val="auto"/>
          <w:sz w:val="24"/>
          <w:szCs w:val="24"/>
          <w:highlight w:val="none"/>
          <w:lang w:val="en-US" w:eastAsia="zh-CN"/>
        </w:rPr>
        <w:t>造成明显影响。</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eastAsia="宋体"/>
          <w:color w:val="auto"/>
          <w:lang w:eastAsia="zh-CN"/>
        </w:rPr>
        <w:t>（</w:t>
      </w:r>
      <w:r>
        <w:rPr>
          <w:rFonts w:hint="eastAsia" w:eastAsia="宋体"/>
          <w:color w:val="auto"/>
          <w:lang w:val="en-US" w:eastAsia="zh-CN"/>
        </w:rPr>
        <w:t>3</w:t>
      </w:r>
      <w:r>
        <w:rPr>
          <w:rFonts w:hint="eastAsia" w:eastAsia="宋体"/>
          <w:color w:val="auto"/>
          <w:lang w:eastAsia="zh-CN"/>
        </w:rPr>
        <w:t>）</w:t>
      </w:r>
      <w:r>
        <w:rPr>
          <w:rFonts w:hint="eastAsia"/>
          <w:color w:val="auto"/>
        </w:rPr>
        <w:t>资源利用上线</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本项目所用资源主要为电能</w:t>
      </w:r>
      <w:r>
        <w:rPr>
          <w:rFonts w:hint="eastAsia"/>
          <w:color w:val="auto"/>
          <w:lang w:eastAsia="zh-CN"/>
        </w:rPr>
        <w:t>、天然气、</w:t>
      </w:r>
      <w:r>
        <w:rPr>
          <w:rFonts w:hint="eastAsia"/>
          <w:color w:val="auto"/>
        </w:rPr>
        <w:t>水和土地等，</w:t>
      </w:r>
      <w:r>
        <w:rPr>
          <w:rFonts w:hint="default" w:ascii="Times New Roman" w:hAnsi="Times New Roman" w:eastAsia="宋体" w:cs="Times New Roman"/>
          <w:color w:val="auto"/>
          <w:szCs w:val="22"/>
        </w:rPr>
        <w:t>水、电</w:t>
      </w:r>
      <w:r>
        <w:rPr>
          <w:rFonts w:hint="eastAsia"/>
          <w:color w:val="auto"/>
          <w:lang w:eastAsia="zh-CN"/>
        </w:rPr>
        <w:t>、天然气分别</w:t>
      </w:r>
      <w:r>
        <w:rPr>
          <w:rFonts w:hint="default" w:ascii="Times New Roman" w:hAnsi="Times New Roman" w:eastAsia="宋体" w:cs="Times New Roman"/>
          <w:color w:val="auto"/>
          <w:szCs w:val="22"/>
        </w:rPr>
        <w:t>由市政供水、供电</w:t>
      </w:r>
      <w:r>
        <w:rPr>
          <w:rFonts w:hint="eastAsia" w:ascii="Times New Roman" w:hAnsi="Times New Roman" w:eastAsia="宋体" w:cs="Times New Roman"/>
          <w:color w:val="auto"/>
          <w:szCs w:val="22"/>
          <w:lang w:eastAsia="zh-CN"/>
        </w:rPr>
        <w:t>、</w:t>
      </w:r>
      <w:r>
        <w:rPr>
          <w:rFonts w:hint="eastAsia"/>
          <w:color w:val="auto"/>
          <w:lang w:eastAsia="zh-CN"/>
        </w:rPr>
        <w:t>天然气</w:t>
      </w:r>
      <w:r>
        <w:rPr>
          <w:rFonts w:hint="default" w:ascii="Times New Roman" w:hAnsi="Times New Roman" w:eastAsia="宋体" w:cs="Times New Roman"/>
          <w:color w:val="auto"/>
          <w:szCs w:val="22"/>
        </w:rPr>
        <w:t>管网提供</w:t>
      </w:r>
      <w:r>
        <w:rPr>
          <w:rFonts w:hint="eastAsia" w:ascii="Times New Roman" w:hAnsi="Times New Roman" w:eastAsia="宋体" w:cs="Times New Roman"/>
          <w:color w:val="auto"/>
          <w:szCs w:val="22"/>
          <w:lang w:eastAsia="zh-CN"/>
        </w:rPr>
        <w:t>；项目位于</w:t>
      </w:r>
      <w:r>
        <w:rPr>
          <w:rFonts w:hint="eastAsia" w:hAnsi="宋体"/>
          <w:bCs/>
          <w:color w:val="auto"/>
          <w:lang w:val="en-US" w:eastAsia="zh-CN"/>
        </w:rPr>
        <w:t>合肥市滨湖新区锦绣大道与江苏路交口西南侧</w:t>
      </w:r>
      <w:r>
        <w:rPr>
          <w:rFonts w:hint="eastAsia" w:ascii="宋体" w:hAnsi="宋体" w:eastAsia="宋体" w:cs="宋体"/>
          <w:color w:val="auto"/>
          <w:kern w:val="0"/>
          <w:sz w:val="24"/>
          <w:szCs w:val="24"/>
          <w:lang w:val="en-US" w:eastAsia="zh-CN" w:bidi="ar"/>
        </w:rPr>
        <w:t>，</w:t>
      </w:r>
      <w:r>
        <w:rPr>
          <w:rFonts w:hint="eastAsia" w:ascii="Times New Roman" w:hAnsi="Times New Roman" w:eastAsia="宋体" w:cs="Times New Roman"/>
          <w:color w:val="auto"/>
          <w:szCs w:val="22"/>
          <w:lang w:eastAsia="zh-CN"/>
        </w:rPr>
        <w:t>区域能源</w:t>
      </w:r>
      <w:r>
        <w:rPr>
          <w:rFonts w:hint="default" w:ascii="Times New Roman" w:hAnsi="Times New Roman" w:eastAsia="宋体" w:cs="Times New Roman"/>
          <w:color w:val="auto"/>
          <w:szCs w:val="22"/>
        </w:rPr>
        <w:t>余量充足</w:t>
      </w:r>
      <w:r>
        <w:rPr>
          <w:rFonts w:hint="eastAsia"/>
          <w:color w:val="auto"/>
        </w:rPr>
        <w:t>，</w:t>
      </w:r>
      <w:r>
        <w:rPr>
          <w:rFonts w:hint="eastAsia"/>
          <w:color w:val="auto"/>
          <w:lang w:eastAsia="zh-CN"/>
        </w:rPr>
        <w:t>能够满足本项目需求。因此，</w:t>
      </w:r>
      <w:r>
        <w:rPr>
          <w:rFonts w:hint="eastAsia" w:eastAsia="宋体"/>
          <w:color w:val="auto"/>
          <w:lang w:val="en-US" w:eastAsia="zh-CN"/>
        </w:rPr>
        <w:t>本项目所消耗的</w:t>
      </w:r>
      <w:r>
        <w:rPr>
          <w:rFonts w:hint="eastAsia"/>
          <w:color w:val="auto"/>
        </w:rPr>
        <w:t>电</w:t>
      </w:r>
      <w:r>
        <w:rPr>
          <w:rFonts w:hint="eastAsia"/>
          <w:color w:val="auto"/>
          <w:lang w:eastAsia="zh-CN"/>
        </w:rPr>
        <w:t>、天然气</w:t>
      </w:r>
      <w:r>
        <w:rPr>
          <w:rFonts w:hint="eastAsia"/>
          <w:color w:val="auto"/>
        </w:rPr>
        <w:t>和水</w:t>
      </w:r>
      <w:r>
        <w:rPr>
          <w:rFonts w:hint="eastAsia" w:eastAsia="宋体"/>
          <w:color w:val="auto"/>
          <w:lang w:val="en-US" w:eastAsia="zh-CN"/>
        </w:rPr>
        <w:t>资源不会突破</w:t>
      </w:r>
      <w:r>
        <w:rPr>
          <w:rFonts w:hint="eastAsia"/>
          <w:color w:val="auto"/>
        </w:rPr>
        <w:t>上线</w:t>
      </w:r>
      <w:r>
        <w:rPr>
          <w:rFonts w:hint="eastAsia" w:eastAsia="宋体"/>
          <w:color w:val="auto"/>
          <w:lang w:eastAsia="zh-CN"/>
        </w:rPr>
        <w:t>，</w:t>
      </w:r>
      <w:r>
        <w:rPr>
          <w:rFonts w:hint="eastAsia"/>
          <w:color w:val="auto"/>
        </w:rPr>
        <w:t>符合资源利用上线要求。</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环境准入负面清单</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Times New Roman" w:hAnsi="Times New Roman" w:cs="Times New Roman"/>
          <w:color w:val="auto"/>
          <w:sz w:val="24"/>
          <w:szCs w:val="24"/>
          <w:u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sz w:val="24"/>
          <w:szCs w:val="24"/>
          <w:u w:val="none"/>
        </w:rPr>
        <w:t>环境准入负面清单是基于生态保护红线、环境质量底线和资源利用上线，以清单方式列出的禁止、限制等差别化环境准入条件和要求。</w:t>
      </w:r>
      <w:r>
        <w:rPr>
          <w:rFonts w:hint="eastAsia" w:cs="Times New Roman"/>
          <w:color w:val="auto"/>
          <w:sz w:val="24"/>
          <w:szCs w:val="24"/>
          <w:u w:val="none"/>
          <w:lang w:eastAsia="zh-CN"/>
        </w:rPr>
        <w:t>对照</w:t>
      </w:r>
      <w:r>
        <w:rPr>
          <w:rFonts w:hint="default" w:ascii="Times New Roman" w:hAnsi="Times New Roman" w:cs="Times New Roman"/>
          <w:color w:val="auto"/>
          <w:szCs w:val="23"/>
        </w:rPr>
        <w:t>《产业结构调整指导目录（2019年本）》</w:t>
      </w:r>
      <w:r>
        <w:rPr>
          <w:rFonts w:hint="eastAsia" w:ascii="Times New Roman" w:hAnsi="Times New Roman" w:cs="Times New Roman"/>
          <w:color w:val="auto"/>
          <w:szCs w:val="23"/>
          <w:lang w:eastAsia="zh-CN"/>
        </w:rPr>
        <w:t>（</w:t>
      </w:r>
      <w:r>
        <w:rPr>
          <w:rFonts w:hint="eastAsia" w:ascii="Times New Roman" w:hAnsi="Times New Roman" w:cs="Times New Roman"/>
          <w:color w:val="auto"/>
          <w:szCs w:val="23"/>
          <w:lang w:val="en-US" w:eastAsia="zh-CN"/>
        </w:rPr>
        <w:t>2021年修改）</w:t>
      </w:r>
      <w:r>
        <w:rPr>
          <w:rFonts w:hint="eastAsia" w:cs="Times New Roman"/>
          <w:color w:val="auto"/>
          <w:sz w:val="24"/>
          <w:szCs w:val="24"/>
          <w:u w:val="none"/>
          <w:lang w:eastAsia="zh-CN"/>
        </w:rPr>
        <w:t>、《</w:t>
      </w:r>
      <w:r>
        <w:rPr>
          <w:rFonts w:hint="eastAsia" w:cs="Times New Roman"/>
          <w:color w:val="auto"/>
          <w:sz w:val="24"/>
          <w:szCs w:val="24"/>
          <w:u w:val="none"/>
          <w:lang w:val="en-US" w:eastAsia="zh-CN"/>
        </w:rPr>
        <w:t>市场准入负面清单</w:t>
      </w:r>
      <w:r>
        <w:rPr>
          <w:rFonts w:hint="eastAsia" w:cs="Times New Roman"/>
          <w:color w:val="auto"/>
          <w:sz w:val="24"/>
          <w:szCs w:val="24"/>
          <w:u w:val="none"/>
          <w:lang w:eastAsia="zh-CN"/>
        </w:rPr>
        <w:t>》、</w:t>
      </w:r>
      <w:r>
        <w:rPr>
          <w:rFonts w:hint="eastAsia" w:cs="Times New Roman"/>
          <w:b/>
          <w:bCs/>
          <w:color w:val="auto"/>
          <w:sz w:val="24"/>
          <w:szCs w:val="24"/>
          <w:u w:val="none"/>
          <w:lang w:eastAsia="zh-CN"/>
        </w:rPr>
        <w:t>《</w:t>
      </w:r>
      <w:r>
        <w:rPr>
          <w:rFonts w:hint="eastAsia" w:cs="Times New Roman"/>
          <w:b/>
          <w:bCs/>
          <w:color w:val="auto"/>
          <w:sz w:val="24"/>
          <w:szCs w:val="24"/>
          <w:u w:val="none"/>
          <w:lang w:val="en-US" w:eastAsia="zh-CN"/>
        </w:rPr>
        <w:t>巢湖流域禁止和限制产业产品目录（皖发改委资[2021]6号）</w:t>
      </w:r>
      <w:r>
        <w:rPr>
          <w:rFonts w:hint="eastAsia" w:cs="Times New Roman"/>
          <w:b/>
          <w:bCs/>
          <w:color w:val="auto"/>
          <w:sz w:val="24"/>
          <w:szCs w:val="24"/>
          <w:u w:val="none"/>
          <w:lang w:eastAsia="zh-CN"/>
        </w:rPr>
        <w:t>》</w:t>
      </w:r>
      <w:r>
        <w:rPr>
          <w:rFonts w:hint="eastAsia" w:ascii="Times New Roman" w:hAnsi="Times New Roman" w:cs="Times New Roman"/>
          <w:color w:val="auto"/>
          <w:sz w:val="24"/>
          <w:szCs w:val="24"/>
          <w:u w:val="none"/>
          <w:lang w:val="en-US" w:eastAsia="zh-CN"/>
        </w:rPr>
        <w:t>，</w:t>
      </w:r>
      <w:r>
        <w:rPr>
          <w:rFonts w:hint="eastAsia" w:cs="Times New Roman"/>
          <w:color w:val="auto"/>
          <w:sz w:val="24"/>
          <w:szCs w:val="24"/>
          <w:u w:val="none"/>
          <w:lang w:val="en-US" w:eastAsia="zh-CN"/>
        </w:rPr>
        <w:t>本项目</w:t>
      </w:r>
      <w:r>
        <w:rPr>
          <w:rFonts w:hint="eastAsia" w:ascii="Times New Roman" w:hAnsi="Times New Roman" w:cs="Times New Roman"/>
          <w:color w:val="auto"/>
          <w:sz w:val="24"/>
          <w:szCs w:val="24"/>
          <w:u w:val="none"/>
          <w:lang w:val="en-US" w:eastAsia="zh-CN"/>
        </w:rPr>
        <w:t>不在报告所列的负面清单内</w:t>
      </w:r>
      <w:r>
        <w:rPr>
          <w:rFonts w:hint="eastAsia" w:cs="Times New Roman"/>
          <w:color w:val="auto"/>
          <w:sz w:val="24"/>
          <w:szCs w:val="24"/>
          <w:u w:val="none"/>
          <w:lang w:val="en-US" w:eastAsia="zh-CN"/>
        </w:rPr>
        <w:t>，且属于《产业结构调整指导目录（2019年本）》（2021年修改）中</w:t>
      </w:r>
      <w:r>
        <w:rPr>
          <w:rFonts w:hint="eastAsia" w:cs="Times New Roman"/>
          <w:b/>
          <w:bCs/>
          <w:color w:val="auto"/>
          <w:sz w:val="24"/>
          <w:szCs w:val="24"/>
          <w:u w:val="none"/>
          <w:lang w:val="en-US" w:eastAsia="zh-CN"/>
        </w:rPr>
        <w:t>鼓励类</w:t>
      </w:r>
      <w:r>
        <w:rPr>
          <w:rFonts w:hint="eastAsia" w:cs="Times New Roman"/>
          <w:color w:val="auto"/>
          <w:sz w:val="24"/>
          <w:szCs w:val="24"/>
          <w:u w:val="none"/>
          <w:lang w:val="en-US" w:eastAsia="zh-CN"/>
        </w:rPr>
        <w:t>项目。因此，项目允许建设</w:t>
      </w:r>
      <w:r>
        <w:rPr>
          <w:rFonts w:hint="eastAsia" w:ascii="Times New Roman" w:hAnsi="Times New Roman" w:cs="Times New Roman"/>
          <w:color w:val="auto"/>
          <w:sz w:val="24"/>
          <w:szCs w:val="24"/>
          <w:u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eastAsia="宋体"/>
          <w:color w:val="auto"/>
          <w:u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1184275</wp:posOffset>
                </wp:positionH>
                <wp:positionV relativeFrom="paragraph">
                  <wp:posOffset>7655560</wp:posOffset>
                </wp:positionV>
                <wp:extent cx="2640965" cy="400050"/>
                <wp:effectExtent l="0" t="0" r="0" b="0"/>
                <wp:wrapNone/>
                <wp:docPr id="128" name="文本框 913"/>
                <wp:cNvGraphicFramePr/>
                <a:graphic xmlns:a="http://schemas.openxmlformats.org/drawingml/2006/main">
                  <a:graphicData uri="http://schemas.microsoft.com/office/word/2010/wordprocessingShape">
                    <wps:wsp>
                      <wps:cNvSpPr txBox="1"/>
                      <wps:spPr>
                        <a:xfrm>
                          <a:off x="0" y="0"/>
                          <a:ext cx="2640965" cy="40005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sz w:val="21"/>
                                <w:szCs w:val="21"/>
                                <w:lang w:val="en-US" w:eastAsia="zh-CN"/>
                              </w:rPr>
                            </w:pPr>
                            <w:r>
                              <w:rPr>
                                <w:rFonts w:hint="eastAsia"/>
                                <w:b/>
                                <w:bCs/>
                                <w:sz w:val="21"/>
                                <w:szCs w:val="21"/>
                                <w:lang w:eastAsia="zh-CN"/>
                              </w:rPr>
                              <w:t>附图</w:t>
                            </w:r>
                            <w:r>
                              <w:rPr>
                                <w:rFonts w:hint="eastAsia"/>
                                <w:b/>
                                <w:bCs/>
                                <w:sz w:val="21"/>
                                <w:szCs w:val="21"/>
                                <w:lang w:val="en-US" w:eastAsia="zh-CN"/>
                              </w:rPr>
                              <w:t>2.7-3 合肥市生态保护红线图</w:t>
                            </w:r>
                          </w:p>
                        </w:txbxContent>
                      </wps:txbx>
                      <wps:bodyPr vert="horz" wrap="square" anchor="t" anchorCtr="0" upright="1"/>
                    </wps:wsp>
                  </a:graphicData>
                </a:graphic>
              </wp:anchor>
            </w:drawing>
          </mc:Choice>
          <mc:Fallback>
            <w:pict>
              <v:shape id="文本框 913" o:spid="_x0000_s1026" o:spt="202" type="#_x0000_t202" style="position:absolute;left:0pt;margin-left:93.25pt;margin-top:602.8pt;height:31.5pt;width:207.95pt;z-index:251683840;mso-width-relative:page;mso-height-relative:page;" filled="f" stroked="f" coordsize="21600,21600" o:gfxdata="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SBdLy9cAAAANAQAADwAAAAAAAAABACAAAAAiAAAA&#10;ZHJzL2Rvd25yZXYueG1sUEsBAhQAFAAAAAgAh07iQBSdupbPAQAAhQMAAA4AAAAAAAAAAQAgAAAA&#10;JgEAAGRycy9lMm9Eb2MueG1sUEsFBgAAAAAGAAYAWQEAAGcFA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sz w:val="21"/>
                          <w:szCs w:val="21"/>
                          <w:lang w:val="en-US" w:eastAsia="zh-CN"/>
                        </w:rPr>
                      </w:pPr>
                      <w:r>
                        <w:rPr>
                          <w:rFonts w:hint="eastAsia"/>
                          <w:b/>
                          <w:bCs/>
                          <w:sz w:val="21"/>
                          <w:szCs w:val="21"/>
                          <w:lang w:eastAsia="zh-CN"/>
                        </w:rPr>
                        <w:t>附图</w:t>
                      </w:r>
                      <w:r>
                        <w:rPr>
                          <w:rFonts w:hint="eastAsia"/>
                          <w:b/>
                          <w:bCs/>
                          <w:sz w:val="21"/>
                          <w:szCs w:val="21"/>
                          <w:lang w:val="en-US" w:eastAsia="zh-CN"/>
                        </w:rPr>
                        <w:t>2.7-3 合肥市生态保护红线图</w:t>
                      </w:r>
                    </w:p>
                  </w:txbxContent>
                </v:textbox>
              </v:shape>
            </w:pict>
          </mc:Fallback>
        </mc:AlternateContent>
      </w:r>
      <w:r>
        <w:rPr>
          <w:color w:val="auto"/>
          <w:sz w:val="24"/>
        </w:rPr>
        <mc:AlternateContent>
          <mc:Choice Requires="wpg">
            <w:drawing>
              <wp:anchor distT="0" distB="0" distL="114300" distR="114300" simplePos="0" relativeHeight="251678720" behindDoc="0" locked="0" layoutInCell="1" allowOverlap="1">
                <wp:simplePos x="0" y="0"/>
                <wp:positionH relativeFrom="column">
                  <wp:posOffset>2449195</wp:posOffset>
                </wp:positionH>
                <wp:positionV relativeFrom="paragraph">
                  <wp:posOffset>2561590</wp:posOffset>
                </wp:positionV>
                <wp:extent cx="1016000" cy="1360170"/>
                <wp:effectExtent l="4445" t="4445" r="8255" b="6985"/>
                <wp:wrapNone/>
                <wp:docPr id="120" name="组合 980"/>
                <wp:cNvGraphicFramePr/>
                <a:graphic xmlns:a="http://schemas.openxmlformats.org/drawingml/2006/main">
                  <a:graphicData uri="http://schemas.microsoft.com/office/word/2010/wordprocessingGroup">
                    <wpg:wgp>
                      <wpg:cNvGrpSpPr/>
                      <wpg:grpSpPr>
                        <a:xfrm>
                          <a:off x="0" y="0"/>
                          <a:ext cx="1016000" cy="1360170"/>
                          <a:chOff x="5732" y="637279"/>
                          <a:chExt cx="1600" cy="2142"/>
                        </a:xfrm>
                      </wpg:grpSpPr>
                      <wps:wsp>
                        <wps:cNvPr id="118" name="自选图形 586"/>
                        <wps:cNvSpPr/>
                        <wps:spPr>
                          <a:xfrm>
                            <a:off x="5732" y="637279"/>
                            <a:ext cx="1600" cy="480"/>
                          </a:xfrm>
                          <a:prstGeom prst="wedgeRectCallout">
                            <a:avLst>
                              <a:gd name="adj1" fmla="val -15750"/>
                              <a:gd name="adj2" fmla="val 360208"/>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default" w:eastAsia="宋体"/>
                                  <w:lang w:val="en-US" w:eastAsia="zh-CN"/>
                                </w:rPr>
                              </w:pPr>
                              <w:r>
                                <w:rPr>
                                  <w:rFonts w:hint="eastAsia"/>
                                  <w:lang w:val="en-US" w:eastAsia="zh-CN"/>
                                </w:rPr>
                                <w:t>项目所在地</w:t>
                              </w:r>
                            </w:p>
                          </w:txbxContent>
                        </wps:txbx>
                        <wps:bodyPr vert="horz" wrap="square" anchor="t" anchorCtr="0" upright="1"/>
                      </wps:wsp>
                      <wps:wsp>
                        <wps:cNvPr id="119" name="自选图形 722"/>
                        <wps:cNvSpPr/>
                        <wps:spPr>
                          <a:xfrm>
                            <a:off x="6136" y="639196"/>
                            <a:ext cx="287" cy="225"/>
                          </a:xfrm>
                          <a:prstGeom prst="star4">
                            <a:avLst>
                              <a:gd name="adj" fmla="val 12500"/>
                            </a:avLst>
                          </a:prstGeom>
                          <a:solidFill>
                            <a:srgbClr val="FF0000"/>
                          </a:solidFill>
                          <a:ln>
                            <a:noFill/>
                          </a:ln>
                        </wps:spPr>
                        <wps:bodyPr vert="horz" wrap="square" anchor="t" anchorCtr="0" upright="1"/>
                      </wps:wsp>
                    </wpg:wgp>
                  </a:graphicData>
                </a:graphic>
              </wp:anchor>
            </w:drawing>
          </mc:Choice>
          <mc:Fallback>
            <w:pict>
              <v:group id="组合 980" o:spid="_x0000_s1026" o:spt="203" style="position:absolute;left:0pt;margin-left:192.85pt;margin-top:201.7pt;height:107.1pt;width:80pt;z-index:251678720;mso-width-relative:page;mso-height-relative:page;" coordorigin="5732,637279" coordsize="1600,2142" o:gfxdata="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">
                <o:lock v:ext="edit" aspectratio="f"/>
                <v:shape id="自选图形 586" o:spid="_x0000_s1026" o:spt="61" type="#_x0000_t61" style="position:absolute;left:5732;top:637279;height:480;width:1600;" fillcolor="#FFFFFF" filled="t" stroked="t" coordsize="21600,21600" o:gfxdata="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7F6l6/&#10;AAAA3AAAAA8AAAAAAAAAAQAgAAAAIgAAAGRycy9kb3ducmV2LnhtbFBLAQIUABQAAAAIAIdO4kAz&#10;LwWeOwAAADkAAAAQAAAAAAAAAAEAIAAAAA4BAABkcnMvc2hhcGV4bWwueG1sUEsFBgAAAAAGAAYA&#10;WwEAALgDAAAAAA==&#10;" adj="7398,88605">
                  <v:fill on="t" focussize="0,0"/>
                  <v:stroke color="#000000" joinstyle="miter"/>
                  <v:imagedata o:title=""/>
                  <o:lock v:ext="edit" aspectratio="f"/>
                  <v:textbox>
                    <w:txbxContent>
                      <w:p>
                        <w:pPr>
                          <w:spacing w:line="240" w:lineRule="auto"/>
                          <w:ind w:left="0" w:leftChars="0" w:firstLine="0" w:firstLineChars="0"/>
                          <w:rPr>
                            <w:rFonts w:hint="default" w:eastAsia="宋体"/>
                            <w:lang w:val="en-US" w:eastAsia="zh-CN"/>
                          </w:rPr>
                        </w:pPr>
                        <w:r>
                          <w:rPr>
                            <w:rFonts w:hint="eastAsia"/>
                            <w:lang w:val="en-US" w:eastAsia="zh-CN"/>
                          </w:rPr>
                          <w:t>项目所在地</w:t>
                        </w:r>
                      </w:p>
                    </w:txbxContent>
                  </v:textbox>
                </v:shape>
                <v:shape id="自选图形 722" o:spid="_x0000_s1026" o:spt="187" type="#_x0000_t187" style="position:absolute;left:6136;top:639196;height:225;width:287;" fillcolor="#FF0000" filled="t" stroked="f" coordsize="21600,21600" o:gfxdata="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rKuAK5AAAA3AAA&#10;AA8AAAAAAAAAAQAgAAAAIgAAAGRycy9kb3ducmV2LnhtbFBLAQIUABQAAAAIAIdO4kAzLwWeOwAA&#10;ADkAAAAQAAAAAAAAAAEAIAAAAAgBAABkcnMvc2hhcGV4bWwueG1sUEsFBgAAAAAGAAYAWwEAALID&#10;AAAAAA==&#10;" adj="8100">
                  <v:fill on="t" focussize="0,0"/>
                  <v:stroke on="f"/>
                  <v:imagedata o:title=""/>
                  <o:lock v:ext="edit" aspectratio="f"/>
                </v:shape>
              </v:group>
            </w:pict>
          </mc:Fallback>
        </mc:AlternateContent>
      </w:r>
      <w:r>
        <w:rPr>
          <w:color w:val="auto"/>
          <w:sz w:val="24"/>
        </w:rPr>
        <w:drawing>
          <wp:inline distT="0" distB="0" distL="114300" distR="114300">
            <wp:extent cx="5273040" cy="7451725"/>
            <wp:effectExtent l="0" t="0" r="3810" b="15875"/>
            <wp:docPr id="2" name="图片 2" descr="合肥市生态保护红线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合肥市生态保护红线分布图"/>
                    <pic:cNvPicPr>
                      <a:picLocks noChangeAspect="1"/>
                    </pic:cNvPicPr>
                  </pic:nvPicPr>
                  <pic:blipFill>
                    <a:blip r:embed="rId20"/>
                    <a:stretch>
                      <a:fillRect/>
                    </a:stretch>
                  </pic:blipFill>
                  <pic:spPr>
                    <a:xfrm>
                      <a:off x="0" y="0"/>
                      <a:ext cx="5273040" cy="7451725"/>
                    </a:xfrm>
                    <a:prstGeom prst="rect">
                      <a:avLst/>
                    </a:prstGeom>
                  </pic:spPr>
                </pic:pic>
              </a:graphicData>
            </a:graphic>
          </wp:inline>
        </w:drawing>
      </w:r>
    </w:p>
    <w:p>
      <w:pPr>
        <w:pStyle w:val="5"/>
        <w:keepNext/>
        <w:keepLines/>
        <w:pageBreakBefore w:val="0"/>
        <w:widowControl w:val="0"/>
        <w:kinsoku/>
        <w:wordWrap/>
        <w:overflowPunct/>
        <w:topLinePunct w:val="0"/>
        <w:autoSpaceDE/>
        <w:autoSpaceDN/>
        <w:bidi w:val="0"/>
        <w:adjustRightInd/>
        <w:snapToGrid/>
        <w:spacing w:before="0" w:beforeLines="0" w:line="360" w:lineRule="auto"/>
        <w:ind w:left="0" w:right="0" w:rightChars="0" w:firstLine="0" w:firstLineChars="0"/>
        <w:textAlignment w:val="auto"/>
        <w:rPr>
          <w:rFonts w:hint="eastAsia"/>
          <w:color w:val="auto"/>
        </w:rPr>
      </w:pPr>
      <w:r>
        <w:rPr>
          <w:rFonts w:hint="eastAsia"/>
          <w:color w:val="auto"/>
        </w:rPr>
        <w:t>与《合肥市国民经济和社会发展第十四个五年规划和2</w:t>
      </w:r>
      <w:r>
        <w:rPr>
          <w:color w:val="auto"/>
        </w:rPr>
        <w:t>035</w:t>
      </w:r>
      <w:r>
        <w:rPr>
          <w:rFonts w:hint="eastAsia"/>
          <w:color w:val="auto"/>
        </w:rPr>
        <w:t>年远景目标刚要》相符性分析</w:t>
      </w:r>
    </w:p>
    <w:p>
      <w:pPr>
        <w:pStyle w:val="341"/>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《合肥市国民经济和社会发展第十四个五年规划和2</w:t>
      </w:r>
      <w:r>
        <w:rPr>
          <w:color w:val="auto"/>
        </w:rPr>
        <w:t>035</w:t>
      </w:r>
      <w:r>
        <w:rPr>
          <w:rFonts w:hint="eastAsia"/>
          <w:color w:val="auto"/>
        </w:rPr>
        <w:t>年远景目标刚要》中指出应</w:t>
      </w:r>
      <w:r>
        <w:rPr>
          <w:color w:val="auto"/>
        </w:rPr>
        <w:t>强化公共卫生服务能力。健全公共卫生应急管理体系，强化疾病预防控制体系，建设平战结合的重大疫情防控救治体制机制。加强应急指挥中心、防疫防控物资储备中心等建设，完善突发公共卫生事件监测预警处置机制，建立更加紧密有效的医防协同体系，提高应对突发公共卫生事件能力。加快推进市公共卫生临床医疗中心、综合医院传染病区等重点项目建设，深化传染病院“省市共建”，提升重大传染病救治和储备能力，建设区域性传染病救治基地。持续强化医学重点专科及人才队伍建设，加强全科医生培养，优化提升公共卫生机构服务水平，全方位全周期保障人民健康。</w:t>
      </w:r>
    </w:p>
    <w:p>
      <w:pPr>
        <w:pStyle w:val="341"/>
        <w:keepNext w:val="0"/>
        <w:keepLines w:val="0"/>
        <w:pageBreakBefore w:val="0"/>
        <w:widowControl w:val="0"/>
        <w:kinsoku/>
        <w:wordWrap/>
        <w:overflowPunct/>
        <w:topLinePunct w:val="0"/>
        <w:autoSpaceDE/>
        <w:autoSpaceDN/>
        <w:bidi w:val="0"/>
        <w:adjustRightInd/>
        <w:snapToGrid/>
        <w:textAlignment w:val="auto"/>
        <w:rPr>
          <w:color w:val="auto"/>
        </w:rPr>
      </w:pPr>
      <w:r>
        <w:rPr>
          <w:color w:val="auto"/>
        </w:rPr>
        <w:t>深化医药卫生领域改革。建立稳定的公共卫生事业投入机制，深化公立医院体制机制改革，支持社会力量办医。加大疾病预防控制体系改革力度，加强农村、社区等基层防控和传染病医疗救治、疫情直报体系建设，提升重特大疫情防控救治能力，健全重大疾病救治制度。大力实施促进中医药传承创新发展专项行动</w:t>
      </w:r>
      <w:r>
        <w:rPr>
          <w:rFonts w:hint="eastAsia"/>
          <w:color w:val="auto"/>
        </w:rPr>
        <w:t>。</w:t>
      </w:r>
    </w:p>
    <w:p>
      <w:pPr>
        <w:pStyle w:val="341"/>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本项目的建设有利于提升合肥市医疗资源供给，有利于进一步强化公共卫生服务能力，项目的建设符合《合肥市国民经济和社会发展第十四个五年规划和2</w:t>
      </w:r>
      <w:r>
        <w:rPr>
          <w:color w:val="auto"/>
        </w:rPr>
        <w:t>035</w:t>
      </w:r>
      <w:r>
        <w:rPr>
          <w:rFonts w:hint="eastAsia"/>
          <w:color w:val="auto"/>
        </w:rPr>
        <w:t>年远景目标刚要》要求。</w:t>
      </w:r>
    </w:p>
    <w:p>
      <w:pPr>
        <w:pStyle w:val="4"/>
        <w:pageBreakBefore w:val="0"/>
        <w:widowControl w:val="0"/>
        <w:kinsoku/>
        <w:wordWrap/>
        <w:overflowPunct/>
        <w:topLinePunct w:val="0"/>
        <w:autoSpaceDE/>
        <w:autoSpaceDN/>
        <w:bidi w:val="0"/>
        <w:adjustRightInd/>
        <w:snapToGrid/>
        <w:spacing w:before="0" w:after="0" w:line="360" w:lineRule="auto"/>
        <w:ind w:left="0" w:right="0" w:rightChars="0"/>
        <w:textAlignment w:val="auto"/>
        <w:rPr>
          <w:rFonts w:hint="eastAsia" w:eastAsia="宋体"/>
          <w:b/>
          <w:bCs/>
          <w:color w:val="auto"/>
        </w:rPr>
      </w:pPr>
      <w:bookmarkStart w:id="30" w:name="_Toc8489"/>
      <w:r>
        <w:rPr>
          <w:rFonts w:hint="eastAsia" w:eastAsia="宋体"/>
          <w:b/>
          <w:bCs/>
          <w:color w:val="auto"/>
        </w:rPr>
        <w:t>环保政策相符性分析</w:t>
      </w:r>
      <w:bookmarkEnd w:id="30"/>
    </w:p>
    <w:p>
      <w:pPr>
        <w:pStyle w:val="5"/>
        <w:keepNext/>
        <w:keepLines/>
        <w:pageBreakBefore w:val="0"/>
        <w:widowControl w:val="0"/>
        <w:kinsoku/>
        <w:wordWrap/>
        <w:overflowPunct/>
        <w:topLinePunct w:val="0"/>
        <w:autoSpaceDE/>
        <w:autoSpaceDN/>
        <w:bidi w:val="0"/>
        <w:adjustRightInd/>
        <w:snapToGrid/>
        <w:spacing w:before="0" w:beforeLines="0" w:line="360" w:lineRule="auto"/>
        <w:ind w:left="0" w:right="0" w:rightChars="0" w:firstLine="0" w:firstLineChars="0"/>
        <w:textAlignment w:val="auto"/>
        <w:rPr>
          <w:rFonts w:hint="eastAsia"/>
          <w:color w:val="auto"/>
        </w:rPr>
      </w:pPr>
      <w:r>
        <w:rPr>
          <w:rFonts w:hint="eastAsia"/>
          <w:color w:val="auto"/>
          <w:lang w:val="en-US" w:eastAsia="zh-CN"/>
        </w:rPr>
        <w:t>与</w:t>
      </w:r>
      <w:r>
        <w:rPr>
          <w:rFonts w:hint="eastAsia" w:ascii="Times New Roman" w:hAnsi="Times New Roman" w:eastAsia="宋体" w:cs="宋体"/>
          <w:color w:val="auto"/>
          <w:kern w:val="2"/>
          <w:sz w:val="24"/>
          <w:szCs w:val="24"/>
          <w:lang w:val="en-US" w:eastAsia="zh-CN" w:bidi="ar"/>
        </w:rPr>
        <w:t>《关于印发长三角地区2020-2021年秋冬季大气污染综合治理攻坚行动方案的通知》（环大气〔2020〕62号）</w:t>
      </w:r>
      <w:r>
        <w:rPr>
          <w:rFonts w:hint="eastAsia" w:eastAsia="宋体" w:cs="宋体"/>
          <w:color w:val="auto"/>
          <w:kern w:val="2"/>
          <w:sz w:val="24"/>
          <w:szCs w:val="24"/>
          <w:lang w:val="en-US" w:eastAsia="zh-CN" w:bidi="ar"/>
        </w:rPr>
        <w:t>相符性分析</w:t>
      </w:r>
    </w:p>
    <w:p>
      <w:pPr>
        <w:spacing w:line="360" w:lineRule="auto"/>
        <w:ind w:firstLine="480" w:firstLineChars="200"/>
        <w:rPr>
          <w:rFonts w:hint="eastAsia" w:eastAsia="宋体" w:cs="宋体"/>
          <w:color w:val="auto"/>
          <w:kern w:val="2"/>
          <w:sz w:val="24"/>
          <w:szCs w:val="24"/>
          <w:highlight w:val="none"/>
          <w:lang w:val="en-US" w:eastAsia="zh-CN" w:bidi="ar"/>
        </w:rPr>
      </w:pPr>
      <w:r>
        <w:rPr>
          <w:rFonts w:hint="eastAsia"/>
          <w:color w:val="auto"/>
          <w:highlight w:val="none"/>
          <w:lang w:val="en-US" w:eastAsia="zh-CN"/>
        </w:rPr>
        <w:t>根据</w:t>
      </w:r>
      <w:r>
        <w:rPr>
          <w:rFonts w:hint="eastAsia" w:ascii="Times New Roman" w:hAnsi="Times New Roman" w:eastAsia="宋体" w:cs="宋体"/>
          <w:color w:val="auto"/>
          <w:kern w:val="2"/>
          <w:sz w:val="24"/>
          <w:szCs w:val="24"/>
          <w:highlight w:val="none"/>
          <w:lang w:val="en-US" w:eastAsia="zh-CN" w:bidi="ar"/>
        </w:rPr>
        <w:t>《关于印发长三角地区2020-202</w:t>
      </w:r>
      <w:r>
        <w:rPr>
          <w:rFonts w:hint="eastAsia" w:cs="宋体"/>
          <w:color w:val="auto"/>
          <w:kern w:val="2"/>
          <w:sz w:val="24"/>
          <w:szCs w:val="24"/>
          <w:highlight w:val="none"/>
          <w:lang w:val="en-US" w:eastAsia="zh-CN" w:bidi="ar"/>
        </w:rPr>
        <w:t>1</w:t>
      </w:r>
      <w:r>
        <w:rPr>
          <w:rFonts w:hint="eastAsia" w:ascii="Times New Roman" w:hAnsi="Times New Roman" w:eastAsia="宋体" w:cs="宋体"/>
          <w:color w:val="auto"/>
          <w:kern w:val="2"/>
          <w:sz w:val="24"/>
          <w:szCs w:val="24"/>
          <w:highlight w:val="none"/>
          <w:lang w:val="en-US" w:eastAsia="zh-CN" w:bidi="ar"/>
        </w:rPr>
        <w:t>年秋冬季大气污染综合治理攻坚行动方案的通知》（环大气〔2020〕62号）</w:t>
      </w:r>
      <w:r>
        <w:rPr>
          <w:rFonts w:hint="eastAsia" w:eastAsia="宋体" w:cs="宋体"/>
          <w:color w:val="auto"/>
          <w:kern w:val="2"/>
          <w:sz w:val="24"/>
          <w:szCs w:val="24"/>
          <w:highlight w:val="none"/>
          <w:lang w:val="en-US" w:eastAsia="zh-CN" w:bidi="ar"/>
        </w:rPr>
        <w:t>，并结合本项目特点进行项目符合性分析。相符性分析见下表。</w:t>
      </w:r>
    </w:p>
    <w:p>
      <w:pPr>
        <w:pStyle w:val="47"/>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表2.</w:t>
      </w:r>
      <w:r>
        <w:rPr>
          <w:rFonts w:hint="eastAsia" w:cs="Times New Roman"/>
          <w:b/>
          <w:bCs/>
          <w:color w:val="auto"/>
          <w:kern w:val="2"/>
          <w:sz w:val="21"/>
          <w:szCs w:val="21"/>
          <w:lang w:val="en-US" w:eastAsia="zh-CN" w:bidi="ar"/>
        </w:rPr>
        <w:t>8</w:t>
      </w:r>
      <w:r>
        <w:rPr>
          <w:rFonts w:hint="default" w:ascii="Times New Roman" w:hAnsi="Times New Roman" w:eastAsia="宋体" w:cs="Times New Roman"/>
          <w:b/>
          <w:bCs/>
          <w:color w:val="auto"/>
          <w:kern w:val="2"/>
          <w:sz w:val="21"/>
          <w:szCs w:val="21"/>
          <w:lang w:val="en-US" w:eastAsia="zh-CN" w:bidi="ar"/>
        </w:rPr>
        <w:t>-1  与《关于印发长三角地区2020-2021年秋冬季大气污染综合治理攻坚行动方案的通知》相符性分析一览表</w:t>
      </w:r>
    </w:p>
    <w:tbl>
      <w:tblPr>
        <w:tblStyle w:val="49"/>
        <w:tblW w:w="502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29"/>
        <w:gridCol w:w="7140"/>
        <w:gridCol w:w="3945"/>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088"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文件要求</w:t>
            </w:r>
          </w:p>
        </w:tc>
        <w:tc>
          <w:tcPr>
            <w:tcW w:w="14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本项目情况</w:t>
            </w:r>
          </w:p>
        </w:tc>
        <w:tc>
          <w:tcPr>
            <w:tcW w:w="5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45" w:type="pct"/>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一、总体要求</w:t>
            </w:r>
          </w:p>
        </w:tc>
        <w:tc>
          <w:tcPr>
            <w:tcW w:w="2543" w:type="pct"/>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（三）</w:t>
            </w:r>
            <w:r>
              <w:rPr>
                <w:rFonts w:hint="default" w:ascii="Times New Roman" w:hAnsi="Times New Roman" w:eastAsia="宋体" w:cs="Times New Roman"/>
                <w:color w:val="auto"/>
                <w:sz w:val="21"/>
                <w:szCs w:val="21"/>
                <w:vertAlign w:val="baseline"/>
                <w:lang w:val="en-US" w:eastAsia="zh-CN"/>
              </w:rPr>
              <w:t>实施范围：</w:t>
            </w:r>
            <w:r>
              <w:rPr>
                <w:rFonts w:hint="default" w:ascii="Times New Roman" w:hAnsi="Times New Roman" w:eastAsia="宋体" w:cs="Times New Roman"/>
                <w:color w:val="auto"/>
                <w:sz w:val="21"/>
                <w:szCs w:val="21"/>
                <w:shd w:val="clear" w:color="auto" w:fill="FFFFFF"/>
              </w:rPr>
              <w:t>长三角地区包括上海市，江苏省南京、无锡、徐州、常州、苏州、南通、连云港、淮安、盐城、扬州、镇江、泰州、宿迁市，浙江省杭州、宁波、温州、湖州、嘉兴、绍兴、金华、衢州、舟山、台州、丽水市，安徽省</w:t>
            </w:r>
            <w:r>
              <w:rPr>
                <w:rFonts w:hint="default" w:ascii="Times New Roman" w:hAnsi="Times New Roman" w:eastAsia="宋体" w:cs="Times New Roman"/>
                <w:b/>
                <w:bCs/>
                <w:color w:val="auto"/>
                <w:sz w:val="21"/>
                <w:szCs w:val="21"/>
                <w:shd w:val="clear" w:color="auto" w:fill="FFFFFF"/>
              </w:rPr>
              <w:t>合肥</w:t>
            </w:r>
            <w:r>
              <w:rPr>
                <w:rFonts w:hint="default" w:ascii="Times New Roman" w:hAnsi="Times New Roman" w:eastAsia="宋体" w:cs="Times New Roman"/>
                <w:color w:val="auto"/>
                <w:sz w:val="21"/>
                <w:szCs w:val="21"/>
                <w:shd w:val="clear" w:color="auto" w:fill="FFFFFF"/>
              </w:rPr>
              <w:t>、淮北、亳州、宿州、</w:t>
            </w:r>
            <w:r>
              <w:rPr>
                <w:rFonts w:hint="default" w:ascii="Times New Roman" w:hAnsi="Times New Roman" w:eastAsia="宋体" w:cs="Times New Roman"/>
                <w:b w:val="0"/>
                <w:bCs w:val="0"/>
                <w:color w:val="auto"/>
                <w:sz w:val="21"/>
                <w:szCs w:val="21"/>
                <w:shd w:val="clear" w:color="auto" w:fill="FFFFFF"/>
              </w:rPr>
              <w:t>阜阳</w:t>
            </w:r>
            <w:r>
              <w:rPr>
                <w:rFonts w:hint="default" w:ascii="Times New Roman" w:hAnsi="Times New Roman" w:eastAsia="宋体" w:cs="Times New Roman"/>
                <w:color w:val="auto"/>
                <w:sz w:val="21"/>
                <w:szCs w:val="21"/>
                <w:shd w:val="clear" w:color="auto" w:fill="FFFFFF"/>
              </w:rPr>
              <w:t>、蚌埠、淮南、滁州、六安、马鞍山、芜湖、宣城、铜陵、池州、安庆、黄山市</w:t>
            </w:r>
          </w:p>
        </w:tc>
        <w:tc>
          <w:tcPr>
            <w:tcW w:w="14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本项目位于合肥市滨湖新区锦绣大道与江苏路交口西南侧，属于实施范围内</w:t>
            </w:r>
          </w:p>
        </w:tc>
        <w:tc>
          <w:tcPr>
            <w:tcW w:w="5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45" w:type="pct"/>
            <w:vMerge w:val="restart"/>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二</w:t>
            </w:r>
            <w:r>
              <w:rPr>
                <w:rFonts w:hint="eastAsia" w:ascii="Times New Roman" w:hAnsi="Times New Roman" w:cs="Times New Roman"/>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lang w:eastAsia="zh-CN"/>
              </w:rPr>
              <w:t>全面完成打赢蓝天保卫战重点任务</w:t>
            </w:r>
          </w:p>
        </w:tc>
        <w:tc>
          <w:tcPr>
            <w:tcW w:w="2543" w:type="pct"/>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rPr>
              <w:t>（十二）深入开展锅炉、炉窑综合整治。依法依规加大燃煤锅炉及茶水炉、经营性炉灶、储粮烘干设备等燃煤设施淘汰整治力度。2020年底前，每小时35蒸吨以下的燃煤锅炉基本淘汰，每小时65蒸吨及以上燃煤锅炉完成节能和超低排放改造</w:t>
            </w:r>
            <w:r>
              <w:rPr>
                <w:rFonts w:hint="eastAsia" w:ascii="Times New Roman" w:hAnsi="Times New Roman" w:cs="宋体"/>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rPr>
              <w:t>燃气锅炉基本完成低氮改造。在保证电力、热力供应前提下，30万千瓦及以上热电联产机组供热半径15公里范围内的燃煤锅炉和落后燃煤小热电完成关停整合。</w:t>
            </w:r>
          </w:p>
        </w:tc>
        <w:tc>
          <w:tcPr>
            <w:tcW w:w="14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项目设有5台燃气热水锅炉（1备4用），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均采用低氮燃烧，</w:t>
            </w:r>
            <w:r>
              <w:rPr>
                <w:rFonts w:hint="default" w:ascii="Times New Roman" w:hAnsi="Times New Roman" w:cs="Times New Roman"/>
                <w:color w:val="auto"/>
                <w:sz w:val="21"/>
                <w:szCs w:val="21"/>
                <w:vertAlign w:val="baseline"/>
                <w:lang w:val="en-US" w:eastAsia="zh-CN"/>
              </w:rPr>
              <w:t>NO</w:t>
            </w:r>
            <w:r>
              <w:rPr>
                <w:rFonts w:hint="default" w:ascii="Times New Roman" w:hAnsi="Times New Roman" w:cs="Times New Roman"/>
                <w:color w:val="auto"/>
                <w:sz w:val="21"/>
                <w:szCs w:val="21"/>
                <w:vertAlign w:val="subscript"/>
                <w:lang w:val="en-US" w:eastAsia="zh-CN"/>
              </w:rPr>
              <w:t>X</w:t>
            </w:r>
            <w:r>
              <w:rPr>
                <w:rFonts w:hint="default" w:ascii="Times New Roman" w:hAnsi="Times New Roman" w:cs="Times New Roman"/>
                <w:color w:val="auto"/>
                <w:sz w:val="21"/>
                <w:szCs w:val="21"/>
                <w:vertAlign w:val="baseline"/>
                <w:lang w:val="en-US" w:eastAsia="zh-CN"/>
              </w:rPr>
              <w:t>排放浓度按照不高于</w:t>
            </w:r>
            <w:r>
              <w:rPr>
                <w:rFonts w:hint="eastAsia"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0毫克/立方米执行</w:t>
            </w:r>
          </w:p>
        </w:tc>
        <w:tc>
          <w:tcPr>
            <w:tcW w:w="5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45" w:type="pct"/>
            <w:vMerge w:val="continue"/>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default" w:ascii="Times New Roman" w:hAnsi="Times New Roman" w:cs="Times New Roman"/>
                <w:color w:val="auto"/>
                <w:sz w:val="21"/>
                <w:szCs w:val="21"/>
                <w:lang w:val="en-US" w:eastAsia="zh-CN"/>
              </w:rPr>
            </w:pPr>
          </w:p>
        </w:tc>
        <w:tc>
          <w:tcPr>
            <w:tcW w:w="2543" w:type="pct"/>
            <w:noWrap w:val="0"/>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rPr>
              <w:t>（十三）强化扬尘管控。各城市平均降尘量不得高于5吨/月·平方公里，其中，苏北、皖北城市不得高于7吨/月·平方公里，鼓励不断加严降尘量控制指标，实施分区细化的降尘量监测考核。加强施工扬尘控制，严格执行城市施工过程</w:t>
            </w:r>
            <w:r>
              <w:rPr>
                <w:rFonts w:hint="eastAsia" w:ascii="Times New Roman" w:hAnsi="Times New Roman" w:cs="宋体"/>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rPr>
              <w:t>六个百分之百</w:t>
            </w:r>
            <w:r>
              <w:rPr>
                <w:rFonts w:hint="eastAsia" w:ascii="Times New Roman" w:hAnsi="Times New Roman" w:cs="宋体"/>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rPr>
              <w:t>。将因施工扬尘污染受到行政处罚或行政处理的信息纳入建筑市场信用管理体系，情节严重的，列入建筑市场主体</w:t>
            </w:r>
            <w:r>
              <w:rPr>
                <w:rFonts w:hint="eastAsia" w:ascii="Times New Roman" w:hAnsi="Times New Roman" w:cs="宋体"/>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rPr>
              <w:t>黑名单</w:t>
            </w:r>
            <w:r>
              <w:rPr>
                <w:rFonts w:hint="eastAsia" w:ascii="Times New Roman" w:hAnsi="Times New Roman" w:cs="宋体"/>
                <w:color w:val="auto"/>
                <w:sz w:val="21"/>
                <w:szCs w:val="21"/>
                <w:shd w:val="clear" w:color="auto" w:fill="FFFFFF"/>
                <w:lang w:eastAsia="zh-CN"/>
              </w:rPr>
              <w:t>”</w:t>
            </w:r>
            <w:r>
              <w:rPr>
                <w:rFonts w:hint="default" w:ascii="Times New Roman" w:hAnsi="Times New Roman" w:eastAsia="宋体" w:cs="Times New Roman"/>
                <w:color w:val="auto"/>
                <w:sz w:val="21"/>
                <w:szCs w:val="21"/>
                <w:shd w:val="clear" w:color="auto" w:fill="FFFFFF"/>
              </w:rPr>
              <w:t>。强化道路扬尘管控，提高城市道路水洗机扫作业比例，加大各类工地、物料堆场、渣土消纳场等出入口道路清扫保洁力度，鼓励建设智慧道路扬尘在线监控系统。加强堆场、码头扬尘污染控制，全面推进主要港口大型煤炭和矿石码头堆场、干散货码头物料堆场围挡、苫盖、自动喷淋等抑尘设施，物料输送装置吸尘、喷淋等防尘设施建设。</w:t>
            </w:r>
          </w:p>
        </w:tc>
        <w:tc>
          <w:tcPr>
            <w:tcW w:w="14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本项目要求：建设单位在施工工地周边100%设置围挡，物料堆放100%覆盖、土方开挖100%湿法作业、路面100%硬化、出入车辆100%清洗、渣土车辆100%密闭运输，满足</w:t>
            </w:r>
            <w:r>
              <w:rPr>
                <w:rFonts w:hint="eastAsia" w:cs="宋体"/>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六个百分之百</w:t>
            </w:r>
            <w:r>
              <w:rPr>
                <w:rFonts w:hint="eastAsia" w:cs="宋体"/>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要求。本项目施工期间要求建设单位安装在线监测和视频监控设置，并与当地有关部门联网。</w:t>
            </w:r>
          </w:p>
        </w:tc>
        <w:tc>
          <w:tcPr>
            <w:tcW w:w="5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bl>
    <w:p>
      <w:pPr>
        <w:spacing w:line="360" w:lineRule="auto"/>
        <w:ind w:firstLine="480" w:firstLineChars="200"/>
        <w:rPr>
          <w:color w:val="auto"/>
          <w:highlight w:val="yellow"/>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5"/>
        <w:keepNext/>
        <w:keepLines/>
        <w:pageBreakBefore w:val="0"/>
        <w:widowControl w:val="0"/>
        <w:numPr>
          <w:ilvl w:val="2"/>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2.</w:t>
      </w:r>
      <w:r>
        <w:rPr>
          <w:rFonts w:hint="eastAsia" w:cs="宋体"/>
          <w:b/>
          <w:bCs/>
          <w:color w:val="auto"/>
          <w:kern w:val="2"/>
          <w:sz w:val="24"/>
          <w:szCs w:val="24"/>
          <w:lang w:val="en-US" w:eastAsia="zh-CN" w:bidi="ar"/>
        </w:rPr>
        <w:t>8.2</w:t>
      </w:r>
      <w:r>
        <w:rPr>
          <w:rFonts w:hint="eastAsia" w:ascii="Times New Roman" w:hAnsi="Times New Roman" w:eastAsia="宋体" w:cs="宋体"/>
          <w:b/>
          <w:bCs/>
          <w:color w:val="auto"/>
          <w:kern w:val="2"/>
          <w:sz w:val="24"/>
          <w:szCs w:val="24"/>
          <w:lang w:val="en-US" w:eastAsia="zh-CN" w:bidi="ar"/>
        </w:rPr>
        <w:t>与《</w:t>
      </w:r>
      <w:r>
        <w:rPr>
          <w:rFonts w:hint="eastAsia" w:eastAsia="宋体" w:cs="宋体"/>
          <w:b/>
          <w:bCs/>
          <w:color w:val="auto"/>
          <w:kern w:val="2"/>
          <w:sz w:val="24"/>
          <w:szCs w:val="24"/>
          <w:lang w:val="en-US" w:eastAsia="zh-CN" w:bidi="ar"/>
        </w:rPr>
        <w:t>20</w:t>
      </w:r>
      <w:r>
        <w:rPr>
          <w:rFonts w:hint="eastAsia" w:cs="宋体"/>
          <w:b/>
          <w:bCs/>
          <w:color w:val="auto"/>
          <w:kern w:val="2"/>
          <w:sz w:val="24"/>
          <w:szCs w:val="24"/>
          <w:lang w:val="en-US" w:eastAsia="zh-CN" w:bidi="ar"/>
        </w:rPr>
        <w:t>20</w:t>
      </w:r>
      <w:r>
        <w:rPr>
          <w:rFonts w:hint="eastAsia" w:eastAsia="宋体" w:cs="宋体"/>
          <w:b/>
          <w:bCs/>
          <w:color w:val="auto"/>
          <w:kern w:val="2"/>
          <w:sz w:val="24"/>
          <w:szCs w:val="24"/>
          <w:lang w:val="en-US" w:eastAsia="zh-CN" w:bidi="ar"/>
        </w:rPr>
        <w:t>年安徽省大气污染防治重点工作任务</w:t>
      </w:r>
      <w:r>
        <w:rPr>
          <w:rFonts w:hint="eastAsia" w:ascii="Times New Roman" w:hAnsi="Times New Roman" w:eastAsia="宋体" w:cs="宋体"/>
          <w:b/>
          <w:bCs/>
          <w:color w:val="auto"/>
          <w:kern w:val="2"/>
          <w:sz w:val="24"/>
          <w:szCs w:val="24"/>
          <w:lang w:val="en-US" w:eastAsia="zh-CN" w:bidi="ar"/>
        </w:rPr>
        <w:t>》（</w:t>
      </w:r>
      <w:r>
        <w:rPr>
          <w:rFonts w:hint="eastAsia" w:eastAsia="宋体" w:cs="宋体"/>
          <w:b/>
          <w:bCs/>
          <w:color w:val="auto"/>
          <w:kern w:val="2"/>
          <w:sz w:val="24"/>
          <w:szCs w:val="24"/>
          <w:lang w:val="en-US" w:eastAsia="zh-CN" w:bidi="ar"/>
        </w:rPr>
        <w:t>皖大气办[20</w:t>
      </w:r>
      <w:r>
        <w:rPr>
          <w:rFonts w:hint="eastAsia" w:cs="宋体"/>
          <w:b/>
          <w:bCs/>
          <w:color w:val="auto"/>
          <w:kern w:val="2"/>
          <w:sz w:val="24"/>
          <w:szCs w:val="24"/>
          <w:lang w:val="en-US" w:eastAsia="zh-CN" w:bidi="ar"/>
        </w:rPr>
        <w:t>20</w:t>
      </w:r>
      <w:r>
        <w:rPr>
          <w:rFonts w:hint="eastAsia" w:eastAsia="宋体" w:cs="宋体"/>
          <w:b/>
          <w:bCs/>
          <w:color w:val="auto"/>
          <w:kern w:val="2"/>
          <w:sz w:val="24"/>
          <w:szCs w:val="24"/>
          <w:lang w:val="en-US" w:eastAsia="zh-CN" w:bidi="ar"/>
        </w:rPr>
        <w:t>]</w:t>
      </w:r>
      <w:r>
        <w:rPr>
          <w:rFonts w:hint="eastAsia" w:cs="宋体"/>
          <w:b/>
          <w:bCs/>
          <w:color w:val="auto"/>
          <w:kern w:val="2"/>
          <w:sz w:val="24"/>
          <w:szCs w:val="24"/>
          <w:lang w:val="en-US" w:eastAsia="zh-CN" w:bidi="ar"/>
        </w:rPr>
        <w:t>2</w:t>
      </w:r>
      <w:r>
        <w:rPr>
          <w:rFonts w:hint="eastAsia" w:eastAsia="宋体" w:cs="宋体"/>
          <w:b/>
          <w:bCs/>
          <w:color w:val="auto"/>
          <w:kern w:val="2"/>
          <w:sz w:val="24"/>
          <w:szCs w:val="24"/>
          <w:lang w:val="en-US" w:eastAsia="zh-CN" w:bidi="ar"/>
        </w:rPr>
        <w:t>号</w:t>
      </w:r>
      <w:r>
        <w:rPr>
          <w:rFonts w:hint="eastAsia" w:ascii="Times New Roman" w:hAnsi="Times New Roman" w:eastAsia="宋体" w:cs="宋体"/>
          <w:b/>
          <w:bCs/>
          <w:color w:val="auto"/>
          <w:kern w:val="2"/>
          <w:sz w:val="24"/>
          <w:szCs w:val="24"/>
          <w:lang w:val="en-US" w:eastAsia="zh-CN" w:bidi="ar"/>
        </w:rPr>
        <w:t>）符合性分析</w:t>
      </w:r>
    </w:p>
    <w:p>
      <w:pPr>
        <w:spacing w:line="360" w:lineRule="auto"/>
        <w:ind w:firstLine="480" w:firstLineChars="200"/>
        <w:rPr>
          <w:b w:val="0"/>
          <w:bCs w:val="0"/>
          <w:color w:val="auto"/>
          <w:highlight w:val="none"/>
        </w:rPr>
      </w:pPr>
      <w:r>
        <w:rPr>
          <w:b w:val="0"/>
          <w:bCs w:val="0"/>
          <w:color w:val="auto"/>
          <w:highlight w:val="none"/>
        </w:rPr>
        <w:t>根据</w:t>
      </w:r>
      <w:r>
        <w:rPr>
          <w:rFonts w:hint="eastAsia"/>
          <w:b w:val="0"/>
          <w:bCs w:val="0"/>
          <w:color w:val="auto"/>
          <w:highlight w:val="none"/>
        </w:rPr>
        <w:t>《2020年安徽省大气污染防治重点工作任务》（皖大气办[2020]2号）</w:t>
      </w:r>
      <w:r>
        <w:rPr>
          <w:b w:val="0"/>
          <w:bCs w:val="0"/>
          <w:color w:val="auto"/>
          <w:highlight w:val="none"/>
        </w:rPr>
        <w:t>，并结合本项目特点进行项目的符合性分析。相符性分析见表</w:t>
      </w:r>
      <w:r>
        <w:rPr>
          <w:rFonts w:hint="eastAsia"/>
          <w:b w:val="0"/>
          <w:bCs w:val="0"/>
          <w:color w:val="auto"/>
          <w:highlight w:val="none"/>
        </w:rPr>
        <w:t>2.</w:t>
      </w:r>
      <w:r>
        <w:rPr>
          <w:rFonts w:hint="eastAsia"/>
          <w:b w:val="0"/>
          <w:bCs w:val="0"/>
          <w:color w:val="auto"/>
          <w:highlight w:val="none"/>
          <w:lang w:val="en-US" w:eastAsia="zh-CN"/>
        </w:rPr>
        <w:t>8</w:t>
      </w:r>
      <w:r>
        <w:rPr>
          <w:rFonts w:hint="eastAsia"/>
          <w:b w:val="0"/>
          <w:bCs w:val="0"/>
          <w:color w:val="auto"/>
          <w:highlight w:val="none"/>
        </w:rPr>
        <w:t>-</w:t>
      </w:r>
      <w:r>
        <w:rPr>
          <w:rFonts w:hint="eastAsia"/>
          <w:b w:val="0"/>
          <w:bCs w:val="0"/>
          <w:color w:val="auto"/>
          <w:highlight w:val="none"/>
          <w:lang w:val="en-US" w:eastAsia="zh-CN"/>
        </w:rPr>
        <w:t>2</w:t>
      </w:r>
      <w:r>
        <w:rPr>
          <w:b w:val="0"/>
          <w:bCs w:val="0"/>
          <w:color w:val="auto"/>
          <w:highlight w:val="none"/>
        </w:rPr>
        <w:t>。</w:t>
      </w:r>
    </w:p>
    <w:p>
      <w:pPr>
        <w:jc w:val="center"/>
        <w:rPr>
          <w:b/>
          <w:bCs/>
          <w:color w:val="auto"/>
          <w:sz w:val="21"/>
          <w:szCs w:val="21"/>
          <w:highlight w:val="yellow"/>
        </w:rPr>
      </w:pPr>
      <w:r>
        <w:rPr>
          <w:b/>
          <w:bCs/>
          <w:color w:val="auto"/>
          <w:sz w:val="21"/>
          <w:szCs w:val="21"/>
          <w:highlight w:val="none"/>
        </w:rPr>
        <w:t>表</w:t>
      </w:r>
      <w:r>
        <w:rPr>
          <w:rFonts w:hint="eastAsia"/>
          <w:b/>
          <w:bCs/>
          <w:color w:val="auto"/>
          <w:sz w:val="21"/>
          <w:szCs w:val="21"/>
          <w:highlight w:val="none"/>
        </w:rPr>
        <w:t>2.</w:t>
      </w:r>
      <w:r>
        <w:rPr>
          <w:rFonts w:hint="eastAsia"/>
          <w:b/>
          <w:bCs/>
          <w:color w:val="auto"/>
          <w:sz w:val="21"/>
          <w:szCs w:val="21"/>
          <w:highlight w:val="none"/>
          <w:lang w:val="en-US" w:eastAsia="zh-CN"/>
        </w:rPr>
        <w:t>8</w:t>
      </w:r>
      <w:r>
        <w:rPr>
          <w:b/>
          <w:bCs/>
          <w:color w:val="auto"/>
          <w:sz w:val="21"/>
          <w:szCs w:val="21"/>
          <w:highlight w:val="none"/>
        </w:rPr>
        <w:t>-</w:t>
      </w:r>
      <w:r>
        <w:rPr>
          <w:rFonts w:hint="eastAsia"/>
          <w:b/>
          <w:bCs/>
          <w:color w:val="auto"/>
          <w:sz w:val="21"/>
          <w:szCs w:val="21"/>
          <w:highlight w:val="none"/>
          <w:lang w:val="en-US" w:eastAsia="zh-CN"/>
        </w:rPr>
        <w:t>2</w:t>
      </w:r>
      <w:r>
        <w:rPr>
          <w:b/>
          <w:bCs/>
          <w:color w:val="auto"/>
          <w:sz w:val="21"/>
          <w:szCs w:val="21"/>
          <w:highlight w:val="none"/>
        </w:rPr>
        <w:t xml:space="preserve">  本项目与《</w:t>
      </w:r>
      <w:r>
        <w:rPr>
          <w:rFonts w:hint="eastAsia" w:eastAsia="宋体" w:cs="宋体"/>
          <w:b/>
          <w:bCs/>
          <w:color w:val="auto"/>
          <w:kern w:val="2"/>
          <w:sz w:val="21"/>
          <w:szCs w:val="21"/>
          <w:lang w:val="en-US" w:eastAsia="zh-CN" w:bidi="ar"/>
        </w:rPr>
        <w:t>20</w:t>
      </w:r>
      <w:r>
        <w:rPr>
          <w:rFonts w:hint="eastAsia" w:cs="宋体"/>
          <w:b/>
          <w:bCs/>
          <w:color w:val="auto"/>
          <w:kern w:val="2"/>
          <w:sz w:val="21"/>
          <w:szCs w:val="21"/>
          <w:lang w:val="en-US" w:eastAsia="zh-CN" w:bidi="ar"/>
        </w:rPr>
        <w:t>20</w:t>
      </w:r>
      <w:r>
        <w:rPr>
          <w:rFonts w:hint="eastAsia" w:eastAsia="宋体" w:cs="宋体"/>
          <w:b/>
          <w:bCs/>
          <w:color w:val="auto"/>
          <w:kern w:val="2"/>
          <w:sz w:val="21"/>
          <w:szCs w:val="21"/>
          <w:lang w:val="en-US" w:eastAsia="zh-CN" w:bidi="ar"/>
        </w:rPr>
        <w:t>年安徽省大气污染防治重点工作任务</w:t>
      </w:r>
      <w:r>
        <w:rPr>
          <w:rFonts w:hint="eastAsia" w:ascii="Times New Roman" w:hAnsi="Times New Roman" w:eastAsia="宋体" w:cs="宋体"/>
          <w:b/>
          <w:bCs/>
          <w:color w:val="auto"/>
          <w:kern w:val="2"/>
          <w:sz w:val="21"/>
          <w:szCs w:val="21"/>
          <w:lang w:val="en-US" w:eastAsia="zh-CN" w:bidi="ar"/>
        </w:rPr>
        <w:t>》</w:t>
      </w:r>
      <w:r>
        <w:rPr>
          <w:b/>
          <w:bCs/>
          <w:color w:val="auto"/>
          <w:sz w:val="21"/>
          <w:szCs w:val="21"/>
          <w:highlight w:val="none"/>
        </w:rPr>
        <w:t>相符性分析</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2"/>
        <w:gridCol w:w="6120"/>
        <w:gridCol w:w="4612"/>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s="宋体"/>
                <w:color w:val="auto"/>
                <w:sz w:val="21"/>
                <w:szCs w:val="21"/>
                <w:highlight w:val="none"/>
                <w:lang w:eastAsia="zh-CN"/>
              </w:rPr>
              <w:t>“</w:t>
            </w:r>
            <w:r>
              <w:rPr>
                <w:rFonts w:hint="eastAsia"/>
                <w:color w:val="auto"/>
                <w:sz w:val="21"/>
                <w:szCs w:val="21"/>
                <w:highlight w:val="none"/>
                <w:lang w:val="en-US" w:eastAsia="zh-CN"/>
              </w:rPr>
              <w:t>工作任务</w:t>
            </w:r>
            <w:r>
              <w:rPr>
                <w:rFonts w:hint="eastAsia" w:cs="宋体"/>
                <w:color w:val="auto"/>
                <w:sz w:val="21"/>
                <w:szCs w:val="21"/>
                <w:highlight w:val="none"/>
                <w:lang w:eastAsia="zh-CN"/>
              </w:rPr>
              <w:t>”</w:t>
            </w:r>
            <w:r>
              <w:rPr>
                <w:color w:val="auto"/>
                <w:sz w:val="21"/>
                <w:szCs w:val="21"/>
                <w:highlight w:val="none"/>
              </w:rPr>
              <w:t>的相关内容</w:t>
            </w:r>
          </w:p>
        </w:tc>
        <w:tc>
          <w:tcPr>
            <w:tcW w:w="46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本项目情况</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eastAsia="zh-CN"/>
              </w:rPr>
              <w:t>（</w:t>
            </w:r>
            <w:r>
              <w:rPr>
                <w:rFonts w:hint="eastAsia"/>
                <w:color w:val="auto"/>
                <w:sz w:val="21"/>
                <w:szCs w:val="21"/>
                <w:highlight w:val="none"/>
                <w:lang w:val="en-US" w:eastAsia="zh-CN"/>
              </w:rPr>
              <w:t>二</w:t>
            </w:r>
            <w:r>
              <w:rPr>
                <w:rFonts w:hint="eastAsia"/>
                <w:color w:val="auto"/>
                <w:sz w:val="21"/>
                <w:szCs w:val="21"/>
                <w:highlight w:val="none"/>
                <w:lang w:eastAsia="zh-CN"/>
              </w:rPr>
              <w:t>）</w:t>
            </w:r>
            <w:r>
              <w:rPr>
                <w:rFonts w:hint="eastAsia"/>
                <w:color w:val="auto"/>
                <w:sz w:val="21"/>
                <w:szCs w:val="21"/>
                <w:highlight w:val="none"/>
                <w:lang w:val="en-US" w:eastAsia="zh-CN"/>
              </w:rPr>
              <w:t>加快调整能源结构</w:t>
            </w:r>
          </w:p>
        </w:tc>
        <w:tc>
          <w:tcPr>
            <w:tcW w:w="6120" w:type="dxa"/>
            <w:noWrap w:val="0"/>
            <w:vAlign w:val="center"/>
          </w:tcPr>
          <w:p>
            <w:pPr>
              <w:spacing w:beforeLines="0" w:afterLines="0" w:line="240" w:lineRule="auto"/>
              <w:ind w:left="0" w:leftChars="0" w:firstLine="0" w:firstLineChars="0"/>
              <w:rPr>
                <w:rFonts w:hint="default" w:eastAsia="宋体"/>
                <w:color w:val="auto"/>
                <w:sz w:val="21"/>
                <w:szCs w:val="21"/>
                <w:highlight w:val="none"/>
                <w:lang w:val="en-US" w:eastAsia="zh-CN"/>
              </w:rPr>
            </w:pPr>
            <w:r>
              <w:rPr>
                <w:rFonts w:hint="eastAsia"/>
                <w:color w:val="auto"/>
                <w:sz w:val="21"/>
                <w:szCs w:val="21"/>
              </w:rPr>
              <w:t>(六）深入开展锅炉综合整治。全面执行锅炉颗粒物、二氧化硫和氮氧化物特别排放限值。3月底前，完成65蒸吨/小时及以上燃煤锅炉超低排放改造</w:t>
            </w:r>
            <w:r>
              <w:rPr>
                <w:rFonts w:hint="eastAsia" w:cs="宋体"/>
                <w:color w:val="auto"/>
                <w:sz w:val="21"/>
                <w:szCs w:val="21"/>
                <w:lang w:eastAsia="zh-CN"/>
              </w:rPr>
              <w:t>；</w:t>
            </w:r>
            <w:r>
              <w:rPr>
                <w:rFonts w:hint="eastAsia"/>
                <w:color w:val="auto"/>
                <w:sz w:val="21"/>
                <w:szCs w:val="21"/>
              </w:rPr>
              <w:t>6月底前，生物质锅炉实现稳定</w:t>
            </w:r>
            <w:r>
              <w:rPr>
                <w:rFonts w:hint="eastAsia"/>
                <w:color w:val="auto"/>
                <w:sz w:val="21"/>
                <w:szCs w:val="21"/>
                <w:lang w:val="en-US" w:eastAsia="zh-CN"/>
              </w:rPr>
              <w:t>达</w:t>
            </w:r>
            <w:r>
              <w:rPr>
                <w:rFonts w:hint="eastAsia"/>
                <w:color w:val="auto"/>
                <w:sz w:val="21"/>
                <w:szCs w:val="21"/>
              </w:rPr>
              <w:t>标排放，不能稳定</w:t>
            </w:r>
            <w:r>
              <w:rPr>
                <w:rFonts w:hint="eastAsia"/>
                <w:color w:val="auto"/>
                <w:sz w:val="21"/>
                <w:szCs w:val="21"/>
                <w:lang w:val="en-US" w:eastAsia="zh-CN"/>
              </w:rPr>
              <w:t>达</w:t>
            </w:r>
            <w:r>
              <w:rPr>
                <w:rFonts w:hint="eastAsia"/>
                <w:color w:val="auto"/>
                <w:sz w:val="21"/>
                <w:szCs w:val="21"/>
              </w:rPr>
              <w:t>标的应实施改造</w:t>
            </w:r>
            <w:r>
              <w:rPr>
                <w:rFonts w:hint="eastAsia" w:cs="宋体"/>
                <w:color w:val="auto"/>
                <w:sz w:val="21"/>
                <w:szCs w:val="21"/>
                <w:lang w:eastAsia="zh-CN"/>
              </w:rPr>
              <w:t>；</w:t>
            </w:r>
            <w:r>
              <w:rPr>
                <w:rFonts w:hint="eastAsia"/>
                <w:color w:val="auto"/>
                <w:sz w:val="21"/>
                <w:szCs w:val="21"/>
              </w:rPr>
              <w:t>10月底前，全省行政区域毎小时35蒸吨以下燃煤锅炉及茶水炉、经营性炉灶、储粮烘干设备等燃煤设施全部淘汰或实行清洁能源替代</w:t>
            </w:r>
            <w:r>
              <w:rPr>
                <w:rFonts w:hint="eastAsia" w:cs="宋体"/>
                <w:color w:val="auto"/>
                <w:sz w:val="21"/>
                <w:szCs w:val="21"/>
                <w:lang w:eastAsia="zh-CN"/>
              </w:rPr>
              <w:t>；</w:t>
            </w:r>
            <w:r>
              <w:rPr>
                <w:rFonts w:hint="eastAsia"/>
                <w:color w:val="auto"/>
                <w:sz w:val="21"/>
                <w:szCs w:val="21"/>
              </w:rPr>
              <w:t>2020年底前，城市建成区燃气锅炉基本完成低氮改造，原则上改造后氮氧化物排放浓度不高于50毫克/立方米（省生态环境厅</w:t>
            </w:r>
            <w:r>
              <w:rPr>
                <w:rFonts w:hint="default" w:ascii="Courier New" w:hAnsi="Courier New"/>
                <w:color w:val="auto"/>
                <w:sz w:val="21"/>
                <w:szCs w:val="21"/>
                <w:lang w:val="en-US" w:eastAsia="en-US"/>
              </w:rPr>
              <w:t>）</w:t>
            </w:r>
            <w:r>
              <w:rPr>
                <w:rFonts w:hint="eastAsia"/>
                <w:color w:val="auto"/>
                <w:sz w:val="21"/>
                <w:szCs w:val="21"/>
              </w:rPr>
              <w:t>。</w:t>
            </w:r>
          </w:p>
        </w:tc>
        <w:tc>
          <w:tcPr>
            <w:tcW w:w="46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lang w:val="en-US"/>
              </w:rPr>
            </w:pPr>
            <w:r>
              <w:rPr>
                <w:rFonts w:hint="default" w:ascii="Times New Roman" w:hAnsi="Times New Roman" w:cs="Times New Roman"/>
                <w:color w:val="auto"/>
                <w:sz w:val="21"/>
                <w:szCs w:val="21"/>
                <w:vertAlign w:val="baseline"/>
                <w:lang w:val="en-US" w:eastAsia="zh-CN"/>
              </w:rPr>
              <w:t>本项目</w:t>
            </w:r>
            <w:r>
              <w:rPr>
                <w:rFonts w:hint="eastAsia" w:cs="Times New Roman"/>
                <w:color w:val="auto"/>
                <w:sz w:val="21"/>
                <w:szCs w:val="21"/>
                <w:vertAlign w:val="baseline"/>
                <w:lang w:val="en-US" w:eastAsia="zh-CN"/>
              </w:rPr>
              <w:t>设有1个热水锅炉（1备4用）、不设置蒸汽锅炉，均采用低氮燃烧，锅炉燃烧废气需满足</w:t>
            </w:r>
            <w:r>
              <w:rPr>
                <w:rFonts w:hint="eastAsia"/>
                <w:color w:val="auto"/>
                <w:sz w:val="21"/>
                <w:szCs w:val="21"/>
                <w:highlight w:val="none"/>
                <w:lang w:val="en-US" w:eastAsia="zh-CN"/>
              </w:rPr>
              <w:t>《锅炉大气污染物排放标准》（GB13271-2014）表3大气污染物特别排放限值及</w:t>
            </w:r>
            <w:r>
              <w:rPr>
                <w:rFonts w:hint="eastAsia" w:cs="宋体"/>
                <w:color w:val="auto"/>
                <w:sz w:val="21"/>
                <w:szCs w:val="21"/>
                <w:highlight w:val="none"/>
                <w:lang w:val="en-US" w:eastAsia="zh-CN"/>
              </w:rPr>
              <w:t>“</w:t>
            </w:r>
            <w:r>
              <w:rPr>
                <w:rFonts w:hint="eastAsia"/>
                <w:color w:val="auto"/>
                <w:sz w:val="21"/>
                <w:szCs w:val="21"/>
              </w:rPr>
              <w:t>排放浓度不高于</w:t>
            </w:r>
            <w:r>
              <w:rPr>
                <w:rFonts w:hint="eastAsia"/>
                <w:color w:val="auto"/>
                <w:sz w:val="21"/>
                <w:szCs w:val="21"/>
                <w:lang w:val="en-US" w:eastAsia="zh-CN"/>
              </w:rPr>
              <w:t>3</w:t>
            </w:r>
            <w:r>
              <w:rPr>
                <w:rFonts w:hint="eastAsia"/>
                <w:color w:val="auto"/>
                <w:sz w:val="21"/>
                <w:szCs w:val="21"/>
              </w:rPr>
              <w:t>0毫克/立方米</w:t>
            </w:r>
            <w:r>
              <w:rPr>
                <w:rFonts w:hint="eastAsia" w:cs="宋体"/>
                <w:color w:val="auto"/>
                <w:sz w:val="21"/>
                <w:szCs w:val="21"/>
                <w:highlight w:val="none"/>
                <w:lang w:val="en-US" w:eastAsia="zh-CN"/>
              </w:rPr>
              <w:t>”</w:t>
            </w:r>
            <w:r>
              <w:rPr>
                <w:rFonts w:hint="eastAsia"/>
                <w:color w:val="auto"/>
                <w:sz w:val="21"/>
                <w:szCs w:val="21"/>
                <w:highlight w:val="none"/>
                <w:lang w:val="en-US" w:eastAsia="zh-CN"/>
              </w:rPr>
              <w:t>要求</w:t>
            </w:r>
            <w:r>
              <w:rPr>
                <w:rFonts w:hint="eastAsia" w:cs="宋体"/>
                <w:color w:val="auto"/>
                <w:sz w:val="21"/>
                <w:szCs w:val="21"/>
                <w:highlight w:val="none"/>
                <w:lang w:val="en-US" w:eastAsia="zh-CN"/>
              </w:rPr>
              <w:t>；</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eastAsia="zh-CN"/>
              </w:rPr>
              <w:t>（</w:t>
            </w:r>
            <w:r>
              <w:rPr>
                <w:rFonts w:hint="eastAsia"/>
                <w:color w:val="auto"/>
                <w:sz w:val="21"/>
                <w:szCs w:val="21"/>
                <w:highlight w:val="none"/>
                <w:lang w:val="en-US" w:eastAsia="zh-CN"/>
              </w:rPr>
              <w:t>四</w:t>
            </w:r>
            <w:r>
              <w:rPr>
                <w:rFonts w:hint="eastAsia"/>
                <w:color w:val="auto"/>
                <w:sz w:val="21"/>
                <w:szCs w:val="21"/>
                <w:highlight w:val="none"/>
                <w:lang w:eastAsia="zh-CN"/>
              </w:rPr>
              <w:t>）</w:t>
            </w:r>
            <w:r>
              <w:rPr>
                <w:rFonts w:hint="eastAsia"/>
                <w:color w:val="auto"/>
                <w:sz w:val="21"/>
                <w:szCs w:val="21"/>
                <w:highlight w:val="none"/>
                <w:lang w:val="en-US" w:eastAsia="zh-CN"/>
              </w:rPr>
              <w:t>优化调整用地结构</w:t>
            </w:r>
          </w:p>
        </w:tc>
        <w:tc>
          <w:tcPr>
            <w:tcW w:w="61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(十二）加强扬尘综合治理。施工工地按照《建筑工程施工和预拌混凝土生产扬尘污染防治标准（试行）》，继续提升施工扬尘</w:t>
            </w:r>
            <w:r>
              <w:rPr>
                <w:rFonts w:hint="eastAsia" w:cs="宋体"/>
                <w:color w:val="auto"/>
                <w:sz w:val="21"/>
                <w:szCs w:val="21"/>
                <w:highlight w:val="none"/>
                <w:lang w:val="en-US" w:eastAsia="zh-CN"/>
              </w:rPr>
              <w:t>“</w:t>
            </w:r>
            <w:r>
              <w:rPr>
                <w:rFonts w:hint="default" w:eastAsia="宋体"/>
                <w:color w:val="auto"/>
                <w:sz w:val="21"/>
                <w:szCs w:val="21"/>
                <w:highlight w:val="none"/>
                <w:lang w:val="en-US" w:eastAsia="zh-CN"/>
              </w:rPr>
              <w:t>六个百分之百’’（省住房城乡建设厅、省交通 运输厅、省水利厅）</w:t>
            </w:r>
            <w:r>
              <w:rPr>
                <w:rFonts w:hint="eastAsia" w:cs="宋体"/>
                <w:color w:val="auto"/>
                <w:sz w:val="21"/>
                <w:szCs w:val="21"/>
                <w:highlight w:val="none"/>
                <w:lang w:val="en-US" w:eastAsia="zh-CN"/>
              </w:rPr>
              <w:t>；</w:t>
            </w:r>
            <w:r>
              <w:rPr>
                <w:rFonts w:hint="default" w:eastAsia="宋体"/>
                <w:color w:val="auto"/>
                <w:sz w:val="21"/>
                <w:szCs w:val="21"/>
                <w:highlight w:val="none"/>
                <w:lang w:val="en-US" w:eastAsia="zh-CN"/>
              </w:rPr>
              <w:t>提高道路机械化清扫率，2020年底前，设区市建成区</w:t>
            </w:r>
            <w:r>
              <w:rPr>
                <w:rFonts w:hint="eastAsia"/>
                <w:color w:val="auto"/>
                <w:sz w:val="21"/>
                <w:szCs w:val="21"/>
                <w:highlight w:val="none"/>
                <w:lang w:val="en-US" w:eastAsia="zh-CN"/>
              </w:rPr>
              <w:t>达</w:t>
            </w:r>
            <w:r>
              <w:rPr>
                <w:rFonts w:hint="default" w:eastAsia="宋体"/>
                <w:color w:val="auto"/>
                <w:sz w:val="21"/>
                <w:szCs w:val="21"/>
                <w:highlight w:val="none"/>
                <w:lang w:val="en-US" w:eastAsia="zh-CN"/>
              </w:rPr>
              <w:t>到80%以上</w:t>
            </w:r>
            <w:r>
              <w:rPr>
                <w:rFonts w:hint="eastAsia" w:cs="宋体"/>
                <w:color w:val="auto"/>
                <w:sz w:val="21"/>
                <w:szCs w:val="21"/>
                <w:highlight w:val="none"/>
                <w:lang w:val="en-US" w:eastAsia="zh-CN"/>
              </w:rPr>
              <w:t>；</w:t>
            </w:r>
            <w:r>
              <w:rPr>
                <w:rFonts w:hint="default" w:eastAsia="宋体"/>
                <w:color w:val="auto"/>
                <w:sz w:val="21"/>
                <w:szCs w:val="21"/>
                <w:highlight w:val="none"/>
                <w:lang w:val="en-US" w:eastAsia="zh-CN"/>
              </w:rPr>
              <w:t>县城</w:t>
            </w:r>
            <w:r>
              <w:rPr>
                <w:rFonts w:hint="eastAsia"/>
                <w:color w:val="auto"/>
                <w:sz w:val="21"/>
                <w:szCs w:val="21"/>
                <w:highlight w:val="none"/>
                <w:lang w:val="en-US" w:eastAsia="zh-CN"/>
              </w:rPr>
              <w:t>达</w:t>
            </w:r>
            <w:r>
              <w:rPr>
                <w:rFonts w:hint="default" w:eastAsia="宋体"/>
                <w:color w:val="auto"/>
                <w:sz w:val="21"/>
                <w:szCs w:val="21"/>
                <w:highlight w:val="none"/>
                <w:lang w:val="en-US" w:eastAsia="zh-CN"/>
              </w:rPr>
              <w:t>到65%以上（省住房城 乡建设厅）。继续开展绿色矿山创建，加强矸石山等露天矿山扬尘整治（省自然资源厅）</w:t>
            </w:r>
          </w:p>
        </w:tc>
        <w:tc>
          <w:tcPr>
            <w:tcW w:w="46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vertAlign w:val="baseline"/>
                <w:lang w:val="en-US" w:eastAsia="zh-CN"/>
              </w:rPr>
              <w:t>本项目要求：建设单位在施工工地周边100%设置围挡，物料堆放100%覆盖、土方开挖100%湿法作业、路面100%硬化、出入车辆100%清洗、渣土车辆100%密闭运输，满足</w:t>
            </w:r>
            <w:r>
              <w:rPr>
                <w:rFonts w:hint="eastAsia" w:cs="宋体"/>
                <w:color w:val="auto"/>
                <w:sz w:val="21"/>
                <w:szCs w:val="21"/>
                <w:vertAlign w:val="baseline"/>
                <w:lang w:val="en-US" w:eastAsia="zh-CN"/>
              </w:rPr>
              <w:t>“</w:t>
            </w:r>
            <w:r>
              <w:rPr>
                <w:rFonts w:hint="eastAsia"/>
                <w:color w:val="auto"/>
                <w:sz w:val="21"/>
                <w:szCs w:val="21"/>
                <w:vertAlign w:val="baseline"/>
                <w:lang w:val="en-US" w:eastAsia="zh-CN"/>
              </w:rPr>
              <w:t>六个百分之百</w:t>
            </w:r>
            <w:r>
              <w:rPr>
                <w:rFonts w:hint="eastAsia" w:cs="宋体"/>
                <w:color w:val="auto"/>
                <w:sz w:val="21"/>
                <w:szCs w:val="21"/>
                <w:vertAlign w:val="baseline"/>
                <w:lang w:val="en-US" w:eastAsia="zh-CN"/>
              </w:rPr>
              <w:t>”</w:t>
            </w:r>
            <w:r>
              <w:rPr>
                <w:rFonts w:hint="eastAsia"/>
                <w:color w:val="auto"/>
                <w:sz w:val="21"/>
                <w:szCs w:val="21"/>
                <w:vertAlign w:val="baseline"/>
                <w:lang w:val="en-US" w:eastAsia="zh-CN"/>
              </w:rPr>
              <w:t>要求。本项目施工期间要求建设单位安装在线监测和视频监控设置，并与当地有关部门联网。</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符合</w:t>
            </w:r>
          </w:p>
        </w:tc>
      </w:tr>
    </w:tbl>
    <w:p>
      <w:pPr>
        <w:spacing w:line="360" w:lineRule="auto"/>
        <w:ind w:firstLine="480" w:firstLineChars="200"/>
        <w:rPr>
          <w:color w:val="auto"/>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color w:val="auto"/>
          <w:highlight w:val="none"/>
        </w:rPr>
        <w:t>根据表</w:t>
      </w:r>
      <w:r>
        <w:rPr>
          <w:rFonts w:hint="eastAsia"/>
          <w:color w:val="auto"/>
          <w:highlight w:val="none"/>
        </w:rPr>
        <w:t>2.</w:t>
      </w:r>
      <w:r>
        <w:rPr>
          <w:rFonts w:hint="eastAsia"/>
          <w:color w:val="auto"/>
          <w:highlight w:val="none"/>
          <w:lang w:val="en-US" w:eastAsia="zh-CN"/>
        </w:rPr>
        <w:t>8</w:t>
      </w:r>
      <w:r>
        <w:rPr>
          <w:rFonts w:hint="eastAsia"/>
          <w:color w:val="auto"/>
          <w:highlight w:val="none"/>
        </w:rPr>
        <w:t>-3</w:t>
      </w:r>
      <w:r>
        <w:rPr>
          <w:color w:val="auto"/>
          <w:highlight w:val="none"/>
        </w:rPr>
        <w:t>，本项目的建设与《</w:t>
      </w:r>
      <w:r>
        <w:rPr>
          <w:rFonts w:hint="eastAsia"/>
          <w:color w:val="auto"/>
          <w:highlight w:val="none"/>
          <w:lang w:val="en-US" w:eastAsia="zh-CN"/>
        </w:rPr>
        <w:t>2020年安徽省大气污染防治重点工作任务</w:t>
      </w:r>
      <w:r>
        <w:rPr>
          <w:color w:val="auto"/>
          <w:highlight w:val="none"/>
        </w:rPr>
        <w:t>》相符。</w:t>
      </w:r>
    </w:p>
    <w:p>
      <w:pPr>
        <w:pStyle w:val="5"/>
        <w:keepNext/>
        <w:keepLines/>
        <w:pageBreakBefore w:val="0"/>
        <w:widowControl w:val="0"/>
        <w:numPr>
          <w:ilvl w:val="2"/>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2.</w:t>
      </w:r>
      <w:r>
        <w:rPr>
          <w:rFonts w:hint="eastAsia" w:cs="宋体"/>
          <w:b/>
          <w:bCs/>
          <w:color w:val="auto"/>
          <w:kern w:val="2"/>
          <w:sz w:val="24"/>
          <w:szCs w:val="24"/>
          <w:lang w:val="en-US" w:eastAsia="zh-CN" w:bidi="ar"/>
        </w:rPr>
        <w:t>8</w:t>
      </w:r>
      <w:r>
        <w:rPr>
          <w:rFonts w:hint="eastAsia" w:eastAsia="宋体" w:cs="宋体"/>
          <w:b/>
          <w:bCs/>
          <w:color w:val="auto"/>
          <w:kern w:val="2"/>
          <w:sz w:val="24"/>
          <w:szCs w:val="24"/>
          <w:lang w:val="en-US" w:eastAsia="zh-CN" w:bidi="ar"/>
        </w:rPr>
        <w:t>.</w:t>
      </w:r>
      <w:r>
        <w:rPr>
          <w:rFonts w:hint="eastAsia" w:cs="宋体"/>
          <w:b/>
          <w:bCs/>
          <w:color w:val="auto"/>
          <w:kern w:val="2"/>
          <w:sz w:val="24"/>
          <w:szCs w:val="24"/>
          <w:lang w:val="en-US" w:eastAsia="zh-CN" w:bidi="ar"/>
        </w:rPr>
        <w:t>3</w:t>
      </w:r>
      <w:r>
        <w:rPr>
          <w:rFonts w:hint="eastAsia" w:ascii="Times New Roman" w:hAnsi="Times New Roman" w:eastAsia="宋体" w:cs="宋体"/>
          <w:b/>
          <w:bCs/>
          <w:color w:val="auto"/>
          <w:kern w:val="2"/>
          <w:sz w:val="24"/>
          <w:szCs w:val="24"/>
          <w:lang w:val="en-US" w:eastAsia="zh-CN" w:bidi="ar"/>
        </w:rPr>
        <w:t>与《</w:t>
      </w:r>
      <w:r>
        <w:rPr>
          <w:rFonts w:hint="eastAsia" w:eastAsia="宋体" w:cs="宋体"/>
          <w:b/>
          <w:bCs/>
          <w:color w:val="auto"/>
          <w:kern w:val="2"/>
          <w:sz w:val="24"/>
          <w:szCs w:val="24"/>
          <w:lang w:val="en-US" w:eastAsia="zh-CN" w:bidi="ar"/>
        </w:rPr>
        <w:t>安徽省建筑工程施工扬尘污染防治规定</w:t>
      </w:r>
      <w:r>
        <w:rPr>
          <w:rFonts w:hint="eastAsia" w:ascii="Times New Roman" w:hAnsi="Times New Roman" w:eastAsia="宋体" w:cs="宋体"/>
          <w:b/>
          <w:bCs/>
          <w:color w:val="auto"/>
          <w:kern w:val="2"/>
          <w:sz w:val="24"/>
          <w:szCs w:val="24"/>
          <w:lang w:val="en-US" w:eastAsia="zh-CN" w:bidi="ar"/>
        </w:rPr>
        <w:t>》符合性分析</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b w:val="0"/>
          <w:bCs w:val="0"/>
          <w:color w:val="auto"/>
          <w:highlight w:val="none"/>
        </w:rPr>
      </w:pPr>
      <w:r>
        <w:rPr>
          <w:b w:val="0"/>
          <w:bCs w:val="0"/>
          <w:color w:val="auto"/>
          <w:highlight w:val="none"/>
        </w:rPr>
        <w:t>根据</w:t>
      </w:r>
      <w:r>
        <w:rPr>
          <w:rFonts w:hint="eastAsia" w:ascii="Times New Roman" w:hAnsi="Times New Roman" w:eastAsia="宋体" w:cs="宋体"/>
          <w:b w:val="0"/>
          <w:bCs w:val="0"/>
          <w:color w:val="auto"/>
          <w:kern w:val="2"/>
          <w:sz w:val="24"/>
          <w:szCs w:val="24"/>
          <w:highlight w:val="none"/>
          <w:lang w:val="en-US" w:eastAsia="zh-CN" w:bidi="ar"/>
        </w:rPr>
        <w:t>《</w:t>
      </w:r>
      <w:r>
        <w:rPr>
          <w:rFonts w:hint="eastAsia" w:eastAsia="宋体" w:cs="宋体"/>
          <w:b w:val="0"/>
          <w:bCs w:val="0"/>
          <w:color w:val="auto"/>
          <w:kern w:val="2"/>
          <w:sz w:val="24"/>
          <w:szCs w:val="24"/>
          <w:lang w:val="en-US" w:eastAsia="zh-CN" w:bidi="ar"/>
        </w:rPr>
        <w:t>安徽省建筑工程施工扬尘污染防治规定</w:t>
      </w:r>
      <w:r>
        <w:rPr>
          <w:rFonts w:hint="eastAsia" w:ascii="Times New Roman" w:hAnsi="Times New Roman" w:eastAsia="宋体" w:cs="宋体"/>
          <w:b w:val="0"/>
          <w:bCs w:val="0"/>
          <w:color w:val="auto"/>
          <w:kern w:val="2"/>
          <w:sz w:val="24"/>
          <w:szCs w:val="24"/>
          <w:highlight w:val="none"/>
          <w:lang w:val="en-US" w:eastAsia="zh-CN" w:bidi="ar"/>
        </w:rPr>
        <w:t>》</w:t>
      </w:r>
      <w:r>
        <w:rPr>
          <w:b w:val="0"/>
          <w:bCs w:val="0"/>
          <w:color w:val="auto"/>
          <w:highlight w:val="none"/>
        </w:rPr>
        <w:t>，并结合本项目特点进行项目的符合性分析。相符性分析见表</w:t>
      </w:r>
      <w:r>
        <w:rPr>
          <w:rFonts w:hint="eastAsia"/>
          <w:b w:val="0"/>
          <w:bCs w:val="0"/>
          <w:color w:val="auto"/>
          <w:highlight w:val="none"/>
        </w:rPr>
        <w:t>2.</w:t>
      </w:r>
      <w:r>
        <w:rPr>
          <w:rFonts w:hint="eastAsia"/>
          <w:b w:val="0"/>
          <w:bCs w:val="0"/>
          <w:color w:val="auto"/>
          <w:highlight w:val="none"/>
          <w:lang w:val="en-US" w:eastAsia="zh-CN"/>
        </w:rPr>
        <w:t>8</w:t>
      </w:r>
      <w:r>
        <w:rPr>
          <w:rFonts w:hint="eastAsia"/>
          <w:b w:val="0"/>
          <w:bCs w:val="0"/>
          <w:color w:val="auto"/>
          <w:highlight w:val="none"/>
        </w:rPr>
        <w:t>-</w:t>
      </w:r>
      <w:r>
        <w:rPr>
          <w:rFonts w:hint="eastAsia"/>
          <w:b w:val="0"/>
          <w:bCs w:val="0"/>
          <w:color w:val="auto"/>
          <w:highlight w:val="none"/>
          <w:lang w:val="en-US" w:eastAsia="zh-CN"/>
        </w:rPr>
        <w:t>4</w:t>
      </w:r>
      <w:r>
        <w:rPr>
          <w:b w:val="0"/>
          <w:bCs w:val="0"/>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yellow"/>
        </w:rPr>
      </w:pPr>
      <w:r>
        <w:rPr>
          <w:b/>
          <w:bCs/>
          <w:color w:val="auto"/>
          <w:sz w:val="21"/>
          <w:szCs w:val="21"/>
          <w:highlight w:val="none"/>
        </w:rPr>
        <w:t>表</w:t>
      </w:r>
      <w:r>
        <w:rPr>
          <w:rFonts w:hint="eastAsia"/>
          <w:b/>
          <w:bCs/>
          <w:color w:val="auto"/>
          <w:sz w:val="21"/>
          <w:szCs w:val="21"/>
          <w:highlight w:val="none"/>
        </w:rPr>
        <w:t>2.</w:t>
      </w:r>
      <w:r>
        <w:rPr>
          <w:rFonts w:hint="eastAsia"/>
          <w:b/>
          <w:bCs/>
          <w:color w:val="auto"/>
          <w:sz w:val="21"/>
          <w:szCs w:val="21"/>
          <w:highlight w:val="none"/>
          <w:lang w:val="en-US" w:eastAsia="zh-CN"/>
        </w:rPr>
        <w:t>8-3</w:t>
      </w:r>
      <w:r>
        <w:rPr>
          <w:b/>
          <w:bCs/>
          <w:color w:val="auto"/>
          <w:sz w:val="21"/>
          <w:szCs w:val="21"/>
          <w:highlight w:val="none"/>
        </w:rPr>
        <w:t xml:space="preserve"> 本项目与《</w:t>
      </w:r>
      <w:r>
        <w:rPr>
          <w:rFonts w:hint="eastAsia" w:eastAsia="宋体" w:cs="宋体"/>
          <w:b/>
          <w:bCs/>
          <w:color w:val="auto"/>
          <w:kern w:val="2"/>
          <w:sz w:val="21"/>
          <w:szCs w:val="21"/>
          <w:lang w:val="en-US" w:eastAsia="zh-CN" w:bidi="ar"/>
        </w:rPr>
        <w:t>安徽省建筑工程施工扬尘污染防治规定</w:t>
      </w:r>
      <w:r>
        <w:rPr>
          <w:rFonts w:hint="eastAsia" w:ascii="Times New Roman" w:hAnsi="Times New Roman" w:eastAsia="宋体" w:cs="宋体"/>
          <w:b/>
          <w:bCs/>
          <w:color w:val="auto"/>
          <w:kern w:val="2"/>
          <w:sz w:val="21"/>
          <w:szCs w:val="21"/>
          <w:lang w:val="en-US" w:eastAsia="zh-CN" w:bidi="ar"/>
        </w:rPr>
        <w:t>》</w:t>
      </w:r>
      <w:r>
        <w:rPr>
          <w:b/>
          <w:bCs/>
          <w:color w:val="auto"/>
          <w:sz w:val="21"/>
          <w:szCs w:val="21"/>
          <w:highlight w:val="none"/>
        </w:rPr>
        <w:t>相符性分析</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5625"/>
        <w:gridCol w:w="5864"/>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61"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s="宋体"/>
                <w:color w:val="auto"/>
                <w:sz w:val="21"/>
                <w:szCs w:val="21"/>
                <w:highlight w:val="none"/>
                <w:lang w:eastAsia="zh-CN"/>
              </w:rPr>
              <w:t>“</w:t>
            </w:r>
            <w:r>
              <w:rPr>
                <w:rFonts w:hint="eastAsia"/>
                <w:color w:val="auto"/>
                <w:sz w:val="21"/>
                <w:szCs w:val="21"/>
                <w:highlight w:val="none"/>
                <w:lang w:val="en-US" w:eastAsia="zh-CN"/>
              </w:rPr>
              <w:t>文件</w:t>
            </w:r>
            <w:r>
              <w:rPr>
                <w:rFonts w:hint="eastAsia" w:cs="宋体"/>
                <w:color w:val="auto"/>
                <w:sz w:val="21"/>
                <w:szCs w:val="21"/>
                <w:highlight w:val="none"/>
                <w:lang w:eastAsia="zh-CN"/>
              </w:rPr>
              <w:t>”</w:t>
            </w:r>
            <w:r>
              <w:rPr>
                <w:color w:val="auto"/>
                <w:sz w:val="21"/>
                <w:szCs w:val="21"/>
                <w:highlight w:val="none"/>
              </w:rPr>
              <w:t>的相关内容</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本项目情况</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第七条 建筑施工扬尘治理措施应当符合下列规定：</w:t>
            </w: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（一）施工现场实行围挡封闭。主要路段施工现场围挡高度不低于2.5米，一般路段施工现场围挡高度不得低于1.8米，围挡底边应封闭并设置防溢沉淀井，不得有泥浆外漏。</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本项目要求：建设单位在施工现场实行封闭围挡，围挡高度不低于2.5米。围挡底边封闭并设置防溢沉淀井，不得有泥浆外漏，实现工地周边100%围挡</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（二）使用现场出入口道路实施混凝土硬化并配备车辆冲洗设施，对驶出施工现场的机动车辆冲洗干净，方可上路</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本项目要求：施工现场出入口设置车辆冲洗设施，实现出入车辆100%冲洗</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（三）施工现场内道路、加工区实施混凝土硬化。硬化后的地面，不得有浮土、积土、裸露场地应当采取覆盖或绿化措施</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本项目要求：施工现场内道路、加工区实施混凝土硬化，实现路面100%硬化</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（四）施工现场设置洒水降尘设施，安排专人定时洒水降尘</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本项目要求：施工现场设置洒水降尘设施，并安排专人定时洒水降尘</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（五）施工现场土方开挖后尽快完成回填，不能及时回填的场地，采取覆盖等防尘措施</w:t>
            </w:r>
            <w:r>
              <w:rPr>
                <w:rFonts w:hint="eastAsia" w:cs="宋体"/>
                <w:color w:val="auto"/>
                <w:sz w:val="21"/>
                <w:szCs w:val="21"/>
                <w:highlight w:val="none"/>
                <w:lang w:val="en-US" w:eastAsia="zh-CN"/>
              </w:rPr>
              <w:t>；</w:t>
            </w:r>
            <w:r>
              <w:rPr>
                <w:rFonts w:hint="eastAsia" w:eastAsia="宋体"/>
                <w:color w:val="auto"/>
                <w:sz w:val="21"/>
                <w:szCs w:val="21"/>
                <w:highlight w:val="none"/>
                <w:lang w:val="en-US" w:eastAsia="zh-CN"/>
              </w:rPr>
              <w:t>砂石等散体材料集中堆放并覆盖</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本项目要求：施工现场开挖后尽快回填，不能回填的场地，采取覆盖等防尘措施，砂石散体材料集中堆放并覆盖，实现物料堆放100%覆盖</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六）渣土等建筑垃圾集中、分类堆放，严密遮盖，采用封闭式管道或装袋清运，严禁高处抛洒，需要运输、处理的，按照市、县(区)政府市容环境卫生行政主管部门规定的时间、线路和要求，清运到指定的场所处理。</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w:t>
            </w:r>
            <w:r>
              <w:rPr>
                <w:rFonts w:hint="eastAsia" w:eastAsia="宋体"/>
                <w:color w:val="auto"/>
                <w:sz w:val="21"/>
                <w:szCs w:val="21"/>
                <w:highlight w:val="none"/>
                <w:lang w:val="en-US" w:eastAsia="zh-CN"/>
              </w:rPr>
              <w:t>渣土等建筑垃圾集中、分类堆放，严密遮盖，采用封闭式管道或装袋清运，严禁高处抛洒，需要运输、处理的，按照市、县(区)政府市容环境卫生行政主管部门规定的时间、线路和要求，清运到指定的场所处理，实现渣土车辆100%密闭运输</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（七）外脚手架应当设置悬挂密目式安全网封闭，并保持严密整洁</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w:t>
            </w:r>
            <w:r>
              <w:rPr>
                <w:rFonts w:hint="eastAsia" w:eastAsia="宋体"/>
                <w:color w:val="auto"/>
                <w:sz w:val="21"/>
                <w:szCs w:val="21"/>
                <w:highlight w:val="none"/>
                <w:lang w:val="en-US" w:eastAsia="zh-CN"/>
              </w:rPr>
              <w:t>外脚手架设置悬挂密目式安全网封闭，并保持严密整洁</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（八）施工现场禁止焚烧沥青、油毡、橡胶、塑料、皮革、垃圾以及其他产生有毒有害烟尘和恶臭气体的物质</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本项目要求：施工现场</w:t>
            </w:r>
            <w:r>
              <w:rPr>
                <w:rFonts w:hint="eastAsia" w:eastAsia="宋体"/>
                <w:color w:val="auto"/>
                <w:sz w:val="21"/>
                <w:szCs w:val="21"/>
                <w:highlight w:val="none"/>
                <w:lang w:val="en-US" w:eastAsia="zh-CN"/>
              </w:rPr>
              <w:t>禁止焚烧沥青、油毡、橡胶、塑料、皮革、垃圾以及其他产生有毒有害烟尘和恶臭气体的物质</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（九）施工现场使用商品混凝土和预拌砂浆，搅拌混凝土和砂浆采取封闭、降尘措施</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w:t>
            </w:r>
            <w:r>
              <w:rPr>
                <w:rFonts w:hint="eastAsia" w:eastAsia="宋体"/>
                <w:color w:val="auto"/>
                <w:sz w:val="21"/>
                <w:szCs w:val="21"/>
                <w:highlight w:val="none"/>
                <w:lang w:val="en-US" w:eastAsia="zh-CN"/>
              </w:rPr>
              <w:t>施工现场使用商品混凝土和预拌砂浆，搅拌混凝土和砂浆采取封闭、降尘措施</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p>
        </w:tc>
        <w:tc>
          <w:tcPr>
            <w:tcW w:w="19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（十）运进或运出工地的土方、砂石、粉煤灰、建筑垃圾等易产生扬尘的材料，应采取封闭运输</w:t>
            </w:r>
          </w:p>
        </w:tc>
        <w:tc>
          <w:tcPr>
            <w:tcW w:w="20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本项目要求：</w:t>
            </w:r>
            <w:r>
              <w:rPr>
                <w:rFonts w:hint="eastAsia" w:eastAsia="宋体"/>
                <w:color w:val="auto"/>
                <w:sz w:val="21"/>
                <w:szCs w:val="21"/>
                <w:highlight w:val="none"/>
                <w:lang w:val="en-US" w:eastAsia="zh-CN"/>
              </w:rPr>
              <w:t>运进或运出工地的土方、砂石、粉煤灰、建筑垃圾等易产生扬尘的材料，应采取封闭运输，实现渣土车辆100%密闭运输</w:t>
            </w:r>
          </w:p>
        </w:tc>
        <w:tc>
          <w:tcPr>
            <w:tcW w:w="3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highlight w:val="none"/>
        </w:rPr>
        <w:sectPr>
          <w:headerReference r:id="rId9" w:type="default"/>
          <w:footerReference r:id="rId10" w:type="default"/>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t>根据表</w:t>
      </w:r>
      <w:r>
        <w:rPr>
          <w:rFonts w:hint="eastAsia"/>
          <w:color w:val="auto"/>
          <w:highlight w:val="none"/>
        </w:rPr>
        <w:t>2.</w:t>
      </w:r>
      <w:r>
        <w:rPr>
          <w:rFonts w:hint="eastAsia"/>
          <w:color w:val="auto"/>
          <w:highlight w:val="none"/>
          <w:lang w:val="en-US" w:eastAsia="zh-CN"/>
        </w:rPr>
        <w:t>8</w:t>
      </w:r>
      <w:r>
        <w:rPr>
          <w:rFonts w:hint="eastAsia"/>
          <w:color w:val="auto"/>
          <w:highlight w:val="none"/>
        </w:rPr>
        <w:t>-</w:t>
      </w:r>
      <w:r>
        <w:rPr>
          <w:rFonts w:hint="eastAsia"/>
          <w:color w:val="auto"/>
          <w:highlight w:val="none"/>
          <w:lang w:val="en-US" w:eastAsia="zh-CN"/>
        </w:rPr>
        <w:t>3</w:t>
      </w:r>
      <w:r>
        <w:rPr>
          <w:color w:val="auto"/>
          <w:highlight w:val="none"/>
        </w:rPr>
        <w:t>，本项目的建设与《</w:t>
      </w:r>
      <w:r>
        <w:rPr>
          <w:rFonts w:hint="eastAsia"/>
          <w:color w:val="auto"/>
          <w:highlight w:val="none"/>
          <w:lang w:val="en-US" w:eastAsia="zh-CN"/>
        </w:rPr>
        <w:t>安徽省建筑工程施工扬尘污染防治规定</w:t>
      </w:r>
      <w:r>
        <w:rPr>
          <w:color w:val="auto"/>
          <w:highlight w:val="none"/>
        </w:rPr>
        <w:t>》相符。</w:t>
      </w:r>
    </w:p>
    <w:p>
      <w:pPr>
        <w:pStyle w:val="5"/>
        <w:keepNext/>
        <w:keepLines/>
        <w:pageBreakBefore w:val="0"/>
        <w:widowControl w:val="0"/>
        <w:numPr>
          <w:ilvl w:val="2"/>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2.</w:t>
      </w:r>
      <w:r>
        <w:rPr>
          <w:rFonts w:hint="eastAsia" w:eastAsia="宋体" w:cs="宋体"/>
          <w:b/>
          <w:bCs/>
          <w:color w:val="auto"/>
          <w:kern w:val="2"/>
          <w:sz w:val="24"/>
          <w:szCs w:val="24"/>
          <w:lang w:val="en-US" w:eastAsia="zh-CN" w:bidi="ar"/>
        </w:rPr>
        <w:t>8.</w:t>
      </w:r>
      <w:r>
        <w:rPr>
          <w:rFonts w:hint="eastAsia" w:cs="宋体"/>
          <w:b/>
          <w:bCs/>
          <w:color w:val="auto"/>
          <w:kern w:val="2"/>
          <w:sz w:val="24"/>
          <w:szCs w:val="24"/>
          <w:lang w:val="en-US" w:eastAsia="zh-CN" w:bidi="ar"/>
        </w:rPr>
        <w:t>4</w:t>
      </w:r>
      <w:r>
        <w:rPr>
          <w:rFonts w:hint="eastAsia" w:ascii="Times New Roman" w:hAnsi="Times New Roman" w:eastAsia="宋体" w:cs="宋体"/>
          <w:b/>
          <w:bCs/>
          <w:color w:val="auto"/>
          <w:kern w:val="2"/>
          <w:sz w:val="24"/>
          <w:szCs w:val="24"/>
          <w:lang w:val="en-US" w:eastAsia="zh-CN" w:bidi="ar"/>
        </w:rPr>
        <w:t>与</w:t>
      </w:r>
      <w:r>
        <w:rPr>
          <w:rFonts w:hint="eastAsia" w:cs="宋体"/>
          <w:b/>
          <w:bCs/>
          <w:color w:val="auto"/>
          <w:kern w:val="2"/>
          <w:sz w:val="24"/>
          <w:szCs w:val="24"/>
          <w:lang w:val="en-US" w:eastAsia="zh-CN" w:bidi="ar"/>
        </w:rPr>
        <w:t>其他政策相符性分析</w:t>
      </w:r>
    </w:p>
    <w:p>
      <w:pPr>
        <w:pStyle w:val="341"/>
        <w:rPr>
          <w:color w:val="auto"/>
          <w:highlight w:val="yellow"/>
        </w:rPr>
      </w:pPr>
      <w:r>
        <w:rPr>
          <w:rFonts w:hint="eastAsia"/>
          <w:color w:val="auto"/>
        </w:rPr>
        <w:t>本项目与《巢湖流域水污染防治条例》、《中华人民共和国长江保护法》、</w:t>
      </w:r>
      <w:r>
        <w:rPr>
          <w:color w:val="auto"/>
        </w:rPr>
        <w:t>《关于印发安徽省长江经济带发展负面清单实施细则</w:t>
      </w:r>
      <w:r>
        <w:rPr>
          <w:rFonts w:hint="eastAsia"/>
          <w:color w:val="auto"/>
        </w:rPr>
        <w:t>（</w:t>
      </w:r>
      <w:r>
        <w:rPr>
          <w:color w:val="auto"/>
        </w:rPr>
        <w:t>试行</w:t>
      </w:r>
      <w:r>
        <w:rPr>
          <w:rFonts w:hint="eastAsia"/>
          <w:color w:val="auto"/>
        </w:rPr>
        <w:t>）</w:t>
      </w:r>
      <w:r>
        <w:rPr>
          <w:color w:val="auto"/>
        </w:rPr>
        <w:t>的通知》（皖长江办</w:t>
      </w:r>
      <w:r>
        <w:rPr>
          <w:rFonts w:hint="eastAsia"/>
          <w:color w:val="auto"/>
        </w:rPr>
        <w:t>[</w:t>
      </w:r>
      <w:r>
        <w:rPr>
          <w:color w:val="auto"/>
        </w:rPr>
        <w:t>2019</w:t>
      </w:r>
      <w:r>
        <w:rPr>
          <w:rFonts w:hint="eastAsia"/>
          <w:color w:val="auto"/>
        </w:rPr>
        <w:t>]</w:t>
      </w:r>
      <w:r>
        <w:rPr>
          <w:color w:val="auto"/>
        </w:rPr>
        <w:t>18号）</w:t>
      </w:r>
      <w:r>
        <w:rPr>
          <w:rFonts w:hint="eastAsia"/>
          <w:color w:val="auto"/>
        </w:rPr>
        <w:t>、《安徽省生态环境厅关于印发加强高耗能、高排放项目生态环境源头防控的实施意见的通知》（皖环发[2021]28号）、《安徽省</w:t>
      </w:r>
      <w:r>
        <w:rPr>
          <w:color w:val="auto"/>
        </w:rPr>
        <w:t>人民政府</w:t>
      </w:r>
      <w:r>
        <w:rPr>
          <w:rFonts w:hint="eastAsia"/>
          <w:color w:val="auto"/>
        </w:rPr>
        <w:t>关于全面打造水清岸绿产业优美丽长江（安徽）经济带的实施意见（升级版）》（皖发</w:t>
      </w:r>
      <w:r>
        <w:rPr>
          <w:color w:val="auto"/>
        </w:rPr>
        <w:t>[2021]19</w:t>
      </w:r>
      <w:r>
        <w:rPr>
          <w:rFonts w:hint="eastAsia"/>
          <w:color w:val="auto"/>
        </w:rPr>
        <w:t>号）、《安徽省2</w:t>
      </w:r>
      <w:r>
        <w:rPr>
          <w:color w:val="auto"/>
        </w:rPr>
        <w:t>022</w:t>
      </w:r>
      <w:r>
        <w:rPr>
          <w:rFonts w:hint="eastAsia"/>
          <w:color w:val="auto"/>
        </w:rPr>
        <w:t>年大气污染防治工作要点》的通知（安环委办[</w:t>
      </w:r>
      <w:r>
        <w:rPr>
          <w:color w:val="auto"/>
        </w:rPr>
        <w:t>2022]37</w:t>
      </w:r>
      <w:r>
        <w:rPr>
          <w:rFonts w:hint="eastAsia"/>
          <w:color w:val="auto"/>
        </w:rPr>
        <w:t>号）、安徽省生态环境厅关于印发《安徽省“十四五”大气污染防治规划》的通知（皖环发〔2022〕12号）、《安徽省2021-2022年秋冬季大气污染综合治理攻坚行动方案》相符性分析详见表</w:t>
      </w:r>
      <w:r>
        <w:rPr>
          <w:rFonts w:hint="eastAsia"/>
          <w:color w:val="auto"/>
          <w:lang w:val="en-US" w:eastAsia="zh-CN"/>
        </w:rPr>
        <w:t>2.8-4</w:t>
      </w:r>
      <w:r>
        <w:rPr>
          <w:rFonts w:hint="eastAsia"/>
          <w:color w:val="auto"/>
        </w:rPr>
        <w:t>。</w:t>
      </w:r>
    </w:p>
    <w:p>
      <w:pPr>
        <w:pStyle w:val="342"/>
        <w:keepNext w:val="0"/>
        <w:keepLines w:val="0"/>
        <w:pageBreakBefore w:val="0"/>
        <w:widowControl w:val="0"/>
        <w:kinsoku/>
        <w:wordWrap/>
        <w:overflowPunct/>
        <w:topLinePunct w:val="0"/>
        <w:autoSpaceDE/>
        <w:autoSpaceDN/>
        <w:bidi w:val="0"/>
        <w:adjustRightInd/>
        <w:snapToGrid/>
        <w:spacing w:before="0" w:beforeLines="0"/>
        <w:textAlignment w:val="auto"/>
        <w:rPr>
          <w:b/>
          <w:bCs/>
          <w:color w:val="auto"/>
          <w:sz w:val="21"/>
          <w:szCs w:val="21"/>
        </w:rPr>
      </w:pPr>
      <w:r>
        <w:rPr>
          <w:rFonts w:hint="eastAsia"/>
          <w:b/>
          <w:bCs/>
          <w:color w:val="auto"/>
          <w:sz w:val="21"/>
          <w:szCs w:val="21"/>
        </w:rPr>
        <w:t>表</w:t>
      </w:r>
      <w:r>
        <w:rPr>
          <w:rFonts w:hint="eastAsia"/>
          <w:b/>
          <w:bCs/>
          <w:color w:val="auto"/>
          <w:sz w:val="21"/>
          <w:szCs w:val="21"/>
          <w:lang w:val="en-US" w:eastAsia="zh-CN"/>
        </w:rPr>
        <w:t>2.8-4</w:t>
      </w:r>
      <w:r>
        <w:rPr>
          <w:b/>
          <w:bCs/>
          <w:color w:val="auto"/>
          <w:sz w:val="21"/>
          <w:szCs w:val="21"/>
        </w:rPr>
        <w:t xml:space="preserve"> </w:t>
      </w:r>
      <w:r>
        <w:rPr>
          <w:rFonts w:hint="eastAsia"/>
          <w:b/>
          <w:bCs/>
          <w:color w:val="auto"/>
          <w:sz w:val="21"/>
          <w:szCs w:val="21"/>
        </w:rPr>
        <w:t>本项目与相关文件相符性分析一览表</w:t>
      </w:r>
    </w:p>
    <w:tbl>
      <w:tblPr>
        <w:tblStyle w:val="4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3447"/>
        <w:gridCol w:w="3123"/>
        <w:gridCol w:w="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政策名称</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在政策内容</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《巢湖流域水污染防治条例》</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巢湖流域水环境实行三级保护。巢湖湖体，巢湖岸线外延一千米范围内陆域，入湖河道上溯至一万米及沿岸两侧各二百米范围内陆域为一级保护区；巢湖岸线外延一千至三千米范围内陆域，入湖河道上溯至一万米沿岸两侧各二百至一千米范围内陆域为二级保护区；其他地区为三级保护区</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本项目拟建地点位于</w:t>
            </w:r>
            <w:r>
              <w:rPr>
                <w:rFonts w:hint="eastAsia"/>
                <w:color w:val="auto"/>
                <w:sz w:val="21"/>
                <w:szCs w:val="21"/>
                <w:lang w:val="en-US" w:eastAsia="zh-CN"/>
              </w:rPr>
              <w:t>合肥市滨湖新区锦绣大道与江苏路交口西南侧</w:t>
            </w:r>
            <w:r>
              <w:rPr>
                <w:rFonts w:hint="eastAsia"/>
                <w:color w:val="auto"/>
                <w:sz w:val="21"/>
                <w:szCs w:val="21"/>
              </w:rPr>
              <w:t>，距</w:t>
            </w:r>
            <w:r>
              <w:rPr>
                <w:rFonts w:hint="eastAsia"/>
                <w:color w:val="auto"/>
                <w:sz w:val="21"/>
                <w:szCs w:val="21"/>
                <w:lang w:eastAsia="zh-CN"/>
              </w:rPr>
              <w:t>入湖河道（十五里河）上溯约为</w:t>
            </w:r>
            <w:r>
              <w:rPr>
                <w:rFonts w:hint="eastAsia"/>
                <w:color w:val="auto"/>
                <w:sz w:val="21"/>
                <w:szCs w:val="21"/>
                <w:lang w:val="en-US" w:eastAsia="zh-CN"/>
              </w:rPr>
              <w:t>9100m，位于十五里河河道南侧200m，</w:t>
            </w:r>
            <w:r>
              <w:rPr>
                <w:color w:val="auto"/>
                <w:sz w:val="21"/>
                <w:szCs w:val="21"/>
              </w:rPr>
              <w:t>属于</w:t>
            </w:r>
            <w:r>
              <w:rPr>
                <w:rFonts w:hint="eastAsia"/>
                <w:color w:val="auto"/>
                <w:sz w:val="21"/>
                <w:szCs w:val="21"/>
              </w:rPr>
              <w:t>巢湖流域水环境</w:t>
            </w:r>
            <w:r>
              <w:rPr>
                <w:rFonts w:hint="eastAsia"/>
                <w:b/>
                <w:bCs/>
                <w:color w:val="auto"/>
                <w:sz w:val="21"/>
                <w:szCs w:val="21"/>
                <w:lang w:eastAsia="zh-CN"/>
              </w:rPr>
              <w:t>二</w:t>
            </w:r>
            <w:r>
              <w:rPr>
                <w:rFonts w:hint="eastAsia"/>
                <w:b/>
                <w:bCs/>
                <w:color w:val="auto"/>
                <w:sz w:val="21"/>
                <w:szCs w:val="21"/>
              </w:rPr>
              <w:t>级保护区</w:t>
            </w:r>
            <w:r>
              <w:rPr>
                <w:rFonts w:hint="eastAsia"/>
                <w:color w:val="auto"/>
                <w:sz w:val="21"/>
                <w:szCs w:val="21"/>
              </w:rPr>
              <w:t>，不涉及一级保护区。</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第二十三条：水环境一、二、三级保护区内禁止下列行为。</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（一）新建化学制浆造纸企业；</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（二）新建制革、化工、印染、电镀、酿造、水泥、石棉、玻璃等水污染严重的小型项目；</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（三）销售、使用含磷洗涤用品；</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（四）围湖造地；</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（五）法律、法规禁止的其他行为。</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根据《国民经济行业分类》（G</w:t>
            </w:r>
            <w:r>
              <w:rPr>
                <w:color w:val="auto"/>
                <w:sz w:val="21"/>
                <w:szCs w:val="21"/>
              </w:rPr>
              <w:t>B/T4754-2017，2019修订版）</w:t>
            </w:r>
            <w:r>
              <w:rPr>
                <w:rFonts w:hint="eastAsia"/>
                <w:color w:val="auto"/>
                <w:sz w:val="21"/>
                <w:szCs w:val="21"/>
              </w:rPr>
              <w:t>，本项目属于分类中“Q841</w:t>
            </w:r>
            <w:r>
              <w:rPr>
                <w:rFonts w:hint="eastAsia"/>
                <w:color w:val="auto"/>
                <w:sz w:val="21"/>
                <w:szCs w:val="21"/>
                <w:lang w:val="en-US" w:eastAsia="zh-CN"/>
              </w:rPr>
              <w:t>1综合医院</w:t>
            </w:r>
            <w:r>
              <w:rPr>
                <w:rFonts w:hint="eastAsia"/>
                <w:color w:val="auto"/>
                <w:sz w:val="21"/>
                <w:szCs w:val="21"/>
              </w:rPr>
              <w:t>”行业。对照《产业结构调整指导目录（2019年本）》，本项目属于鼓励类。因此，本</w:t>
            </w:r>
            <w:r>
              <w:rPr>
                <w:color w:val="auto"/>
                <w:sz w:val="21"/>
                <w:szCs w:val="21"/>
              </w:rPr>
              <w:t>项目</w:t>
            </w:r>
            <w:r>
              <w:rPr>
                <w:rFonts w:hint="eastAsia"/>
                <w:color w:val="auto"/>
                <w:sz w:val="21"/>
                <w:szCs w:val="21"/>
              </w:rPr>
              <w:t>不在上述禁止行为行列。</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第二十三条：严格限制在水环境三级保护区内新建制革、化工、印染、电镀、酿造、水泥、石棉、玻璃等水污染严重的大中型项目；确需新建的，应当事先报经省人民政府生态环境主管部门同意。其中，排放含氮、磷等污染物的项目，按照不低于该项目氮、磷等重点水污染物年排放总量指标，实行减量替代</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本项目不属于制革、化工、印染、电镀、酿造、水泥、石棉、玻璃等水污染严重的大中型项目。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第二十九条：禁止下列排放水污染物的行为。</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(一)利用渗井、渗坑、裂隙、溶洞，私设暗管，篡改、伪造监测数据，或者不正常运行水污染防治设施等逃避监管的方式排放；</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(二)将废水稀释后排放；</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(三)在雨污管道分离后利用雨水管道排放；</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(四)将废水通过槽车、储水罐等运输工具或者容器转移出厂非法倾倒；</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(五)擅自改变污水处理方式、不经过批准的排污口排放；</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(六)法律、法规规定的其他禁止性行为。</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rFonts w:hint="eastAsia"/>
                <w:color w:val="auto"/>
                <w:sz w:val="21"/>
                <w:szCs w:val="21"/>
              </w:rPr>
            </w:pP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rFonts w:hint="eastAsia"/>
                <w:color w:val="auto"/>
                <w:sz w:val="21"/>
                <w:szCs w:val="21"/>
              </w:rPr>
            </w:pP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本项目产生的各类废水经</w:t>
            </w:r>
            <w:r>
              <w:rPr>
                <w:rFonts w:hint="eastAsia"/>
                <w:color w:val="auto"/>
                <w:sz w:val="21"/>
                <w:szCs w:val="21"/>
                <w:lang w:eastAsia="zh-CN"/>
              </w:rPr>
              <w:t>院区污水处理站</w:t>
            </w:r>
            <w:r>
              <w:rPr>
                <w:rFonts w:hint="eastAsia"/>
                <w:color w:val="auto"/>
                <w:sz w:val="21"/>
                <w:szCs w:val="21"/>
              </w:rPr>
              <w:t>处理后排放至</w:t>
            </w:r>
            <w:r>
              <w:rPr>
                <w:rFonts w:hint="eastAsia"/>
                <w:color w:val="auto"/>
                <w:sz w:val="21"/>
                <w:szCs w:val="21"/>
                <w:lang w:eastAsia="zh-CN"/>
              </w:rPr>
              <w:t>十五里河</w:t>
            </w:r>
            <w:r>
              <w:rPr>
                <w:rFonts w:hint="eastAsia"/>
                <w:color w:val="auto"/>
                <w:sz w:val="21"/>
                <w:szCs w:val="21"/>
              </w:rPr>
              <w:t>水处理厂，属于废水间接排放项目。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第三十三条：向城镇污水集中处理设施排放污水，应当达到国家和地方规定的水污染物排放标准以及污水排入城市下水道水质标准。</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本项目废水经预处理后达到《医疗机构水污染物排放标准》（GB18466-2005）表2预处理标准及中</w:t>
            </w:r>
            <w:r>
              <w:rPr>
                <w:rFonts w:hint="eastAsia"/>
                <w:color w:val="auto"/>
                <w:sz w:val="21"/>
                <w:szCs w:val="21"/>
                <w:lang w:eastAsia="zh-CN"/>
              </w:rPr>
              <w:t>十五里河</w:t>
            </w:r>
            <w:r>
              <w:rPr>
                <w:rFonts w:hint="eastAsia"/>
                <w:color w:val="auto"/>
                <w:sz w:val="21"/>
                <w:szCs w:val="21"/>
              </w:rPr>
              <w:t>处理厂接管要求（从严执行）后纳入</w:t>
            </w:r>
            <w:r>
              <w:rPr>
                <w:rFonts w:hint="eastAsia"/>
                <w:color w:val="auto"/>
                <w:sz w:val="21"/>
                <w:szCs w:val="21"/>
                <w:lang w:eastAsia="zh-CN"/>
              </w:rPr>
              <w:t>十五里河</w:t>
            </w:r>
            <w:r>
              <w:rPr>
                <w:rFonts w:hint="eastAsia"/>
                <w:color w:val="auto"/>
                <w:sz w:val="21"/>
                <w:szCs w:val="21"/>
              </w:rPr>
              <w:t>污水处理厂处理，能够满足国家和地方规定的水污染物排放标准要求。</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第四十二条学校、科研院所、医疗机构等单位的实验室、检验室、化验室产生的危险废液，应当按照国家和省有关规定单独收集、安全处置。</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本项目各实验室、检验室、化验室产生的危险废液将委托有资质单位进行安全处置。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《中华人民共和国长江保护法》</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长江流域产业结构和布局应当与长江流域生态系统和资源环境承载能力相适应。禁止在长江流域重点生态功能区布局对生态系统有严重影响的产业</w:t>
            </w:r>
            <w:r>
              <w:rPr>
                <w:rFonts w:hint="eastAsia"/>
                <w:color w:val="auto"/>
                <w:sz w:val="21"/>
                <w:szCs w:val="21"/>
              </w:rPr>
              <w:t>。</w:t>
            </w:r>
          </w:p>
        </w:tc>
        <w:tc>
          <w:tcPr>
            <w:tcW w:w="1840"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本项目拟建地点位于</w:t>
            </w:r>
            <w:r>
              <w:rPr>
                <w:rFonts w:hint="eastAsia"/>
                <w:color w:val="auto"/>
                <w:sz w:val="21"/>
                <w:szCs w:val="21"/>
                <w:lang w:val="en-US" w:eastAsia="zh-CN"/>
              </w:rPr>
              <w:t>合肥市滨湖新区锦绣大道与江苏路交口西南侧</w:t>
            </w:r>
            <w:r>
              <w:rPr>
                <w:rFonts w:hint="eastAsia"/>
                <w:color w:val="auto"/>
                <w:sz w:val="21"/>
                <w:szCs w:val="21"/>
              </w:rPr>
              <w:t>，不属于重点生态功能区，且项目距长江干流最近距离约</w:t>
            </w:r>
            <w:r>
              <w:rPr>
                <w:color w:val="auto"/>
                <w:sz w:val="21"/>
                <w:szCs w:val="21"/>
              </w:rPr>
              <w:t>8</w:t>
            </w:r>
            <w:r>
              <w:rPr>
                <w:rFonts w:hint="eastAsia"/>
                <w:color w:val="auto"/>
                <w:sz w:val="21"/>
                <w:szCs w:val="21"/>
                <w:lang w:val="en-US" w:eastAsia="zh-CN"/>
              </w:rPr>
              <w:t>2</w:t>
            </w:r>
            <w:r>
              <w:rPr>
                <w:rFonts w:hint="eastAsia"/>
                <w:color w:val="auto"/>
                <w:sz w:val="21"/>
                <w:szCs w:val="21"/>
              </w:rPr>
              <w:t>km，不在上述禁建范围。项目运行过程中产生的固体废物均能得到合理的处理、处置。</w:t>
            </w:r>
          </w:p>
        </w:tc>
        <w:tc>
          <w:tcPr>
            <w:tcW w:w="227"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禁止在长江干支流岸线一公里范围内新建、扩建化工园区和化工项目。</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禁止在长江干流岸线三公里范围内和重要支流岸线一公里范围内新建、改建、扩建尾矿库</w:t>
            </w:r>
            <w:r>
              <w:rPr>
                <w:rFonts w:hint="eastAsia"/>
                <w:color w:val="auto"/>
                <w:sz w:val="21"/>
                <w:szCs w:val="21"/>
              </w:rPr>
              <w:t>。</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禁止在长江流域河湖管理范围内倾倒、填埋、堆放、弃置、处理固体废物。</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color w:val="auto"/>
                <w:sz w:val="21"/>
                <w:szCs w:val="21"/>
              </w:rPr>
              <w:t>《关于印发安徽省长江经济带发展负面清单实施细则</w:t>
            </w:r>
            <w:r>
              <w:rPr>
                <w:rFonts w:hint="eastAsia"/>
                <w:color w:val="auto"/>
                <w:sz w:val="21"/>
                <w:szCs w:val="21"/>
              </w:rPr>
              <w:t>（</w:t>
            </w:r>
            <w:r>
              <w:rPr>
                <w:color w:val="auto"/>
                <w:sz w:val="21"/>
                <w:szCs w:val="21"/>
              </w:rPr>
              <w:t>试行</w:t>
            </w:r>
            <w:r>
              <w:rPr>
                <w:rFonts w:hint="eastAsia"/>
                <w:color w:val="auto"/>
                <w:sz w:val="21"/>
                <w:szCs w:val="21"/>
              </w:rPr>
              <w:t>）</w:t>
            </w:r>
            <w:r>
              <w:rPr>
                <w:color w:val="auto"/>
                <w:sz w:val="21"/>
                <w:szCs w:val="21"/>
              </w:rPr>
              <w:t>的通知》（皖长江办</w:t>
            </w:r>
            <w:r>
              <w:rPr>
                <w:rFonts w:hint="eastAsia"/>
                <w:color w:val="auto"/>
                <w:sz w:val="21"/>
                <w:szCs w:val="21"/>
              </w:rPr>
              <w:t>[</w:t>
            </w:r>
            <w:r>
              <w:rPr>
                <w:color w:val="auto"/>
                <w:sz w:val="21"/>
                <w:szCs w:val="21"/>
              </w:rPr>
              <w:t>2019</w:t>
            </w:r>
            <w:r>
              <w:rPr>
                <w:rFonts w:hint="eastAsia"/>
                <w:color w:val="auto"/>
                <w:sz w:val="21"/>
                <w:szCs w:val="21"/>
              </w:rPr>
              <w:t>]</w:t>
            </w:r>
            <w:r>
              <w:rPr>
                <w:color w:val="auto"/>
                <w:sz w:val="21"/>
                <w:szCs w:val="21"/>
              </w:rPr>
              <w:t>18号）</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新建、扩建不符合国家石化、现代煤化工等产业布局规划的项目。新建乙烯、对二甲苯(PX)、二苯基甲烷二异氰酸酯(MDI)石化项目由省政府投资主管部门按照国家批准的石化产业规划布局方案核准。未列入国家批准相关规划的新建乙烯、对二甲苯(PX)、二苯基甲烷二异氰酸酯(MDI）项目，禁止建设。新建煤制烯怪、煤制对二甲苯(PX）煤化工项目，由省政府投资主管部门按照国家批准的相关规划核准。新建年产超过100万吨的煤制甲醇项目，由省政府投资主管部门核准。其余不符合国家煤化工产业布局规划的项目禁止建设。</w:t>
            </w:r>
          </w:p>
        </w:tc>
        <w:tc>
          <w:tcPr>
            <w:tcW w:w="1840"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本项目国民经济行业类别为“Q841</w:t>
            </w:r>
            <w:r>
              <w:rPr>
                <w:rFonts w:hint="eastAsia"/>
                <w:color w:val="auto"/>
                <w:sz w:val="21"/>
                <w:szCs w:val="21"/>
                <w:lang w:val="en-US" w:eastAsia="zh-CN"/>
              </w:rPr>
              <w:t>1综合医院</w:t>
            </w:r>
            <w:r>
              <w:rPr>
                <w:rFonts w:hint="eastAsia"/>
                <w:color w:val="auto"/>
                <w:sz w:val="21"/>
                <w:szCs w:val="21"/>
              </w:rPr>
              <w:t>”，不属于禁止的不符合国家石化、现代煤化工等产业布局规划的项目及</w:t>
            </w:r>
            <w:r>
              <w:rPr>
                <w:color w:val="auto"/>
                <w:sz w:val="21"/>
                <w:szCs w:val="21"/>
              </w:rPr>
              <w:t>严重过剩产能行业的项目。</w:t>
            </w:r>
          </w:p>
        </w:tc>
        <w:tc>
          <w:tcPr>
            <w:tcW w:w="227"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新建、扩建法律法规和相关政策明令禁止的落后产能项目。对属于国家《产业结构调整指导目录》中淘汰类项目，禁止投资。对属于国家《产业结构调整指导目录》中限制类的新建项目，禁止投资，沿江各级投资管理部门不予审批、核准或备案。对属于限制类的现有生产能力，允许企业在一定期限内采取措施改造升级。</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color w:val="auto"/>
                <w:sz w:val="21"/>
                <w:szCs w:val="21"/>
              </w:rPr>
              <w:t>禁止新建、扩建不符合国家产能置换要求的钢铁、水泥、电解铝、平板玻璃等严重过剩产能行业的项目。</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《安徽省生态环境厅关于印发加强高耗能、高排放项目生态环境源头防控的实施意见的通知》（皖环发[2021]28号）</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各地不得受理钢铁、水泥、电解铝、平板玻璃、铸造等产能严重过剩行业新增产能项目的环评文件；对国家明令淘汰、禁止建设、不符合国家产业政策的项目环评文件，一律不批。</w:t>
            </w:r>
          </w:p>
        </w:tc>
        <w:tc>
          <w:tcPr>
            <w:tcW w:w="1840"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本项目拟建设于</w:t>
            </w:r>
            <w:r>
              <w:rPr>
                <w:rFonts w:hint="eastAsia"/>
                <w:color w:val="auto"/>
                <w:sz w:val="21"/>
                <w:szCs w:val="21"/>
                <w:lang w:val="en-US" w:eastAsia="zh-CN"/>
              </w:rPr>
              <w:t>肥市滨湖新区锦绣大道与江苏路交口西南侧</w:t>
            </w:r>
            <w:r>
              <w:rPr>
                <w:rFonts w:hint="eastAsia"/>
                <w:color w:val="auto"/>
                <w:sz w:val="21"/>
                <w:szCs w:val="21"/>
              </w:rPr>
              <w:t>，国民经济行业类别为“</w:t>
            </w:r>
            <w:r>
              <w:rPr>
                <w:color w:val="auto"/>
                <w:sz w:val="21"/>
                <w:szCs w:val="21"/>
              </w:rPr>
              <w:t>Q8</w:t>
            </w:r>
            <w:r>
              <w:rPr>
                <w:rFonts w:hint="eastAsia"/>
                <w:color w:val="auto"/>
                <w:sz w:val="21"/>
                <w:szCs w:val="21"/>
                <w:lang w:val="en-US" w:eastAsia="zh-CN"/>
              </w:rPr>
              <w:t>411综合医院</w:t>
            </w:r>
            <w:r>
              <w:rPr>
                <w:rFonts w:hint="eastAsia"/>
                <w:color w:val="auto"/>
                <w:sz w:val="21"/>
                <w:szCs w:val="21"/>
              </w:rPr>
              <w:t>”，不属于国家明令淘汰、禁止建设、不符合国家产业政策的项目，不属于钢铁、石化、化工、焦化、建材、有色等“两高”项目。</w:t>
            </w:r>
          </w:p>
        </w:tc>
        <w:tc>
          <w:tcPr>
            <w:tcW w:w="227"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沿江各市应按《长江经济带发展负面清单指南（试行）》及我省实施细则要求，对合规园区外新建、扩建钢铁、石化、化工、焦化、建材、有色等“两高”项目的环评文件一律不批。</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削减措施原则上应优先来源于纳入排污许可管理的排污单位采取的治理措施（含关停、原料和工艺改造、末端治理等）。区域削减措施原则上应与建设项目位于同一地级市或市级行政区域内同一流域。地级市行政区域内削减量不足时，可来源于省级行政区域或省级行政区域内的同一流域。</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区域削减方案由建设单位、出让减排量的排污单位及做出落实承诺的地方人民政府共同确认，并明确各方责任。建设单位是控制污染物排放的责任主体，应在提交环境影响报告书时明确污染物区域削减方案，包括主要污染物削减量、削减来源、削减措施、责任主体、完成时限。出让减排量的排污单位是落实削减措施的责任主体，应明确削减措施可形成的减排量、出让给本项目的减排量、完成时限，制定实施计划并做出落实承诺。建设单位提交的区域削减方案中涉及地方人民政府推动落实的工作，报批环境影响报告书时需附具地方人民政府对区域削减方案的承诺性文件。涉及多个行政区域的，可附具多个市、县、区行政区域共同的上级人民政府做出的承诺性文件。</w:t>
            </w:r>
          </w:p>
        </w:tc>
        <w:tc>
          <w:tcPr>
            <w:tcW w:w="1840"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27"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《安徽省</w:t>
            </w:r>
            <w:r>
              <w:rPr>
                <w:color w:val="auto"/>
                <w:sz w:val="21"/>
                <w:szCs w:val="21"/>
              </w:rPr>
              <w:t>人民政府</w:t>
            </w:r>
            <w:r>
              <w:rPr>
                <w:rFonts w:hint="eastAsia"/>
                <w:color w:val="auto"/>
                <w:sz w:val="21"/>
                <w:szCs w:val="21"/>
              </w:rPr>
              <w:t>关于全面打造水清岸绿产业优美丽长江（安徽）经济带的实施意见（升级版）》</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“严管</w:t>
            </w:r>
            <w:r>
              <w:rPr>
                <w:color w:val="auto"/>
                <w:sz w:val="21"/>
                <w:szCs w:val="21"/>
              </w:rPr>
              <w:t>15</w:t>
            </w:r>
            <w:r>
              <w:rPr>
                <w:rFonts w:hint="eastAsia"/>
                <w:color w:val="auto"/>
                <w:sz w:val="21"/>
                <w:szCs w:val="21"/>
              </w:rPr>
              <w:t>公里范围内新建项目。长江干流岸线</w:t>
            </w:r>
            <w:r>
              <w:rPr>
                <w:color w:val="auto"/>
                <w:sz w:val="21"/>
                <w:szCs w:val="21"/>
              </w:rPr>
              <w:t>15</w:t>
            </w:r>
            <w:r>
              <w:rPr>
                <w:rFonts w:hint="eastAsia"/>
                <w:color w:val="auto"/>
                <w:sz w:val="21"/>
                <w:szCs w:val="21"/>
              </w:rPr>
              <w:t>公里范围内，严把各类项目准入门槛，严格执行环境保护标准，把主要污染物和重点重金属排放总量控制目标作为新</w:t>
            </w:r>
            <w:r>
              <w:rPr>
                <w:color w:val="auto"/>
                <w:sz w:val="21"/>
                <w:szCs w:val="21"/>
              </w:rPr>
              <w:t>(</w:t>
            </w:r>
            <w:r>
              <w:rPr>
                <w:rFonts w:hint="eastAsia"/>
                <w:color w:val="auto"/>
                <w:sz w:val="21"/>
                <w:szCs w:val="21"/>
              </w:rPr>
              <w:t>改、扩</w:t>
            </w:r>
            <w:r>
              <w:rPr>
                <w:color w:val="auto"/>
                <w:sz w:val="21"/>
                <w:szCs w:val="21"/>
              </w:rPr>
              <w:t>)</w:t>
            </w:r>
            <w:r>
              <w:rPr>
                <w:rFonts w:hint="eastAsia"/>
                <w:color w:val="auto"/>
                <w:sz w:val="21"/>
                <w:szCs w:val="21"/>
              </w:rPr>
              <w:t>建项目环评审批的前置条件，禁止建设没有环境容量和减排总量项目。</w:t>
            </w:r>
            <w:r>
              <w:rPr>
                <w:color w:val="auto"/>
                <w:sz w:val="21"/>
                <w:szCs w:val="21"/>
              </w:rPr>
              <w:t>(</w:t>
            </w:r>
            <w:r>
              <w:rPr>
                <w:rFonts w:hint="eastAsia"/>
                <w:color w:val="auto"/>
                <w:sz w:val="21"/>
                <w:szCs w:val="21"/>
              </w:rPr>
              <w:t>省发展改革委、省生态环境厅、省经济和信息化厅、省能源局等按职责分工负责</w:t>
            </w:r>
            <w:r>
              <w:rPr>
                <w:color w:val="auto"/>
                <w:sz w:val="21"/>
                <w:szCs w:val="21"/>
              </w:rPr>
              <w:t>)</w:t>
            </w:r>
            <w:r>
              <w:rPr>
                <w:rFonts w:hint="eastAsia"/>
                <w:color w:val="auto"/>
                <w:sz w:val="21"/>
                <w:szCs w:val="21"/>
              </w:rPr>
              <w:t>在岸线开发、河段利用、区域活动和产业发展等方面，严格执行《长江经济带发展负面清单指南</w:t>
            </w:r>
            <w:r>
              <w:rPr>
                <w:color w:val="auto"/>
                <w:sz w:val="21"/>
                <w:szCs w:val="21"/>
              </w:rPr>
              <w:t>(</w:t>
            </w:r>
            <w:r>
              <w:rPr>
                <w:rFonts w:hint="eastAsia"/>
                <w:color w:val="auto"/>
                <w:sz w:val="21"/>
                <w:szCs w:val="21"/>
              </w:rPr>
              <w:t>试行</w:t>
            </w:r>
            <w:r>
              <w:rPr>
                <w:color w:val="auto"/>
                <w:sz w:val="21"/>
                <w:szCs w:val="21"/>
              </w:rPr>
              <w:t>)</w:t>
            </w:r>
            <w:r>
              <w:rPr>
                <w:rFonts w:hint="eastAsia"/>
                <w:color w:val="auto"/>
                <w:sz w:val="21"/>
                <w:szCs w:val="21"/>
              </w:rPr>
              <w:t>》《安徽省长江经济带发展负面清单实施细则</w:t>
            </w:r>
            <w:r>
              <w:rPr>
                <w:color w:val="auto"/>
                <w:sz w:val="21"/>
                <w:szCs w:val="21"/>
              </w:rPr>
              <w:t>(</w:t>
            </w:r>
            <w:r>
              <w:rPr>
                <w:rFonts w:hint="eastAsia"/>
                <w:color w:val="auto"/>
                <w:sz w:val="21"/>
                <w:szCs w:val="21"/>
              </w:rPr>
              <w:t>试行</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省水利厅、省发展改革委、省经济和信息化厅、省自然资源厅、省生态环境厅、省交通运输厅等按职责分工负责</w:t>
            </w:r>
            <w:r>
              <w:rPr>
                <w:color w:val="auto"/>
                <w:sz w:val="21"/>
                <w:szCs w:val="21"/>
              </w:rPr>
              <w:t>)</w:t>
            </w:r>
            <w:r>
              <w:rPr>
                <w:rFonts w:hint="eastAsia"/>
                <w:color w:val="auto"/>
                <w:sz w:val="21"/>
                <w:szCs w:val="21"/>
              </w:rPr>
              <w:t>实施备案、环评、安评、能评等并联审批，未落实生态环保、安全生产、能源节约要求的，一律不得开工建设；长江干流岸线1</w:t>
            </w:r>
            <w:r>
              <w:rPr>
                <w:color w:val="auto"/>
                <w:sz w:val="21"/>
                <w:szCs w:val="21"/>
              </w:rPr>
              <w:t>5</w:t>
            </w:r>
            <w:r>
              <w:rPr>
                <w:rFonts w:hint="eastAsia"/>
                <w:color w:val="auto"/>
                <w:sz w:val="21"/>
                <w:szCs w:val="21"/>
              </w:rPr>
              <w:t>公里范围内，新建工业项目（资源开采及配套加工项目除外）原则上全部进园区，其中化工项目进化工园区或主导产业为化工的开发区</w:t>
            </w:r>
            <w:r>
              <w:rPr>
                <w:color w:val="auto"/>
                <w:sz w:val="21"/>
                <w:szCs w:val="21"/>
              </w:rPr>
              <w:t>”</w:t>
            </w:r>
            <w:r>
              <w:rPr>
                <w:rFonts w:hint="eastAsia"/>
                <w:color w:val="auto"/>
                <w:sz w:val="21"/>
                <w:szCs w:val="21"/>
              </w:rPr>
              <w:t>。</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本项目拟建地点位于</w:t>
            </w:r>
            <w:r>
              <w:rPr>
                <w:rFonts w:hint="eastAsia"/>
                <w:color w:val="auto"/>
                <w:sz w:val="21"/>
                <w:szCs w:val="21"/>
                <w:lang w:val="en-US" w:eastAsia="zh-CN"/>
              </w:rPr>
              <w:t>肥市滨湖新区锦绣大道与江苏路交口西南侧</w:t>
            </w:r>
            <w:r>
              <w:rPr>
                <w:rFonts w:hint="eastAsia"/>
                <w:color w:val="auto"/>
                <w:sz w:val="21"/>
                <w:szCs w:val="21"/>
              </w:rPr>
              <w:t>，距长江干流最近距离约</w:t>
            </w:r>
            <w:r>
              <w:rPr>
                <w:color w:val="auto"/>
                <w:sz w:val="21"/>
                <w:szCs w:val="21"/>
              </w:rPr>
              <w:t>8</w:t>
            </w:r>
            <w:r>
              <w:rPr>
                <w:rFonts w:hint="eastAsia"/>
                <w:color w:val="auto"/>
                <w:sz w:val="21"/>
                <w:szCs w:val="21"/>
                <w:lang w:val="en-US" w:eastAsia="zh-CN"/>
              </w:rPr>
              <w:t>2</w:t>
            </w:r>
            <w:r>
              <w:rPr>
                <w:rFonts w:hint="eastAsia"/>
                <w:color w:val="auto"/>
                <w:sz w:val="21"/>
                <w:szCs w:val="21"/>
              </w:rPr>
              <w:t>km，不在该文件中1</w:t>
            </w:r>
            <w:r>
              <w:rPr>
                <w:color w:val="auto"/>
                <w:sz w:val="21"/>
                <w:szCs w:val="21"/>
              </w:rPr>
              <w:t>5</w:t>
            </w:r>
            <w:r>
              <w:rPr>
                <w:rFonts w:hint="eastAsia"/>
                <w:color w:val="auto"/>
                <w:sz w:val="21"/>
                <w:szCs w:val="21"/>
              </w:rPr>
              <w:t>公里管控范围。</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《安徽省2</w:t>
            </w:r>
            <w:r>
              <w:rPr>
                <w:color w:val="auto"/>
                <w:sz w:val="21"/>
                <w:szCs w:val="21"/>
              </w:rPr>
              <w:t>022年大气污染防治工作要点</w:t>
            </w:r>
            <w:r>
              <w:rPr>
                <w:rFonts w:hint="eastAsia"/>
                <w:color w:val="auto"/>
                <w:sz w:val="21"/>
                <w:szCs w:val="21"/>
              </w:rPr>
              <w:t>》</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加强煤炭消费管理。严控新增耗煤项目，大气污染防治重点区域内新建、改建、扩建用煤项目的严格实施煤炭减量替代。</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本项目在运营中不使用煤炭作为燃料。</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积极发展清洁能源。坚持实施“增气减煤”，提升供应侧非化石能源比重，提高消费侧典礼比重，增加天然气供应量、优化天然气使用，持续推进以煤为燃料的工业炉窑清洁燃料替代改造，提高以电代煤、以气代煤比例。</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项目所用锅炉燃料为天然气，并配备低氮燃烧装置。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加快产业结构转型升级。全面排查“两高”项目，对不符合规定的坚决停批停建，科学稳妥推进符合要求的拟建项目。严谨新增钢铁、焦化、水泥熟料、平板玻璃、电解铝等产能。</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对照《关于进一步做好“两高”项目梳理排查工作的通知》中“安徽省两高项目管理目录”，本项目属于国民经济行业分类中</w:t>
            </w:r>
            <w:r>
              <w:rPr>
                <w:color w:val="auto"/>
                <w:sz w:val="21"/>
                <w:szCs w:val="21"/>
              </w:rPr>
              <w:t>Q</w:t>
            </w:r>
            <w:r>
              <w:rPr>
                <w:rFonts w:hint="eastAsia"/>
                <w:color w:val="auto"/>
                <w:sz w:val="21"/>
                <w:szCs w:val="21"/>
                <w:lang w:val="en-US" w:eastAsia="zh-CN"/>
              </w:rPr>
              <w:t>8411综合医院</w:t>
            </w:r>
            <w:r>
              <w:rPr>
                <w:rFonts w:hint="eastAsia"/>
                <w:color w:val="auto"/>
                <w:sz w:val="21"/>
                <w:szCs w:val="21"/>
              </w:rPr>
              <w:t>，不在该管理目录范畴，不属于两高项目。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加强大气面源污染治理。聚焦P</w:t>
            </w:r>
            <w:r>
              <w:rPr>
                <w:color w:val="auto"/>
                <w:sz w:val="21"/>
                <w:szCs w:val="21"/>
              </w:rPr>
              <w:t>M</w:t>
            </w:r>
            <w:r>
              <w:rPr>
                <w:color w:val="auto"/>
                <w:sz w:val="21"/>
                <w:szCs w:val="21"/>
                <w:vertAlign w:val="subscript"/>
              </w:rPr>
              <w:t>10</w:t>
            </w:r>
            <w:r>
              <w:rPr>
                <w:rFonts w:hint="eastAsia"/>
                <w:color w:val="auto"/>
                <w:sz w:val="21"/>
                <w:szCs w:val="21"/>
              </w:rPr>
              <w:t>治理，强化施工、道路等扬尘管控，积极推行绿色施工。</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为强化施工、道路扬尘等管控，项目拟采取如下措施：①加强管理，制定施工扬尘污染防治方案，根据施工工序编制施工期内扬尘污染防治任务书，实施扬尘防治全过程管理，责任到每个施工工序。</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②建筑工地实行围挡封闭施工，围墙高</w:t>
            </w:r>
            <w:r>
              <w:rPr>
                <w:rFonts w:hint="eastAsia"/>
                <w:color w:val="auto"/>
                <w:sz w:val="21"/>
                <w:szCs w:val="21"/>
              </w:rPr>
              <w:t>度不低于1.8m</w:t>
            </w:r>
            <w:r>
              <w:rPr>
                <w:rFonts w:hint="eastAsia"/>
                <w:color w:val="auto"/>
                <w:sz w:val="21"/>
                <w:szCs w:val="21"/>
              </w:rPr>
              <w:t>。建筑工地脚手架外侧用密闭式安全网全封闭，封闭高度高出作业面1.5m以上并定期保洁。同时施工过程中使用水泥、石灰、沙石、涂料、铺装材料等易产生扬尘的建筑材料时，采取密闭存储；设置围挡或堆砌围墙；采用防尘布苫盖等一系列措施减少扬尘。</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③采用湿式作业对施工期主要产尘工作面进行洒水降尘，安排专人对施工场地进出路口100m范围内的道路进行洒水降尘。视天气情况而定，一般每天洒水2～3次；若遇大风或干燥天气可适当增加洒水次数。遇到四级或四级以上大风天气，停止土方作业，同时作业处覆以防尘网。</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④实行硬地坪施工，建筑工地的场内道路，采用桩基础的工地进行硬化处理，实行硬地坪施工。工地出入口设置车辆冲洗、排水设施，安排专人对施工场地进出路口100范围内的道路进行清扫。</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⑤加强施工现场运输车辆管理，加强密闭运渣车辆管理，防止施工工地进出车辆的带泥和冒装撒漏，严禁运输车辆沿路撒漏和污染道路，确保密闭运输效果。</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《安徽省“十四五”大气污染防治规划》</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1、严控“两高”行业盲目发展：严格环境准入，坚决遏制高耗能、高排放即“两高”行业盲目发展。严格落实国家产业规划、产业政策、“三线一单”、规划环评，以及产能置换、煤炭消费减量替代、区域污染物削减等要求，坚决叫停不符合要求的“两高”项目。严禁新增钢铁、焦化、电解铝、铸造、水泥和平板玻璃等产能，严格执行钢铁、水泥、平板玻璃等行业产能置换实施办法，严控污染物排放总量。严格控制涉工业炉窑建设项目，原则上禁止新建燃料类煤气发生炉（园区现有企业统一建设的清洁煤制气中心除外）。严格限制高VOCs排放化工类建设项目，禁止建设生产VOCs含量限值不符合国家标准的涂料、油墨、胶粘剂、清洗剂等项目。</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1、对照《关于进一步做好“两高”项目梳理排查工作的通知》中“安徽省两高项目管理目录”，本项目属于国民经济行业分类中</w:t>
            </w:r>
            <w:r>
              <w:rPr>
                <w:color w:val="auto"/>
                <w:sz w:val="21"/>
                <w:szCs w:val="21"/>
              </w:rPr>
              <w:t>Q84</w:t>
            </w:r>
            <w:r>
              <w:rPr>
                <w:rFonts w:hint="eastAsia"/>
                <w:color w:val="auto"/>
                <w:sz w:val="21"/>
                <w:szCs w:val="21"/>
                <w:lang w:val="en-US" w:eastAsia="zh-CN"/>
              </w:rPr>
              <w:t>11综合医院</w:t>
            </w:r>
            <w:r>
              <w:rPr>
                <w:rFonts w:hint="eastAsia"/>
                <w:color w:val="auto"/>
                <w:sz w:val="21"/>
                <w:szCs w:val="21"/>
              </w:rPr>
              <w:t>，不在该管理目录范畴，不属于两高项目；</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2、本项目不属于两高项目，且符合国家产业规划、产业政策、“三线一单”及地方土地利用规划等要求；</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3、本项目不属于钢铁、焦化、电解铝、铸造、水泥和平板玻璃行业；</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4、项目建设运营过程中不涉及工业炉窑使用；</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5、项目不属于化工项目；</w:t>
            </w:r>
          </w:p>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6、项目建成运营后各废气污染物均能做到达标排放，不降低原有功能区级别。</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highlight w:val="yellow"/>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2、重点行业绿色转型：推动减污降碳协同增效，促进经济社会发展全面绿色转型，在推动结构性节能、助推非化石能源发展等方面同频共振。以钢铁、化工、有色金属、建材、印染、酿造等重点行业为典型，全面实施能效提升、清洁生产、深度治污、循环利用等工艺技术改造，推动重点行业绿色转型。</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本项目在建成投运后产生的“三废”均能做到妥善的处理处置。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restar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《安徽省2021-2022年秋冬季大气污染综合治理攻坚行动方案》</w:t>
            </w: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以石化、化工、煤化工、焦化、钢铁、建材、有色、煤电等行业为重点，全面梳理排查拟建、在建和存量“两高”项目，对“两高”项目实行清单管理，进行分类处置、动态监控。</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对照《关于进一步做好“两高”项目梳理排查工作的通知》中“安徽省两高项目管理目录”，本项目属于国民经济行业分类中</w:t>
            </w:r>
            <w:r>
              <w:rPr>
                <w:rFonts w:hint="eastAsia"/>
                <w:color w:val="auto"/>
                <w:sz w:val="21"/>
                <w:szCs w:val="21"/>
                <w:lang w:val="en-US" w:eastAsia="zh-CN"/>
              </w:rPr>
              <w:t>Q8411综合医院</w:t>
            </w:r>
            <w:r>
              <w:rPr>
                <w:rFonts w:hint="eastAsia"/>
                <w:color w:val="auto"/>
                <w:sz w:val="21"/>
                <w:szCs w:val="21"/>
              </w:rPr>
              <w:t>，不在该管理目录范畴，不属于两高项目</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both"/>
              <w:textAlignment w:val="auto"/>
              <w:rPr>
                <w:color w:val="auto"/>
                <w:sz w:val="21"/>
                <w:szCs w:val="21"/>
              </w:rPr>
            </w:pPr>
            <w:r>
              <w:rPr>
                <w:rFonts w:hint="eastAsia"/>
                <w:color w:val="auto"/>
                <w:sz w:val="21"/>
                <w:szCs w:val="21"/>
              </w:rPr>
              <w:t>尽快完成热电联产机组供热半径1</w:t>
            </w:r>
            <w:r>
              <w:rPr>
                <w:color w:val="auto"/>
                <w:sz w:val="21"/>
                <w:szCs w:val="21"/>
              </w:rPr>
              <w:t>5</w:t>
            </w:r>
            <w:r>
              <w:rPr>
                <w:rFonts w:hint="eastAsia"/>
                <w:color w:val="auto"/>
                <w:sz w:val="21"/>
                <w:szCs w:val="21"/>
              </w:rPr>
              <w:t>公里范围内燃煤锅炉及落后燃煤小热电停整合。1</w:t>
            </w:r>
            <w:r>
              <w:rPr>
                <w:color w:val="auto"/>
                <w:sz w:val="21"/>
                <w:szCs w:val="21"/>
              </w:rPr>
              <w:t>2</w:t>
            </w:r>
            <w:r>
              <w:rPr>
                <w:rFonts w:hint="eastAsia"/>
                <w:color w:val="auto"/>
                <w:sz w:val="21"/>
                <w:szCs w:val="21"/>
              </w:rPr>
              <w:t>月底前确保每小时3</w:t>
            </w:r>
            <w:r>
              <w:rPr>
                <w:color w:val="auto"/>
                <w:sz w:val="21"/>
                <w:szCs w:val="21"/>
              </w:rPr>
              <w:t>5</w:t>
            </w:r>
            <w:r>
              <w:rPr>
                <w:rFonts w:hint="eastAsia"/>
                <w:color w:val="auto"/>
                <w:sz w:val="21"/>
                <w:szCs w:val="21"/>
              </w:rPr>
              <w:t>蒸吨以下的燃煤锅炉、炉膛直径3米以下的燃料类煤气发生炉及间歇式固定床煤气发生炉和燃煤热风炉全部淘汰完毕；以煤炭为燃料的加热炉、热处理炉、干燥炉等改用工业余热或电能，加快推进铸造、岩棉等行业冲天炉改为电炉。</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本项目生产线使用燃气锅炉提供</w:t>
            </w:r>
            <w:r>
              <w:rPr>
                <w:rFonts w:hint="eastAsia"/>
                <w:color w:val="auto"/>
                <w:sz w:val="21"/>
                <w:szCs w:val="21"/>
                <w:lang w:eastAsia="zh-CN"/>
              </w:rPr>
              <w:t>热水</w:t>
            </w:r>
            <w:r>
              <w:rPr>
                <w:rFonts w:hint="eastAsia"/>
                <w:color w:val="auto"/>
                <w:sz w:val="21"/>
                <w:szCs w:val="21"/>
              </w:rPr>
              <w:t>，并配备低氮燃烧器。</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3" w:type="pct"/>
            <w:vMerge w:val="continue"/>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p>
        </w:tc>
        <w:tc>
          <w:tcPr>
            <w:tcW w:w="203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积极应对重污染天气</w:t>
            </w:r>
          </w:p>
        </w:tc>
        <w:tc>
          <w:tcPr>
            <w:tcW w:w="1840"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本项目施工期间运输车辆行驶时会产生扬尘，项目拟在厂区门口设置车辆冲洗机，厂区地面硬化，及时对地面进行清扫，物料堆场采用围挡、喷淋降尘，有效减少扬尘产生；对生产过程中的废气产生节点均采用密闭管道收集或集气罩收集等方式，减少无组织排放。</w:t>
            </w:r>
          </w:p>
        </w:tc>
        <w:tc>
          <w:tcPr>
            <w:tcW w:w="227" w:type="pct"/>
            <w:vAlign w:val="center"/>
          </w:tcPr>
          <w:p>
            <w:pPr>
              <w:pStyle w:val="343"/>
              <w:keepNext w:val="0"/>
              <w:keepLines w:val="0"/>
              <w:pageBreakBefore w:val="0"/>
              <w:framePr w:hSpace="0" w:wrap="auto" w:vAnchor="margin" w:hAnchor="text" w:yAlign="inline"/>
              <w:widowControl w:val="0"/>
              <w:kinsoku/>
              <w:wordWrap/>
              <w:overflowPunct/>
              <w:topLinePunct w:val="0"/>
              <w:autoSpaceDE/>
              <w:autoSpaceDN/>
              <w:bidi w:val="0"/>
              <w:adjustRightInd/>
              <w:snapToGrid/>
              <w:textAlignment w:val="auto"/>
              <w:rPr>
                <w:color w:val="auto"/>
                <w:sz w:val="21"/>
                <w:szCs w:val="21"/>
              </w:rPr>
            </w:pPr>
            <w:r>
              <w:rPr>
                <w:rFonts w:hint="eastAsia"/>
                <w:color w:val="auto"/>
                <w:sz w:val="21"/>
                <w:szCs w:val="21"/>
              </w:rPr>
              <w:t>符合</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highlight w:val="none"/>
          <w:lang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bookmarkEnd w:id="24"/>
    <w:bookmarkEnd w:id="25"/>
    <w:bookmarkEnd w:id="26"/>
    <w:bookmarkEnd w:id="27"/>
    <w:bookmarkEnd w:id="28"/>
    <w:bookmarkEnd w:id="29"/>
    <w:p>
      <w:pPr>
        <w:pStyle w:val="4"/>
        <w:pageBreakBefore w:val="0"/>
        <w:widowControl w:val="0"/>
        <w:kinsoku/>
        <w:wordWrap/>
        <w:overflowPunct/>
        <w:topLinePunct w:val="0"/>
        <w:autoSpaceDE/>
        <w:autoSpaceDN/>
        <w:bidi w:val="0"/>
        <w:adjustRightInd/>
        <w:snapToGrid/>
        <w:spacing w:after="0" w:line="480" w:lineRule="exact"/>
        <w:ind w:right="0" w:rightChars="0"/>
        <w:textAlignment w:val="auto"/>
        <w:rPr>
          <w:rFonts w:hint="eastAsia"/>
          <w:color w:val="auto"/>
        </w:rPr>
      </w:pPr>
      <w:bookmarkStart w:id="31" w:name="_Toc25012"/>
      <w:r>
        <w:rPr>
          <w:color w:val="auto"/>
        </w:rPr>
        <w:t>环境保护目标</w:t>
      </w:r>
      <w:bookmarkEnd w:id="31"/>
    </w:p>
    <w:p>
      <w:pPr>
        <w:pageBreakBefore w:val="0"/>
        <w:widowControl w:val="0"/>
        <w:kinsoku/>
        <w:wordWrap/>
        <w:overflowPunct/>
        <w:topLinePunct w:val="0"/>
        <w:autoSpaceDE/>
        <w:autoSpaceDN/>
        <w:bidi w:val="0"/>
        <w:adjustRightInd/>
        <w:snapToGrid/>
        <w:spacing w:line="480" w:lineRule="exact"/>
        <w:ind w:left="0" w:leftChars="0" w:right="0" w:rightChars="0" w:firstLine="480" w:firstLineChars="200"/>
        <w:textAlignment w:val="auto"/>
        <w:rPr>
          <w:rFonts w:hint="eastAsia" w:eastAsia="宋体"/>
          <w:color w:val="auto"/>
          <w:lang w:eastAsia="zh-CN"/>
        </w:rPr>
      </w:pPr>
      <w:r>
        <w:rPr>
          <w:rFonts w:hint="eastAsia"/>
          <w:bCs/>
          <w:color w:val="auto"/>
        </w:rPr>
        <w:t>项目选址位于</w:t>
      </w:r>
      <w:r>
        <w:rPr>
          <w:rFonts w:hint="eastAsia" w:hAnsi="宋体"/>
          <w:bCs/>
          <w:color w:val="auto"/>
          <w:lang w:val="en-US" w:eastAsia="zh-CN"/>
        </w:rPr>
        <w:t>合肥市滨湖新区锦绣大道与江苏路交口西南侧</w:t>
      </w:r>
      <w:r>
        <w:rPr>
          <w:color w:val="auto"/>
        </w:rPr>
        <w:t>，</w:t>
      </w:r>
      <w:r>
        <w:rPr>
          <w:rFonts w:hint="eastAsia" w:ascii="Times New Roman" w:hAnsi="Times New Roman" w:eastAsia="宋体"/>
          <w:caps w:val="0"/>
          <w:color w:val="auto"/>
          <w:spacing w:val="0"/>
          <w:position w:val="0"/>
          <w:sz w:val="24"/>
        </w:rPr>
        <w:t>评价范围内无自然保护区、风景名胜区和文物古迹等需要特殊保护的环境敏感对象</w:t>
      </w:r>
      <w:r>
        <w:rPr>
          <w:color w:val="auto"/>
        </w:rPr>
        <w:t>，具体环境保护目标见表</w:t>
      </w:r>
      <w:r>
        <w:rPr>
          <w:rFonts w:hint="eastAsia"/>
          <w:color w:val="auto"/>
          <w:lang w:val="en-US" w:eastAsia="zh-CN"/>
        </w:rPr>
        <w:t>2</w:t>
      </w:r>
      <w:r>
        <w:rPr>
          <w:color w:val="auto"/>
        </w:rPr>
        <w:t>.</w:t>
      </w:r>
      <w:r>
        <w:rPr>
          <w:rFonts w:hint="eastAsia"/>
          <w:color w:val="auto"/>
          <w:lang w:val="en-US" w:eastAsia="zh-CN"/>
        </w:rPr>
        <w:t>9</w:t>
      </w:r>
      <w:r>
        <w:rPr>
          <w:color w:val="auto"/>
        </w:rPr>
        <w:t>-1</w:t>
      </w:r>
      <w:r>
        <w:rPr>
          <w:rFonts w:hint="eastAsia"/>
          <w:color w:val="auto"/>
          <w:lang w:eastAsia="zh-CN"/>
        </w:rPr>
        <w:t>。</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color w:val="auto"/>
        </w:rPr>
      </w:pPr>
      <w:r>
        <w:rPr>
          <w:color w:val="auto"/>
        </w:rPr>
        <w:t>（1）保护</w:t>
      </w:r>
      <w:r>
        <w:rPr>
          <w:rFonts w:hint="eastAsia"/>
          <w:color w:val="auto"/>
          <w:lang w:val="en-US" w:eastAsia="zh-CN"/>
        </w:rPr>
        <w:t>十五里河水</w:t>
      </w:r>
      <w:r>
        <w:rPr>
          <w:color w:val="auto"/>
        </w:rPr>
        <w:t>环境质量不因本项目的建设</w:t>
      </w:r>
      <w:r>
        <w:rPr>
          <w:rFonts w:hint="eastAsia"/>
          <w:color w:val="auto"/>
          <w:lang w:eastAsia="zh-CN"/>
        </w:rPr>
        <w:t>而</w:t>
      </w:r>
      <w:r>
        <w:rPr>
          <w:color w:val="auto"/>
        </w:rPr>
        <w:t>降低。</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rFonts w:hint="eastAsia" w:eastAsia="宋体"/>
          <w:color w:val="auto"/>
          <w:lang w:eastAsia="zh-CN"/>
        </w:rPr>
      </w:pPr>
      <w:r>
        <w:rPr>
          <w:color w:val="auto"/>
        </w:rPr>
        <w:t>（2）保护评价区环境空气质量满足《环境空气质量标准》（GB3095-2012）中二级标准</w:t>
      </w:r>
      <w:r>
        <w:rPr>
          <w:rFonts w:hint="eastAsia" w:cs="宋体"/>
          <w:color w:val="auto"/>
          <w:lang w:eastAsia="zh-CN"/>
        </w:rPr>
        <w:t>；</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rFonts w:hint="eastAsia" w:eastAsia="宋体"/>
          <w:color w:val="auto"/>
          <w:lang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rPr>
        <w:t>（3）保护项目区声环境达到《声环境质量标准》（GB3096-2008）</w:t>
      </w:r>
      <w:r>
        <w:rPr>
          <w:rFonts w:hint="eastAsia"/>
          <w:color w:val="auto"/>
        </w:rPr>
        <w:t>2</w:t>
      </w:r>
      <w:r>
        <w:rPr>
          <w:color w:val="auto"/>
        </w:rPr>
        <w:t>类标准</w:t>
      </w:r>
      <w:r>
        <w:rPr>
          <w:rFonts w:hint="eastAsia"/>
          <w:color w:val="auto"/>
          <w:lang w:eastAsia="zh-CN"/>
        </w:rPr>
        <w:t>。</w:t>
      </w:r>
    </w:p>
    <w:p>
      <w:pPr>
        <w:keepNext w:val="0"/>
        <w:keepLines w:val="0"/>
        <w:pageBreakBefore w:val="0"/>
        <w:kinsoku/>
        <w:wordWrap/>
        <w:overflowPunct/>
        <w:topLinePunct w:val="0"/>
        <w:autoSpaceDE/>
        <w:autoSpaceDN/>
        <w:bidi w:val="0"/>
        <w:adjustRightInd/>
        <w:snapToGrid/>
        <w:ind w:firstLine="0" w:firstLineChars="0"/>
        <w:jc w:val="center"/>
        <w:rPr>
          <w:color w:val="auto"/>
        </w:rPr>
      </w:pPr>
      <w:r>
        <w:rPr>
          <w:rFonts w:hAnsi="宋体"/>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lang w:val="en-US" w:eastAsia="zh-CN"/>
        </w:rPr>
        <w:t>9</w:t>
      </w:r>
      <w:r>
        <w:rPr>
          <w:rFonts w:hint="eastAsia"/>
          <w:b/>
          <w:color w:val="auto"/>
          <w:sz w:val="21"/>
          <w:szCs w:val="21"/>
        </w:rPr>
        <w:t>-1</w:t>
      </w:r>
      <w:r>
        <w:rPr>
          <w:b/>
          <w:color w:val="auto"/>
          <w:sz w:val="21"/>
          <w:szCs w:val="21"/>
        </w:rPr>
        <w:t xml:space="preserve">  </w:t>
      </w:r>
      <w:r>
        <w:rPr>
          <w:rFonts w:hAnsi="宋体"/>
          <w:b/>
          <w:color w:val="auto"/>
          <w:sz w:val="21"/>
          <w:szCs w:val="21"/>
        </w:rPr>
        <w:t>环境保护目标情况一览表</w:t>
      </w:r>
    </w:p>
    <w:tbl>
      <w:tblPr>
        <w:tblStyle w:val="48"/>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60"/>
        <w:gridCol w:w="772"/>
        <w:gridCol w:w="2031"/>
        <w:gridCol w:w="1346"/>
        <w:gridCol w:w="1584"/>
        <w:gridCol w:w="1282"/>
        <w:gridCol w:w="2113"/>
        <w:gridCol w:w="1402"/>
        <w:gridCol w:w="1083"/>
        <w:gridCol w:w="13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blHeader/>
        </w:trPr>
        <w:tc>
          <w:tcPr>
            <w:tcW w:w="379"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环境要素</w:t>
            </w:r>
          </w:p>
        </w:tc>
        <w:tc>
          <w:tcPr>
            <w:tcW w:w="1002" w:type="pct"/>
            <w:gridSpan w:val="2"/>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名称</w:t>
            </w:r>
          </w:p>
        </w:tc>
        <w:tc>
          <w:tcPr>
            <w:tcW w:w="1047" w:type="pct"/>
            <w:gridSpan w:val="2"/>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坐标</w:t>
            </w:r>
            <w:r>
              <w:rPr>
                <w:rFonts w:hint="eastAsia" w:ascii="Times New Roman" w:hAnsi="Times New Roman" w:eastAsia="宋体" w:cs="Times New Roman"/>
                <w:i w:val="0"/>
                <w:color w:val="auto"/>
                <w:kern w:val="0"/>
                <w:sz w:val="21"/>
                <w:szCs w:val="21"/>
                <w:u w:val="none"/>
                <w:lang w:val="en-US" w:eastAsia="zh-CN" w:bidi="ar"/>
              </w:rPr>
              <w:t>/m</w:t>
            </w:r>
          </w:p>
        </w:tc>
        <w:tc>
          <w:tcPr>
            <w:tcW w:w="458"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保护对象</w:t>
            </w:r>
          </w:p>
        </w:tc>
        <w:tc>
          <w:tcPr>
            <w:tcW w:w="755"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保护内容</w:t>
            </w:r>
          </w:p>
        </w:tc>
        <w:tc>
          <w:tcPr>
            <w:tcW w:w="501"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环境功能区</w:t>
            </w:r>
          </w:p>
        </w:tc>
        <w:tc>
          <w:tcPr>
            <w:tcW w:w="387"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方位</w:t>
            </w:r>
          </w:p>
        </w:tc>
        <w:tc>
          <w:tcPr>
            <w:tcW w:w="467"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相对</w:t>
            </w:r>
            <w:r>
              <w:rPr>
                <w:rFonts w:hint="eastAsia" w:eastAsia="宋体" w:cs="Times New Roman"/>
                <w:i w:val="0"/>
                <w:color w:val="auto"/>
                <w:kern w:val="0"/>
                <w:sz w:val="21"/>
                <w:szCs w:val="21"/>
                <w:u w:val="none"/>
                <w:lang w:val="en-US" w:eastAsia="zh-CN" w:bidi="ar"/>
              </w:rPr>
              <w:t>场界</w:t>
            </w:r>
            <w:r>
              <w:rPr>
                <w:rFonts w:hint="default" w:ascii="Times New Roman" w:hAnsi="Times New Roman" w:eastAsia="宋体" w:cs="Times New Roman"/>
                <w:i w:val="0"/>
                <w:color w:val="auto"/>
                <w:kern w:val="0"/>
                <w:sz w:val="21"/>
                <w:szCs w:val="21"/>
                <w:u w:val="none"/>
                <w:lang w:val="en-US" w:eastAsia="zh-CN" w:bidi="ar"/>
              </w:rPr>
              <w:t>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blHeader/>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1002" w:type="pct"/>
            <w:gridSpan w:val="2"/>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X</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Y</w:t>
            </w:r>
          </w:p>
        </w:tc>
        <w:tc>
          <w:tcPr>
            <w:tcW w:w="458"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55"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467"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大气环境</w:t>
            </w: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珺合府（在建）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2100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《环境空气质量标准》（GB3095-2012）及2018年修改单中二类区</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招商雍华府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安徽省立医院老年康复中心</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医院</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w:t>
            </w:r>
            <w:r>
              <w:rPr>
                <w:rFonts w:hint="eastAsia" w:ascii="Times New Roman" w:hAnsi="Times New Roman" w:eastAsia="宋体" w:cs="Times New Roman"/>
                <w:i w:val="0"/>
                <w:color w:val="auto"/>
                <w:kern w:val="0"/>
                <w:sz w:val="21"/>
                <w:szCs w:val="21"/>
                <w:u w:val="none"/>
                <w:lang w:val="en-US" w:eastAsia="zh-CN" w:bidi="ar"/>
              </w:rPr>
              <w:t>000人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滨湖兰园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-475</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阳光城檀悦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540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安徽省经济研究院</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约300人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安徽省科学技术厅</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安徽省人民法院</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方兴花园小区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安徽省人民政府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粤港中心</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安徽省地质资料馆</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-1690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万科时代之光</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1060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融湖公馆</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-1670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锦云阁</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750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碧桂园中堂</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-860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430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1720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滨湖康园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滨湖瑞园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合肥实验学校</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-1420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新城君悦府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-1120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旭恒花园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-830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700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合肥市华山路小学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-1530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琥珀瑞安家</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滨湖金茂悦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-1130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利港银河幸福</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580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合肥滨湖寿春中学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包河区方兴社区服务中心</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徽盐世纪广场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高速时代城</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900户,约2700人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万科蓝山</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4000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滨湖紫园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葛洲坝紫郡府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2400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佳源巴黎都市</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8000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葛洲坝中国府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1600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望湖小学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中山路中学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和昌中央城邦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皖都徽韵和馨园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户,24</w:t>
            </w:r>
            <w:r>
              <w:rPr>
                <w:rFonts w:hint="eastAsia" w:cs="Times New Roman"/>
                <w:i w:val="0"/>
                <w:color w:val="auto"/>
                <w:kern w:val="0"/>
                <w:sz w:val="21"/>
                <w:szCs w:val="21"/>
                <w:u w:val="none"/>
                <w:lang w:val="en-US" w:eastAsia="zh-CN" w:bidi="ar"/>
              </w:rPr>
              <w:t>0</w:t>
            </w:r>
            <w:r>
              <w:rPr>
                <w:rFonts w:hint="eastAsia" w:ascii="Times New Roman" w:hAnsi="Times New Roman" w:eastAsia="宋体" w:cs="Times New Roman"/>
                <w:i w:val="0"/>
                <w:color w:val="auto"/>
                <w:kern w:val="0"/>
                <w:sz w:val="21"/>
                <w:szCs w:val="21"/>
                <w:u w:val="none"/>
                <w:lang w:val="en-US" w:eastAsia="zh-CN" w:bidi="ar"/>
              </w:rPr>
              <w:t>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滨水湾小区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约300户，1250人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合肥市公安局</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滨湖南丽湾</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330</w:t>
            </w:r>
            <w:r>
              <w:rPr>
                <w:rFonts w:hint="eastAsia" w:ascii="Times New Roman" w:hAnsi="Times New Roman" w:eastAsia="宋体" w:cs="Times New Roman"/>
                <w:i w:val="0"/>
                <w:color w:val="auto"/>
                <w:kern w:val="0"/>
                <w:sz w:val="21"/>
                <w:szCs w:val="21"/>
                <w:u w:val="none"/>
                <w:lang w:val="en-US" w:eastAsia="zh-CN" w:bidi="ar"/>
              </w:rPr>
              <w:t>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悦融湾</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1720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约60</w:t>
            </w:r>
            <w:r>
              <w:rPr>
                <w:rFonts w:hint="eastAsia" w:cs="Times New Roman"/>
                <w:i w:val="0"/>
                <w:color w:val="auto"/>
                <w:kern w:val="0"/>
                <w:sz w:val="21"/>
                <w:szCs w:val="21"/>
                <w:u w:val="none"/>
                <w:lang w:val="en-US" w:eastAsia="zh-CN" w:bidi="ar"/>
              </w:rPr>
              <w:t>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欣然居</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安徽体育运动职业技术学院</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合肥市西安路学校</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1560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华夏茗湾学府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金科博翠天辰</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390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时代首府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780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沪上人家</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阳光里</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景粼苑</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城建琥珀晴川里</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700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黄河路小学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师生约2000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和锦东园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610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2450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和意花园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310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56</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滨湖沁园小区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-720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2200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9000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57</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招商雍和府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约300户,1000人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58</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龙湖紫云赋</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59</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合肥市新四中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师生约2300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60</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滨湖润园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义城社区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声环境</w:t>
            </w: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珺合府（在建）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2100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《声环境质量标准》（GB3096-2008）中2类标准</w:t>
            </w: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招商雍华府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安徽省立医院老年康复中心</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医院</w:t>
            </w:r>
          </w:p>
        </w:tc>
        <w:tc>
          <w:tcPr>
            <w:tcW w:w="755" w:type="pct"/>
            <w:tcBorders>
              <w:bottom w:val="single" w:color="auto" w:sz="4" w:space="0"/>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w:t>
            </w:r>
            <w:r>
              <w:rPr>
                <w:rFonts w:hint="eastAsia" w:ascii="Times New Roman" w:hAnsi="Times New Roman" w:eastAsia="宋体" w:cs="Times New Roman"/>
                <w:i w:val="0"/>
                <w:color w:val="auto"/>
                <w:kern w:val="0"/>
                <w:sz w:val="21"/>
                <w:szCs w:val="21"/>
                <w:u w:val="none"/>
                <w:lang w:val="en-US" w:eastAsia="zh-CN" w:bidi="ar"/>
              </w:rPr>
              <w:t>000人</w:t>
            </w:r>
          </w:p>
        </w:tc>
        <w:tc>
          <w:tcPr>
            <w:tcW w:w="501" w:type="pct"/>
            <w:vMerge w:val="continue"/>
            <w:tcBorders>
              <w:bottom w:val="single" w:color="auto" w:sz="4" w:space="0"/>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地表水环境</w:t>
            </w: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S1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十五里河</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1214" w:type="pct"/>
            <w:gridSpan w:val="2"/>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小型河流</w:t>
            </w:r>
          </w:p>
        </w:tc>
        <w:tc>
          <w:tcPr>
            <w:tcW w:w="50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《地表水环境质量》（GB3838-2002）Ⅳ类标准</w:t>
            </w: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7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地下水</w:t>
            </w: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D1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区域潜层地下水</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1214" w:type="pct"/>
            <w:gridSpan w:val="2"/>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50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地下水质量标准</w:t>
            </w:r>
            <w:r>
              <w:rPr>
                <w:rFonts w:hint="eastAsia" w:eastAsia="宋体" w:cs="Times New Roman"/>
                <w:i w:val="0"/>
                <w:color w:val="auto"/>
                <w:kern w:val="0"/>
                <w:sz w:val="21"/>
                <w:szCs w:val="21"/>
                <w:u w:val="none"/>
                <w:lang w:val="en-US" w:eastAsia="zh-CN" w:bidi="ar"/>
              </w:rPr>
              <w:t>》（GB/T 14848-2017）三级</w:t>
            </w: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环境风险</w:t>
            </w: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珺合府（在建）</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2100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招商雍华府</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安徽省立医院老年康复中心</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医院</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w:t>
            </w:r>
            <w:r>
              <w:rPr>
                <w:rFonts w:hint="eastAsia" w:ascii="Times New Roman" w:hAnsi="Times New Roman" w:eastAsia="宋体" w:cs="Times New Roman"/>
                <w:i w:val="0"/>
                <w:color w:val="auto"/>
                <w:kern w:val="0"/>
                <w:sz w:val="21"/>
                <w:szCs w:val="21"/>
                <w:u w:val="none"/>
                <w:lang w:val="en-US" w:eastAsia="zh-CN" w:bidi="ar"/>
              </w:rPr>
              <w:t>000人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t>
            </w:r>
          </w:p>
        </w:tc>
        <w:tc>
          <w:tcPr>
            <w:tcW w:w="130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滨湖兰园</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-475</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w:t>
            </w:r>
          </w:p>
        </w:tc>
        <w:tc>
          <w:tcPr>
            <w:tcW w:w="72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阳光城檀悦</w:t>
            </w:r>
          </w:p>
        </w:tc>
        <w:tc>
          <w:tcPr>
            <w:tcW w:w="481"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-800</w:t>
            </w:r>
          </w:p>
        </w:tc>
        <w:tc>
          <w:tcPr>
            <w:tcW w:w="4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540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安徽省经济研究院</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约300人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安徽省科学技术厅</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安徽省人民法院</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方兴花园小区</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安徽省人民政府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粤港中心</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安徽省地质资料馆</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-1690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万科时代之光</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1060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融湖公馆</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-1670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锦云阁</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750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碧桂园中堂</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-860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430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1720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滨湖康园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滨湖瑞园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合肥实验学校</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-1420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新城君悦府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-1120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旭恒花园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-830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700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合肥市华山路小学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-1530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琥珀瑞安家</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490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滨湖金茂悦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-1130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利港银河幸福</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580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合肥滨湖寿春中学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包河区方兴社区服务中心</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徽盐世纪广场</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高速时代城</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900户,约2700人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万科蓝山</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4000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滨湖紫园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葛洲坝紫郡府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2400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佳源巴黎都市</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8000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葛洲坝中国府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户,约</w:t>
            </w:r>
            <w:r>
              <w:rPr>
                <w:rFonts w:hint="eastAsia" w:cs="Times New Roman"/>
                <w:i w:val="0"/>
                <w:color w:val="auto"/>
                <w:kern w:val="0"/>
                <w:sz w:val="21"/>
                <w:szCs w:val="21"/>
                <w:u w:val="none"/>
                <w:lang w:val="en-US" w:eastAsia="zh-CN" w:bidi="ar"/>
              </w:rPr>
              <w:t>1600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望湖小学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中山路中学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和昌中央城邦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皖都徽韵和馨园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户,24</w:t>
            </w:r>
            <w:r>
              <w:rPr>
                <w:rFonts w:hint="eastAsia" w:cs="Times New Roman"/>
                <w:i w:val="0"/>
                <w:color w:val="auto"/>
                <w:kern w:val="0"/>
                <w:sz w:val="21"/>
                <w:szCs w:val="21"/>
                <w:u w:val="none"/>
                <w:lang w:val="en-US" w:eastAsia="zh-CN" w:bidi="ar"/>
              </w:rPr>
              <w:t>0</w:t>
            </w:r>
            <w:r>
              <w:rPr>
                <w:rFonts w:hint="eastAsia" w:ascii="Times New Roman" w:hAnsi="Times New Roman" w:eastAsia="宋体" w:cs="Times New Roman"/>
                <w:i w:val="0"/>
                <w:color w:val="auto"/>
                <w:kern w:val="0"/>
                <w:sz w:val="21"/>
                <w:szCs w:val="21"/>
                <w:u w:val="none"/>
                <w:lang w:val="en-US" w:eastAsia="zh-CN" w:bidi="ar"/>
              </w:rPr>
              <w:t>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27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39</w:t>
            </w:r>
          </w:p>
        </w:tc>
        <w:tc>
          <w:tcPr>
            <w:tcW w:w="2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滨水湾小区</w:t>
            </w:r>
          </w:p>
        </w:tc>
        <w:tc>
          <w:tcPr>
            <w:tcW w:w="13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-350</w:t>
            </w:r>
          </w:p>
        </w:tc>
        <w:tc>
          <w:tcPr>
            <w:tcW w:w="158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450</w:t>
            </w:r>
          </w:p>
        </w:tc>
        <w:tc>
          <w:tcPr>
            <w:tcW w:w="12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211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约300户，1250人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合肥市公安局</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滨湖南丽湾</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330</w:t>
            </w:r>
            <w:r>
              <w:rPr>
                <w:rFonts w:hint="eastAsia" w:ascii="Times New Roman" w:hAnsi="Times New Roman" w:eastAsia="宋体" w:cs="Times New Roman"/>
                <w:i w:val="0"/>
                <w:color w:val="auto"/>
                <w:kern w:val="0"/>
                <w:sz w:val="21"/>
                <w:szCs w:val="21"/>
                <w:u w:val="none"/>
                <w:lang w:val="en-US" w:eastAsia="zh-CN" w:bidi="ar"/>
              </w:rPr>
              <w:t>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悦融湾</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1720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约60</w:t>
            </w:r>
            <w:r>
              <w:rPr>
                <w:rFonts w:hint="eastAsia" w:cs="Times New Roman"/>
                <w:i w:val="0"/>
                <w:color w:val="auto"/>
                <w:kern w:val="0"/>
                <w:sz w:val="21"/>
                <w:szCs w:val="21"/>
                <w:u w:val="none"/>
                <w:lang w:val="en-US" w:eastAsia="zh-CN" w:bidi="ar"/>
              </w:rPr>
              <w:t>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欣然居</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安徽体育运动职业技术学院</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合肥市西安路学校</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900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1560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1500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华夏茗湾学府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金科博翠天辰</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390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时代首府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780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沪上人家</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阳光里</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景粼苑</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550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城建琥珀晴川里</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700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2900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黄河路小学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1050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师生约2000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NE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和锦东园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610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2450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和意花园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310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滨湖沁园小区</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2000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-720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2200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9000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招商雍和府</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约300户,1000人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龙湖紫云赋</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-1700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460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1950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合肥市新四中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约2300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60</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滨湖润园</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1650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-1900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800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61</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义城社区</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2500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SE</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62</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滨湖国际会展中心</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行政办公</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约1500人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63</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春融苑</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900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64</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合肥师范附小第三小学</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-2200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约1200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65</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四十八中南校区</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学校</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约2600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66</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徽昌苑</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-850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620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2750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67</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徽杰苑</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-1150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630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2800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68</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蓝鼎观湖苑</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-1500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660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3000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37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77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69</w:t>
            </w:r>
          </w:p>
        </w:tc>
        <w:tc>
          <w:tcPr>
            <w:tcW w:w="7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滨湖假日翰林院</w:t>
            </w:r>
          </w:p>
        </w:tc>
        <w:tc>
          <w:tcPr>
            <w:tcW w:w="48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-2400</w:t>
            </w:r>
          </w:p>
        </w:tc>
        <w:tc>
          <w:tcPr>
            <w:tcW w:w="56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-1800</w:t>
            </w:r>
          </w:p>
        </w:tc>
        <w:tc>
          <w:tcPr>
            <w:tcW w:w="45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居民区</w:t>
            </w:r>
          </w:p>
        </w:tc>
        <w:tc>
          <w:tcPr>
            <w:tcW w:w="7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约</w:t>
            </w:r>
            <w:r>
              <w:rPr>
                <w:rFonts w:hint="eastAsia" w:cs="Times New Roman"/>
                <w:i w:val="0"/>
                <w:color w:val="auto"/>
                <w:kern w:val="0"/>
                <w:sz w:val="21"/>
                <w:szCs w:val="21"/>
                <w:u w:val="none"/>
                <w:lang w:val="en-US" w:eastAsia="zh-CN" w:bidi="ar"/>
              </w:rPr>
              <w:t>680</w:t>
            </w:r>
            <w:r>
              <w:rPr>
                <w:rFonts w:hint="eastAsia" w:ascii="Times New Roman" w:hAnsi="Times New Roman" w:eastAsia="宋体" w:cs="Times New Roman"/>
                <w:i w:val="0"/>
                <w:color w:val="auto"/>
                <w:kern w:val="0"/>
                <w:sz w:val="21"/>
                <w:szCs w:val="21"/>
                <w:u w:val="none"/>
                <w:lang w:val="en-US" w:eastAsia="zh-CN" w:bidi="ar"/>
              </w:rPr>
              <w:t>户,</w:t>
            </w:r>
            <w:r>
              <w:rPr>
                <w:rFonts w:hint="eastAsia" w:cs="Times New Roman"/>
                <w:i w:val="0"/>
                <w:color w:val="auto"/>
                <w:kern w:val="0"/>
                <w:sz w:val="21"/>
                <w:szCs w:val="21"/>
                <w:u w:val="none"/>
                <w:lang w:val="en-US" w:eastAsia="zh-CN" w:bidi="ar"/>
              </w:rPr>
              <w:t>3200</w:t>
            </w:r>
            <w:r>
              <w:rPr>
                <w:rFonts w:hint="eastAsia" w:ascii="Times New Roman" w:hAnsi="Times New Roman" w:eastAsia="宋体" w:cs="Times New Roman"/>
                <w:i w:val="0"/>
                <w:color w:val="auto"/>
                <w:kern w:val="0"/>
                <w:sz w:val="21"/>
                <w:szCs w:val="21"/>
                <w:u w:val="none"/>
                <w:lang w:val="en-US" w:eastAsia="zh-CN" w:bidi="ar"/>
              </w:rPr>
              <w:t>人</w:t>
            </w:r>
          </w:p>
        </w:tc>
        <w:tc>
          <w:tcPr>
            <w:tcW w:w="501"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p>
        </w:tc>
        <w:tc>
          <w:tcPr>
            <w:tcW w:w="3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SW</w:t>
            </w:r>
          </w:p>
        </w:tc>
        <w:tc>
          <w:tcPr>
            <w:tcW w:w="4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3080</w:t>
            </w:r>
          </w:p>
        </w:tc>
      </w:tr>
    </w:tbl>
    <w:p>
      <w:pPr>
        <w:spacing w:line="240" w:lineRule="auto"/>
        <w:ind w:left="0" w:leftChars="0" w:firstLine="0" w:firstLineChars="0"/>
        <w:rPr>
          <w:rFonts w:hint="eastAsia" w:eastAsia="宋体"/>
          <w:b/>
          <w:bCs/>
          <w:color w:val="auto"/>
          <w:lang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b/>
          <w:bCs/>
          <w:color w:val="auto"/>
          <w:lang w:eastAsia="zh-CN"/>
        </w:rPr>
        <w:t>注：以项目用地范围中心位置为原点。</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center"/>
        <w:textAlignment w:val="auto"/>
        <w:rPr>
          <w:rFonts w:hint="eastAsia" w:eastAsia="宋体"/>
          <w:b/>
          <w:bCs/>
          <w:color w:val="auto"/>
          <w:sz w:val="21"/>
          <w:szCs w:val="21"/>
          <w:lang w:val="en-US" w:eastAsia="zh-CN"/>
        </w:rPr>
      </w:pPr>
      <w:r>
        <w:rPr>
          <w:color w:val="auto"/>
          <w:sz w:val="24"/>
        </w:rPr>
        <w:drawing>
          <wp:anchor distT="0" distB="0" distL="114300" distR="114300" simplePos="0" relativeHeight="251704320" behindDoc="0" locked="0" layoutInCell="1" allowOverlap="1">
            <wp:simplePos x="0" y="0"/>
            <wp:positionH relativeFrom="column">
              <wp:posOffset>12367895</wp:posOffset>
            </wp:positionH>
            <wp:positionV relativeFrom="paragraph">
              <wp:posOffset>-205740</wp:posOffset>
            </wp:positionV>
            <wp:extent cx="1125220" cy="1144905"/>
            <wp:effectExtent l="0" t="0" r="17780" b="17145"/>
            <wp:wrapNone/>
            <wp:docPr id="2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9"/>
                    <pic:cNvPicPr>
                      <a:picLocks noChangeAspect="1"/>
                    </pic:cNvPicPr>
                  </pic:nvPicPr>
                  <pic:blipFill>
                    <a:blip r:embed="rId21"/>
                    <a:stretch>
                      <a:fillRect/>
                    </a:stretch>
                  </pic:blipFill>
                  <pic:spPr>
                    <a:xfrm>
                      <a:off x="0" y="0"/>
                      <a:ext cx="1125220" cy="1144905"/>
                    </a:xfrm>
                    <a:prstGeom prst="rect">
                      <a:avLst/>
                    </a:prstGeom>
                    <a:noFill/>
                    <a:ln>
                      <a:noFill/>
                    </a:ln>
                  </pic:spPr>
                </pic:pic>
              </a:graphicData>
            </a:graphic>
          </wp:anchor>
        </w:drawing>
      </w:r>
      <w:r>
        <w:rPr>
          <w:rFonts w:hint="eastAsia" w:eastAsia="宋体"/>
          <w:b/>
          <w:bCs/>
          <w:color w:val="auto"/>
          <w:sz w:val="21"/>
          <w:szCs w:val="21"/>
          <w:lang w:val="en-US" w:eastAsia="zh-CN"/>
        </w:rPr>
        <w:drawing>
          <wp:anchor distT="0" distB="0" distL="114300" distR="114300" simplePos="0" relativeHeight="251703296" behindDoc="0" locked="0" layoutInCell="1" allowOverlap="1">
            <wp:simplePos x="0" y="0"/>
            <wp:positionH relativeFrom="column">
              <wp:posOffset>916940</wp:posOffset>
            </wp:positionH>
            <wp:positionV relativeFrom="paragraph">
              <wp:posOffset>-227330</wp:posOffset>
            </wp:positionV>
            <wp:extent cx="11487785" cy="8404860"/>
            <wp:effectExtent l="0" t="0" r="18415" b="15240"/>
            <wp:wrapSquare wrapText="bothSides"/>
            <wp:docPr id="220" name="图片 220" descr="2022121915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20221219154339"/>
                    <pic:cNvPicPr>
                      <a:picLocks noChangeAspect="1"/>
                    </pic:cNvPicPr>
                  </pic:nvPicPr>
                  <pic:blipFill>
                    <a:blip r:embed="rId22"/>
                    <a:stretch>
                      <a:fillRect/>
                    </a:stretch>
                  </pic:blipFill>
                  <pic:spPr>
                    <a:xfrm>
                      <a:off x="0" y="0"/>
                      <a:ext cx="11487785" cy="8404860"/>
                    </a:xfrm>
                    <a:prstGeom prst="rect">
                      <a:avLst/>
                    </a:prstGeom>
                  </pic:spPr>
                </pic:pic>
              </a:graphicData>
            </a:graphic>
          </wp:anchor>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center"/>
        <w:textAlignment w:val="auto"/>
        <w:rPr>
          <w:rFonts w:hint="eastAsia" w:eastAsia="宋体"/>
          <w:b/>
          <w:bCs/>
          <w:color w:val="auto"/>
          <w:sz w:val="21"/>
          <w:szCs w:val="21"/>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center"/>
        <w:textAlignment w:val="auto"/>
        <w:rPr>
          <w:rFonts w:hint="eastAsia" w:eastAsia="宋体"/>
          <w:b/>
          <w:bCs/>
          <w:color w:val="auto"/>
          <w:sz w:val="21"/>
          <w:szCs w:val="21"/>
          <w:lang w:val="en-US" w:eastAsia="zh-CN"/>
        </w:rPr>
      </w:pP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6290945</wp:posOffset>
                </wp:positionH>
                <wp:positionV relativeFrom="paragraph">
                  <wp:posOffset>3705860</wp:posOffset>
                </wp:positionV>
                <wp:extent cx="714375" cy="537845"/>
                <wp:effectExtent l="0" t="0" r="0" b="0"/>
                <wp:wrapNone/>
                <wp:docPr id="127" name="任意多边形 910"/>
                <wp:cNvGraphicFramePr/>
                <a:graphic xmlns:a="http://schemas.openxmlformats.org/drawingml/2006/main">
                  <a:graphicData uri="http://schemas.microsoft.com/office/word/2010/wordprocessingShape">
                    <wps:wsp>
                      <wps:cNvSpPr/>
                      <wps:spPr>
                        <a:xfrm>
                          <a:off x="0" y="0"/>
                          <a:ext cx="714375" cy="537845"/>
                        </a:xfrm>
                        <a:custGeom>
                          <a:avLst/>
                          <a:gdLst/>
                          <a:ahLst/>
                          <a:cxnLst/>
                          <a:pathLst>
                            <a:path w="1125" h="847">
                              <a:moveTo>
                                <a:pt x="321" y="0"/>
                              </a:moveTo>
                              <a:lnTo>
                                <a:pt x="643" y="0"/>
                              </a:lnTo>
                              <a:lnTo>
                                <a:pt x="643" y="268"/>
                              </a:lnTo>
                              <a:lnTo>
                                <a:pt x="1125" y="268"/>
                              </a:lnTo>
                              <a:lnTo>
                                <a:pt x="1125" y="847"/>
                              </a:lnTo>
                              <a:lnTo>
                                <a:pt x="0" y="847"/>
                              </a:lnTo>
                              <a:lnTo>
                                <a:pt x="0" y="525"/>
                              </a:lnTo>
                              <a:lnTo>
                                <a:pt x="343" y="525"/>
                              </a:lnTo>
                              <a:lnTo>
                                <a:pt x="321" y="0"/>
                              </a:lnTo>
                              <a:close/>
                            </a:path>
                          </a:pathLst>
                        </a:custGeom>
                        <a:noFill/>
                        <a:ln>
                          <a:noFill/>
                        </a:ln>
                      </wps:spPr>
                      <wps:bodyPr vert="horz" wrap="square" anchor="t" anchorCtr="0" upright="1"/>
                    </wps:wsp>
                  </a:graphicData>
                </a:graphic>
              </wp:anchor>
            </w:drawing>
          </mc:Choice>
          <mc:Fallback>
            <w:pict>
              <v:shape id="任意多边形 910" o:spid="_x0000_s1026" o:spt="100" style="position:absolute;left:0pt;margin-left:495.35pt;margin-top:291.8pt;height:42.35pt;width:56.25pt;z-index:251702272;mso-width-relative:page;mso-height-relative:page;" filled="f" stroked="f" coordsize="1125,847" o:gfxdata="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i8OyCNsAAAAMAQAADwAAAAAAAAABACAA&#10;AAAiAAAAZHJzL2Rvd25yZXYueG1sUEsBAhQAFAAAAAgAh07iQP/tZqVDAgAALwUAAA4AAAAAAAAA&#10;AQAgAAAAKgEAAGRycy9lMm9Eb2MueG1sUEsFBgAAAAAGAAYAWQEAAN8FAAAAAA==&#10;" path="m321,0l643,0,643,268,1125,268,1125,847,0,847,0,525,343,525,321,0xe">
                <v:fill on="f" focussize="0,0"/>
                <v:stroke on="f"/>
                <v:imagedata o:title=""/>
                <o:lock v:ext="edit" aspectratio="f"/>
              </v:shape>
            </w:pict>
          </mc:Fallback>
        </mc:AlternateContent>
      </w:r>
    </w:p>
    <w:p>
      <w:pPr>
        <w:rPr>
          <w:rFonts w:hint="eastAsia"/>
          <w:color w:val="auto"/>
          <w:lang w:eastAsia="zh-CN"/>
        </w:rPr>
        <w:sectPr>
          <w:pgSz w:w="23811" w:h="16838"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5528310</wp:posOffset>
                </wp:positionH>
                <wp:positionV relativeFrom="paragraph">
                  <wp:posOffset>7468870</wp:posOffset>
                </wp:positionV>
                <wp:extent cx="2566035" cy="297815"/>
                <wp:effectExtent l="0" t="0" r="0" b="0"/>
                <wp:wrapNone/>
                <wp:docPr id="14" name="文本框 251"/>
                <wp:cNvGraphicFramePr/>
                <a:graphic xmlns:a="http://schemas.openxmlformats.org/drawingml/2006/main">
                  <a:graphicData uri="http://schemas.microsoft.com/office/word/2010/wordprocessingShape">
                    <wps:wsp>
                      <wps:cNvSpPr txBox="1"/>
                      <wps:spPr>
                        <a:xfrm>
                          <a:off x="0" y="0"/>
                          <a:ext cx="2566035" cy="29781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rPr>
                            </w:pPr>
                            <w:r>
                              <w:rPr>
                                <w:rFonts w:hint="default"/>
                                <w:b/>
                                <w:bCs/>
                                <w:color w:val="auto"/>
                                <w:sz w:val="21"/>
                                <w:szCs w:val="21"/>
                                <w:lang w:val="en-US" w:eastAsia="zh-CN"/>
                              </w:rPr>
                              <w:t>图2.</w:t>
                            </w:r>
                            <w:r>
                              <w:rPr>
                                <w:rFonts w:hint="eastAsia"/>
                                <w:b/>
                                <w:bCs/>
                                <w:color w:val="auto"/>
                                <w:sz w:val="21"/>
                                <w:szCs w:val="21"/>
                                <w:lang w:val="en-US" w:eastAsia="zh-CN"/>
                              </w:rPr>
                              <w:t>9</w:t>
                            </w:r>
                            <w:r>
                              <w:rPr>
                                <w:rFonts w:hint="default"/>
                                <w:b/>
                                <w:bCs/>
                                <w:color w:val="auto"/>
                                <w:sz w:val="21"/>
                                <w:szCs w:val="21"/>
                                <w:lang w:val="en-US" w:eastAsia="zh-CN"/>
                              </w:rPr>
                              <w:t xml:space="preserve">-1  </w:t>
                            </w:r>
                            <w:r>
                              <w:rPr>
                                <w:rFonts w:hint="eastAsia"/>
                                <w:b/>
                                <w:bCs/>
                                <w:color w:val="auto"/>
                                <w:sz w:val="21"/>
                                <w:szCs w:val="21"/>
                                <w:lang w:val="en-US" w:eastAsia="zh-CN"/>
                              </w:rPr>
                              <w:t>大气</w:t>
                            </w:r>
                            <w:r>
                              <w:rPr>
                                <w:rFonts w:hint="default"/>
                                <w:b/>
                                <w:bCs/>
                                <w:color w:val="auto"/>
                                <w:sz w:val="21"/>
                                <w:szCs w:val="21"/>
                                <w:lang w:val="en-US" w:eastAsia="zh-CN"/>
                              </w:rPr>
                              <w:t>环境保护目标分布图</w:t>
                            </w:r>
                          </w:p>
                        </w:txbxContent>
                      </wps:txbx>
                      <wps:bodyPr vert="horz" wrap="square" lIns="0" tIns="0" rIns="0" bIns="0" anchor="t" anchorCtr="0" upright="1"/>
                    </wps:wsp>
                  </a:graphicData>
                </a:graphic>
              </wp:anchor>
            </w:drawing>
          </mc:Choice>
          <mc:Fallback>
            <w:pict>
              <v:shape id="文本框 251" o:spid="_x0000_s1026" o:spt="202" type="#_x0000_t202" style="position:absolute;left:0pt;margin-left:435.3pt;margin-top:588.1pt;height:23.45pt;width:202.05pt;z-index:251700224;mso-width-relative:page;mso-height-relative:page;" filled="f" stroked="f" coordsize="21600,21600" o:gfxdata="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DIkqdoAAAAOAQAADwAA&#10;AAAAAAABACAAAAAiAAAAZHJzL2Rvd25yZXYueG1sUEsBAhQAFAAAAAgAh07iQHT/BtHbAQAAqAMA&#10;AA4AAAAAAAAAAQAgAAAAKQEAAGRycy9lMm9Eb2MueG1sUEsFBgAAAAAGAAYAWQEAAHYFA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rPr>
                      </w:pPr>
                      <w:r>
                        <w:rPr>
                          <w:rFonts w:hint="default"/>
                          <w:b/>
                          <w:bCs/>
                          <w:color w:val="auto"/>
                          <w:sz w:val="21"/>
                          <w:szCs w:val="21"/>
                          <w:lang w:val="en-US" w:eastAsia="zh-CN"/>
                        </w:rPr>
                        <w:t>图2.</w:t>
                      </w:r>
                      <w:r>
                        <w:rPr>
                          <w:rFonts w:hint="eastAsia"/>
                          <w:b/>
                          <w:bCs/>
                          <w:color w:val="auto"/>
                          <w:sz w:val="21"/>
                          <w:szCs w:val="21"/>
                          <w:lang w:val="en-US" w:eastAsia="zh-CN"/>
                        </w:rPr>
                        <w:t>9</w:t>
                      </w:r>
                      <w:r>
                        <w:rPr>
                          <w:rFonts w:hint="default"/>
                          <w:b/>
                          <w:bCs/>
                          <w:color w:val="auto"/>
                          <w:sz w:val="21"/>
                          <w:szCs w:val="21"/>
                          <w:lang w:val="en-US" w:eastAsia="zh-CN"/>
                        </w:rPr>
                        <w:t xml:space="preserve">-1  </w:t>
                      </w:r>
                      <w:r>
                        <w:rPr>
                          <w:rFonts w:hint="eastAsia"/>
                          <w:b/>
                          <w:bCs/>
                          <w:color w:val="auto"/>
                          <w:sz w:val="21"/>
                          <w:szCs w:val="21"/>
                          <w:lang w:val="en-US" w:eastAsia="zh-CN"/>
                        </w:rPr>
                        <w:t>大气</w:t>
                      </w:r>
                      <w:r>
                        <w:rPr>
                          <w:rFonts w:hint="default"/>
                          <w:b/>
                          <w:bCs/>
                          <w:color w:val="auto"/>
                          <w:sz w:val="21"/>
                          <w:szCs w:val="21"/>
                          <w:lang w:val="en-US" w:eastAsia="zh-CN"/>
                        </w:rPr>
                        <w:t>环境保护目标分布图</w:t>
                      </w:r>
                    </w:p>
                  </w:txbxContent>
                </v:textbox>
              </v:shape>
            </w:pict>
          </mc:Fallback>
        </mc:AlternateContent>
      </w:r>
    </w:p>
    <w:p>
      <w:pPr>
        <w:pStyle w:val="2"/>
        <w:numPr>
          <w:ilvl w:val="0"/>
          <w:numId w:val="0"/>
        </w:numPr>
        <w:ind w:leftChars="0"/>
        <w:rPr>
          <w:rFonts w:hint="eastAsia"/>
          <w:color w:val="auto"/>
          <w:lang w:eastAsia="zh-CN"/>
        </w:rPr>
        <w:sectPr>
          <w:pgSz w:w="23811" w:h="16838"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4"/>
        </w:rPr>
        <w:drawing>
          <wp:anchor distT="0" distB="0" distL="114300" distR="114300" simplePos="0" relativeHeight="251705344" behindDoc="0" locked="0" layoutInCell="1" allowOverlap="1">
            <wp:simplePos x="0" y="0"/>
            <wp:positionH relativeFrom="column">
              <wp:posOffset>12020550</wp:posOffset>
            </wp:positionH>
            <wp:positionV relativeFrom="paragraph">
              <wp:posOffset>-10795</wp:posOffset>
            </wp:positionV>
            <wp:extent cx="1125220" cy="1144905"/>
            <wp:effectExtent l="0" t="0" r="17780" b="17145"/>
            <wp:wrapNone/>
            <wp:docPr id="2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
                    <pic:cNvPicPr>
                      <a:picLocks noChangeAspect="1"/>
                    </pic:cNvPicPr>
                  </pic:nvPicPr>
                  <pic:blipFill>
                    <a:blip r:embed="rId21"/>
                    <a:stretch>
                      <a:fillRect/>
                    </a:stretch>
                  </pic:blipFill>
                  <pic:spPr>
                    <a:xfrm>
                      <a:off x="0" y="0"/>
                      <a:ext cx="1125220" cy="1144905"/>
                    </a:xfrm>
                    <a:prstGeom prst="rect">
                      <a:avLst/>
                    </a:prstGeom>
                    <a:noFill/>
                    <a:ln>
                      <a:noFill/>
                    </a:ln>
                  </pic:spPr>
                </pic:pic>
              </a:graphicData>
            </a:graphic>
          </wp:anchor>
        </w:drawing>
      </w:r>
      <w:r>
        <w:rPr>
          <w:color w:val="auto"/>
          <w:sz w:val="24"/>
        </w:rPr>
        <w:drawing>
          <wp:inline distT="0" distB="0" distL="114300" distR="114300">
            <wp:extent cx="13164185" cy="8395335"/>
            <wp:effectExtent l="0" t="0" r="18415" b="5715"/>
            <wp:docPr id="223" name="图片 223" descr="2022121915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0221219155558"/>
                    <pic:cNvPicPr>
                      <a:picLocks noChangeAspect="1"/>
                    </pic:cNvPicPr>
                  </pic:nvPicPr>
                  <pic:blipFill>
                    <a:blip r:embed="rId23"/>
                    <a:stretch>
                      <a:fillRect/>
                    </a:stretch>
                  </pic:blipFill>
                  <pic:spPr>
                    <a:xfrm>
                      <a:off x="0" y="0"/>
                      <a:ext cx="13164185" cy="8395335"/>
                    </a:xfrm>
                    <a:prstGeom prst="rect">
                      <a:avLst/>
                    </a:prstGeom>
                  </pic:spPr>
                </pic:pic>
              </a:graphicData>
            </a:graphic>
          </wp:inline>
        </w:drawing>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5492115</wp:posOffset>
                </wp:positionH>
                <wp:positionV relativeFrom="paragraph">
                  <wp:posOffset>8517255</wp:posOffset>
                </wp:positionV>
                <wp:extent cx="2332355" cy="297815"/>
                <wp:effectExtent l="0" t="0" r="0" b="0"/>
                <wp:wrapNone/>
                <wp:docPr id="21" name="文本框 482"/>
                <wp:cNvGraphicFramePr/>
                <a:graphic xmlns:a="http://schemas.openxmlformats.org/drawingml/2006/main">
                  <a:graphicData uri="http://schemas.microsoft.com/office/word/2010/wordprocessingShape">
                    <wps:wsp>
                      <wps:cNvSpPr txBox="1"/>
                      <wps:spPr>
                        <a:xfrm>
                          <a:off x="0" y="0"/>
                          <a:ext cx="2332355" cy="29781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rPr>
                            </w:pPr>
                            <w:r>
                              <w:rPr>
                                <w:rFonts w:hint="default"/>
                                <w:b/>
                                <w:bCs/>
                                <w:color w:val="auto"/>
                                <w:sz w:val="21"/>
                                <w:szCs w:val="21"/>
                                <w:lang w:val="en-US" w:eastAsia="zh-CN"/>
                              </w:rPr>
                              <w:t>图2.</w:t>
                            </w:r>
                            <w:r>
                              <w:rPr>
                                <w:rFonts w:hint="eastAsia"/>
                                <w:b/>
                                <w:bCs/>
                                <w:color w:val="auto"/>
                                <w:sz w:val="21"/>
                                <w:szCs w:val="21"/>
                                <w:lang w:val="en-US" w:eastAsia="zh-CN"/>
                              </w:rPr>
                              <w:t>9</w:t>
                            </w:r>
                            <w:r>
                              <w:rPr>
                                <w:rFonts w:hint="default"/>
                                <w:b/>
                                <w:bCs/>
                                <w:color w:val="auto"/>
                                <w:sz w:val="21"/>
                                <w:szCs w:val="21"/>
                                <w:lang w:val="en-US" w:eastAsia="zh-CN"/>
                              </w:rPr>
                              <w:t>-</w:t>
                            </w:r>
                            <w:r>
                              <w:rPr>
                                <w:rFonts w:hint="eastAsia"/>
                                <w:b/>
                                <w:bCs/>
                                <w:color w:val="auto"/>
                                <w:sz w:val="21"/>
                                <w:szCs w:val="21"/>
                                <w:lang w:val="en-US" w:eastAsia="zh-CN"/>
                              </w:rPr>
                              <w:t>2</w:t>
                            </w:r>
                            <w:r>
                              <w:rPr>
                                <w:rFonts w:hint="default"/>
                                <w:b/>
                                <w:bCs/>
                                <w:color w:val="auto"/>
                                <w:sz w:val="21"/>
                                <w:szCs w:val="21"/>
                                <w:lang w:val="en-US" w:eastAsia="zh-CN"/>
                              </w:rPr>
                              <w:t xml:space="preserve">  环境</w:t>
                            </w:r>
                            <w:r>
                              <w:rPr>
                                <w:rFonts w:hint="eastAsia"/>
                                <w:b/>
                                <w:bCs/>
                                <w:color w:val="auto"/>
                                <w:sz w:val="21"/>
                                <w:szCs w:val="21"/>
                                <w:lang w:val="en-US" w:eastAsia="zh-CN"/>
                              </w:rPr>
                              <w:t>风险</w:t>
                            </w:r>
                            <w:r>
                              <w:rPr>
                                <w:rFonts w:hint="default"/>
                                <w:b/>
                                <w:bCs/>
                                <w:color w:val="auto"/>
                                <w:sz w:val="21"/>
                                <w:szCs w:val="21"/>
                                <w:lang w:val="en-US" w:eastAsia="zh-CN"/>
                              </w:rPr>
                              <w:t>保护目标分布图</w:t>
                            </w:r>
                          </w:p>
                        </w:txbxContent>
                      </wps:txbx>
                      <wps:bodyPr vert="horz" wrap="square" lIns="0" tIns="0" rIns="0" bIns="0" anchor="t" anchorCtr="0" upright="1"/>
                    </wps:wsp>
                  </a:graphicData>
                </a:graphic>
              </wp:anchor>
            </w:drawing>
          </mc:Choice>
          <mc:Fallback>
            <w:pict>
              <v:shape id="文本框 482" o:spid="_x0000_s1026" o:spt="202" type="#_x0000_t202" style="position:absolute;left:0pt;margin-left:432.45pt;margin-top:670.65pt;height:23.45pt;width:183.65pt;z-index:251701248;mso-width-relative:page;mso-height-relative:page;" filled="f" stroked="f" coordsize="21600,21600" o:gfxdata="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fY7Gq2wAAAA4BAAAP&#10;AAAAAAAAAAEAIAAAACIAAABkcnMvZG93bnJldi54bWxQSwECFAAUAAAACACHTuJACX2V6NwBAACo&#10;AwAADgAAAAAAAAABACAAAAAqAQAAZHJzL2Uyb0RvYy54bWxQSwUGAAAAAAYABgBZAQAAeAU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rPr>
                      </w:pPr>
                      <w:r>
                        <w:rPr>
                          <w:rFonts w:hint="default"/>
                          <w:b/>
                          <w:bCs/>
                          <w:color w:val="auto"/>
                          <w:sz w:val="21"/>
                          <w:szCs w:val="21"/>
                          <w:lang w:val="en-US" w:eastAsia="zh-CN"/>
                        </w:rPr>
                        <w:t>图2.</w:t>
                      </w:r>
                      <w:r>
                        <w:rPr>
                          <w:rFonts w:hint="eastAsia"/>
                          <w:b/>
                          <w:bCs/>
                          <w:color w:val="auto"/>
                          <w:sz w:val="21"/>
                          <w:szCs w:val="21"/>
                          <w:lang w:val="en-US" w:eastAsia="zh-CN"/>
                        </w:rPr>
                        <w:t>9</w:t>
                      </w:r>
                      <w:r>
                        <w:rPr>
                          <w:rFonts w:hint="default"/>
                          <w:b/>
                          <w:bCs/>
                          <w:color w:val="auto"/>
                          <w:sz w:val="21"/>
                          <w:szCs w:val="21"/>
                          <w:lang w:val="en-US" w:eastAsia="zh-CN"/>
                        </w:rPr>
                        <w:t>-</w:t>
                      </w:r>
                      <w:r>
                        <w:rPr>
                          <w:rFonts w:hint="eastAsia"/>
                          <w:b/>
                          <w:bCs/>
                          <w:color w:val="auto"/>
                          <w:sz w:val="21"/>
                          <w:szCs w:val="21"/>
                          <w:lang w:val="en-US" w:eastAsia="zh-CN"/>
                        </w:rPr>
                        <w:t>2</w:t>
                      </w:r>
                      <w:r>
                        <w:rPr>
                          <w:rFonts w:hint="default"/>
                          <w:b/>
                          <w:bCs/>
                          <w:color w:val="auto"/>
                          <w:sz w:val="21"/>
                          <w:szCs w:val="21"/>
                          <w:lang w:val="en-US" w:eastAsia="zh-CN"/>
                        </w:rPr>
                        <w:t xml:space="preserve">  环境</w:t>
                      </w:r>
                      <w:r>
                        <w:rPr>
                          <w:rFonts w:hint="eastAsia"/>
                          <w:b/>
                          <w:bCs/>
                          <w:color w:val="auto"/>
                          <w:sz w:val="21"/>
                          <w:szCs w:val="21"/>
                          <w:lang w:val="en-US" w:eastAsia="zh-CN"/>
                        </w:rPr>
                        <w:t>风险</w:t>
                      </w:r>
                      <w:r>
                        <w:rPr>
                          <w:rFonts w:hint="default"/>
                          <w:b/>
                          <w:bCs/>
                          <w:color w:val="auto"/>
                          <w:sz w:val="21"/>
                          <w:szCs w:val="21"/>
                          <w:lang w:val="en-US" w:eastAsia="zh-CN"/>
                        </w:rPr>
                        <w:t>保护目标分布图</w:t>
                      </w:r>
                    </w:p>
                  </w:txbxContent>
                </v:textbox>
              </v:shape>
            </w:pict>
          </mc:Fallback>
        </mc:AlternateContent>
      </w:r>
    </w:p>
    <w:p>
      <w:pPr>
        <w:bidi w:val="0"/>
        <w:ind w:left="0" w:leftChars="0" w:firstLine="0" w:firstLineChars="0"/>
        <w:jc w:val="center"/>
        <w:outlineLvl w:val="0"/>
        <w:rPr>
          <w:rStyle w:val="61"/>
          <w:rFonts w:hint="eastAsia"/>
          <w:color w:val="auto"/>
        </w:rPr>
      </w:pPr>
      <w:bookmarkStart w:id="32" w:name="_Toc3023"/>
      <w:r>
        <w:rPr>
          <w:rStyle w:val="61"/>
          <w:rFonts w:hint="eastAsia"/>
          <w:color w:val="auto"/>
          <w:lang w:val="en-US" w:eastAsia="zh-CN"/>
        </w:rPr>
        <w:t>3</w:t>
      </w:r>
      <w:r>
        <w:rPr>
          <w:rStyle w:val="61"/>
          <w:rFonts w:hint="eastAsia"/>
          <w:color w:val="auto"/>
        </w:rPr>
        <w:t>建设项目概况与工程分析</w:t>
      </w:r>
      <w:bookmarkEnd w:id="32"/>
    </w:p>
    <w:p>
      <w:pPr>
        <w:pStyle w:val="4"/>
        <w:numPr>
          <w:ilvl w:val="1"/>
          <w:numId w:val="0"/>
        </w:numPr>
        <w:jc w:val="left"/>
        <w:rPr>
          <w:rFonts w:hint="eastAsia"/>
          <w:color w:val="auto"/>
        </w:rPr>
      </w:pPr>
      <w:bookmarkStart w:id="33" w:name="_Toc28339"/>
      <w:r>
        <w:rPr>
          <w:rFonts w:hint="eastAsia"/>
          <w:color w:val="auto"/>
          <w:lang w:val="en-US" w:eastAsia="zh-CN"/>
        </w:rPr>
        <w:t>3</w:t>
      </w:r>
      <w:r>
        <w:rPr>
          <w:rFonts w:hint="eastAsia"/>
          <w:color w:val="auto"/>
        </w:rPr>
        <w:t>.1建设项目概况</w:t>
      </w:r>
      <w:bookmarkEnd w:id="33"/>
    </w:p>
    <w:p>
      <w:pPr>
        <w:pStyle w:val="5"/>
        <w:pageBreakBefore w:val="0"/>
        <w:widowControl w:val="0"/>
        <w:numPr>
          <w:ilvl w:val="0"/>
          <w:numId w:val="0"/>
        </w:numPr>
        <w:kinsoku/>
        <w:wordWrap/>
        <w:overflowPunct/>
        <w:topLinePunct w:val="0"/>
        <w:autoSpaceDE/>
        <w:autoSpaceDN/>
        <w:bidi w:val="0"/>
        <w:adjustRightInd/>
        <w:snapToGrid/>
        <w:spacing w:before="0" w:beforeLines="0"/>
        <w:ind w:leftChars="0"/>
        <w:textAlignment w:val="auto"/>
        <w:rPr>
          <w:rFonts w:hint="default" w:eastAsia="宋体"/>
          <w:color w:val="auto"/>
          <w:lang w:val="en-US" w:eastAsia="zh-CN"/>
        </w:rPr>
      </w:pPr>
      <w:r>
        <w:rPr>
          <w:rFonts w:hint="eastAsia"/>
          <w:color w:val="auto"/>
          <w:lang w:val="en-US" w:eastAsia="zh-CN"/>
        </w:rPr>
        <w:t>3.1.1拟建项目基本情况</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bCs/>
          <w:color w:val="auto"/>
          <w:lang w:eastAsia="zh-CN"/>
        </w:rPr>
      </w:pPr>
      <w:r>
        <w:rPr>
          <w:rFonts w:hint="eastAsia"/>
          <w:color w:val="auto"/>
        </w:rPr>
        <w:t>建设项目名称：</w:t>
      </w:r>
      <w:r>
        <w:rPr>
          <w:rFonts w:hint="eastAsia"/>
          <w:bCs/>
          <w:color w:val="auto"/>
          <w:lang w:eastAsia="zh-CN"/>
        </w:rPr>
        <w:t>安徽省立医院（中国科大附一院）滨湖院区项目</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项目性质：</w:t>
      </w:r>
      <w:r>
        <w:rPr>
          <w:rFonts w:hint="eastAsia"/>
          <w:color w:val="auto"/>
          <w:lang w:val="en-US" w:eastAsia="zh-CN"/>
        </w:rPr>
        <w:t>新</w:t>
      </w:r>
      <w:r>
        <w:rPr>
          <w:rFonts w:hint="eastAsia"/>
          <w:color w:val="auto"/>
        </w:rPr>
        <w:t>建</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bCs/>
          <w:color w:val="auto"/>
          <w:lang w:eastAsia="zh-CN"/>
        </w:rPr>
      </w:pPr>
      <w:r>
        <w:rPr>
          <w:rFonts w:hint="eastAsia"/>
          <w:color w:val="auto"/>
        </w:rPr>
        <w:t>建设单位：</w:t>
      </w:r>
      <w:r>
        <w:rPr>
          <w:rFonts w:hint="eastAsia"/>
          <w:bCs/>
          <w:color w:val="auto"/>
          <w:lang w:eastAsia="zh-CN"/>
        </w:rPr>
        <w:t>安徽省立医院（中国科学技术大学附属第一医院）</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highlight w:val="yellow"/>
          <w:lang w:val="en-US" w:eastAsia="zh-CN"/>
        </w:rPr>
      </w:pPr>
      <w:r>
        <w:rPr>
          <w:rFonts w:hint="eastAsia"/>
          <w:color w:val="auto"/>
        </w:rPr>
        <w:t>行业类别</w:t>
      </w:r>
      <w:r>
        <w:rPr>
          <w:rFonts w:hint="eastAsia"/>
          <w:b/>
          <w:color w:val="auto"/>
        </w:rPr>
        <w:t>：</w:t>
      </w:r>
      <w:r>
        <w:rPr>
          <w:rFonts w:hint="eastAsia"/>
          <w:color w:val="auto"/>
          <w:highlight w:val="none"/>
        </w:rPr>
        <w:t>Q841</w:t>
      </w:r>
      <w:r>
        <w:rPr>
          <w:rFonts w:hint="eastAsia"/>
          <w:color w:val="auto"/>
          <w:highlight w:val="none"/>
          <w:lang w:val="en-US" w:eastAsia="zh-CN"/>
        </w:rPr>
        <w:t>1综合医院</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Cs w:val="21"/>
          <w:lang w:val="en-US" w:eastAsia="zh-CN"/>
        </w:rPr>
      </w:pPr>
      <w:r>
        <w:rPr>
          <w:rFonts w:hint="eastAsia"/>
          <w:color w:val="auto"/>
        </w:rPr>
        <w:t>建设地点：</w:t>
      </w:r>
      <w:r>
        <w:rPr>
          <w:rFonts w:hint="eastAsia"/>
          <w:color w:val="auto"/>
          <w:lang w:val="en-US" w:eastAsia="zh-CN"/>
        </w:rPr>
        <w:t>合肥市滨湖新区锦绣大道与江苏路交口西南侧</w:t>
      </w:r>
      <w:r>
        <w:rPr>
          <w:rFonts w:hint="eastAsia"/>
          <w:color w:val="auto"/>
          <w:szCs w:val="21"/>
          <w:lang w:eastAsia="zh-CN"/>
        </w:rPr>
        <w:t>，建设</w:t>
      </w:r>
      <w:r>
        <w:rPr>
          <w:rFonts w:hint="eastAsia"/>
          <w:color w:val="auto"/>
          <w:szCs w:val="21"/>
          <w:lang w:val="en-US" w:eastAsia="zh-CN"/>
        </w:rPr>
        <w:t>项目地理位置图见图3.1-1。</w:t>
      </w:r>
    </w:p>
    <w:p>
      <w:pPr>
        <w:pageBreakBefore w:val="0"/>
        <w:widowControl w:val="0"/>
        <w:kinsoku/>
        <w:wordWrap/>
        <w:overflowPunct/>
        <w:topLinePunct w:val="0"/>
        <w:autoSpaceDE/>
        <w:autoSpaceDN/>
        <w:bidi w:val="0"/>
        <w:adjustRightInd/>
        <w:snapToGrid/>
        <w:spacing w:line="360" w:lineRule="auto"/>
        <w:ind w:firstLine="480"/>
        <w:textAlignment w:val="auto"/>
        <w:rPr>
          <w:bCs/>
          <w:color w:val="auto"/>
          <w:highlight w:val="yellow"/>
        </w:rPr>
        <w:sectPr>
          <w:pgSz w:w="11910" w:h="16850"/>
          <w:pgMar w:top="1440" w:right="1803" w:bottom="1440" w:left="1803" w:header="850" w:footer="992" w:gutter="0"/>
          <w:pgBorders w:offsetFrom="page">
            <w:top w:val="none" w:sz="0" w:space="0"/>
            <w:left w:val="none" w:sz="0" w:space="0"/>
            <w:bottom w:val="none" w:sz="0" w:space="0"/>
            <w:right w:val="none" w:sz="0" w:space="0"/>
          </w:pgBorders>
          <w:pgNumType w:fmt="decimal"/>
          <w:cols w:space="720" w:num="1"/>
          <w:rtlGutter w:val="0"/>
          <w:docGrid w:linePitch="0" w:charSpace="0"/>
        </w:sectPr>
      </w:pPr>
      <w:r>
        <w:rPr>
          <w:color w:val="auto"/>
        </w:rPr>
        <w:t>投资总额：</w:t>
      </w:r>
      <w:r>
        <w:rPr>
          <w:rFonts w:hint="eastAsia"/>
          <w:color w:val="auto"/>
          <w:lang w:eastAsia="zh-CN"/>
        </w:rPr>
        <w:t>项目总投资</w:t>
      </w:r>
      <w:r>
        <w:rPr>
          <w:rFonts w:hint="eastAsia"/>
          <w:color w:val="auto"/>
          <w:lang w:val="en-US" w:eastAsia="zh-CN"/>
        </w:rPr>
        <w:t>274800万元</w:t>
      </w:r>
      <w:r>
        <w:rPr>
          <w:rFonts w:hint="eastAsia"/>
          <w:bCs/>
          <w:color w:val="auto"/>
          <w:lang w:eastAsia="zh-CN"/>
        </w:rPr>
        <w:t>（其中滨湖院区项目总投资为</w:t>
      </w:r>
      <w:r>
        <w:rPr>
          <w:rFonts w:hint="eastAsia"/>
          <w:bCs/>
          <w:color w:val="auto"/>
          <w:lang w:val="en-US" w:eastAsia="zh-CN"/>
        </w:rPr>
        <w:t>237100万元，滨湖老年保健中心37700万元</w:t>
      </w:r>
      <w:r>
        <w:rPr>
          <w:rFonts w:hint="eastAsia"/>
          <w:bCs/>
          <w:color w:val="auto"/>
          <w:lang w:eastAsia="zh-CN"/>
        </w:rPr>
        <w:t>）</w:t>
      </w:r>
      <w:r>
        <w:rPr>
          <w:color w:val="auto"/>
        </w:rPr>
        <w:t>，</w:t>
      </w:r>
      <w:r>
        <w:rPr>
          <w:color w:val="auto"/>
          <w:highlight w:val="none"/>
        </w:rPr>
        <w:t>其中环保投资</w:t>
      </w:r>
      <w:r>
        <w:rPr>
          <w:rFonts w:hint="eastAsia"/>
          <w:color w:val="auto"/>
          <w:highlight w:val="none"/>
          <w:lang w:val="en-US" w:eastAsia="zh-CN"/>
        </w:rPr>
        <w:t>1673</w:t>
      </w:r>
      <w:r>
        <w:rPr>
          <w:color w:val="auto"/>
          <w:highlight w:val="none"/>
        </w:rPr>
        <w:t>万，</w:t>
      </w:r>
      <w:r>
        <w:rPr>
          <w:bCs/>
          <w:color w:val="auto"/>
          <w:highlight w:val="none"/>
        </w:rPr>
        <w:t>占</w:t>
      </w:r>
      <w:r>
        <w:rPr>
          <w:rFonts w:hint="eastAsia"/>
          <w:bCs/>
          <w:color w:val="auto"/>
          <w:highlight w:val="none"/>
          <w:lang w:val="en-US" w:eastAsia="zh-CN"/>
        </w:rPr>
        <w:t>总投资的0.61</w:t>
      </w:r>
      <w:r>
        <w:rPr>
          <w:bCs/>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lang w:val="en-US" w:eastAsia="zh-CN"/>
        </w:rPr>
      </w:pPr>
      <w:r>
        <w:rPr>
          <w:color w:val="auto"/>
          <w:sz w:val="24"/>
        </w:rPr>
        <w:drawing>
          <wp:anchor distT="0" distB="0" distL="114300" distR="114300" simplePos="0" relativeHeight="251689984" behindDoc="0" locked="0" layoutInCell="1" allowOverlap="1">
            <wp:simplePos x="0" y="0"/>
            <wp:positionH relativeFrom="column">
              <wp:posOffset>4053840</wp:posOffset>
            </wp:positionH>
            <wp:positionV relativeFrom="paragraph">
              <wp:posOffset>525780</wp:posOffset>
            </wp:positionV>
            <wp:extent cx="1125220" cy="1144905"/>
            <wp:effectExtent l="0" t="0" r="17780" b="17145"/>
            <wp:wrapNone/>
            <wp:docPr id="2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9"/>
                    <pic:cNvPicPr>
                      <a:picLocks noChangeAspect="1"/>
                    </pic:cNvPicPr>
                  </pic:nvPicPr>
                  <pic:blipFill>
                    <a:blip r:embed="rId21"/>
                    <a:stretch>
                      <a:fillRect/>
                    </a:stretch>
                  </pic:blipFill>
                  <pic:spPr>
                    <a:xfrm>
                      <a:off x="0" y="0"/>
                      <a:ext cx="1125220" cy="1144905"/>
                    </a:xfrm>
                    <a:prstGeom prst="rect">
                      <a:avLst/>
                    </a:prstGeom>
                    <a:noFill/>
                    <a:ln>
                      <a:noFill/>
                    </a:ln>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87936" behindDoc="0" locked="0" layoutInCell="1" allowOverlap="1">
                <wp:simplePos x="0" y="0"/>
                <wp:positionH relativeFrom="column">
                  <wp:posOffset>2672715</wp:posOffset>
                </wp:positionH>
                <wp:positionV relativeFrom="paragraph">
                  <wp:posOffset>4916170</wp:posOffset>
                </wp:positionV>
                <wp:extent cx="2258060" cy="702945"/>
                <wp:effectExtent l="5080" t="947420" r="22860" b="6985"/>
                <wp:wrapNone/>
                <wp:docPr id="229" name="圆角矩形标注 229"/>
                <wp:cNvGraphicFramePr/>
                <a:graphic xmlns:a="http://schemas.openxmlformats.org/drawingml/2006/main">
                  <a:graphicData uri="http://schemas.microsoft.com/office/word/2010/wordprocessingShape">
                    <wps:wsp>
                      <wps:cNvSpPr/>
                      <wps:spPr>
                        <a:xfrm>
                          <a:off x="0" y="0"/>
                          <a:ext cx="2258060" cy="702945"/>
                        </a:xfrm>
                        <a:prstGeom prst="wedgeRoundRectCallout">
                          <a:avLst>
                            <a:gd name="adj1" fmla="val -46062"/>
                            <a:gd name="adj2" fmla="val -182068"/>
                            <a:gd name="adj3" fmla="val 16667"/>
                          </a:avLst>
                        </a:prstGeom>
                        <a:noFill/>
                        <a:ln w="9525" cap="flat" cmpd="sng">
                          <a:solidFill>
                            <a:srgbClr val="000000"/>
                          </a:solidFill>
                          <a:prstDash val="solid"/>
                          <a:miter/>
                          <a:headEnd type="none" w="med" len="med"/>
                          <a:tailEnd type="none" w="med" len="med"/>
                        </a:ln>
                      </wps:spPr>
                      <wps:txbx>
                        <w:txbxContent>
                          <w:p>
                            <w:pPr>
                              <w:rPr>
                                <w:b/>
                                <w:bCs/>
                                <w:sz w:val="21"/>
                                <w:highlight w:val="none"/>
                              </w:rPr>
                            </w:pPr>
                            <w:r>
                              <w:rPr>
                                <w:b/>
                                <w:bCs/>
                                <w:sz w:val="21"/>
                                <w:highlight w:val="none"/>
                              </w:rPr>
                              <w:t>项目所在地</w:t>
                            </w:r>
                          </w:p>
                        </w:txbxContent>
                      </wps:txbx>
                      <wps:bodyPr upright="1"/>
                    </wps:wsp>
                  </a:graphicData>
                </a:graphic>
              </wp:anchor>
            </w:drawing>
          </mc:Choice>
          <mc:Fallback>
            <w:pict>
              <v:shape id="_x0000_s1026" o:spid="_x0000_s1026" o:spt="62" type="#_x0000_t62" style="position:absolute;left:0pt;margin-left:210.45pt;margin-top:387.1pt;height:55.35pt;width:177.8pt;z-index:251687936;mso-width-relative:page;mso-height-relative:page;" filled="f" stroked="t" coordsize="21600,21600" o:gfxdata="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ltz7nZAAAACwEAAA8A&#10;AAAAAAAAAQAgAAAAIgAAAGRycy9kb3ducmV2LnhtbFBLAQIUABQAAAAIAIdO4kAwWxWpTwIAAJkE&#10;AAAOAAAAAAAAAAEAIAAAACgBAABkcnMvZTJvRG9jLnhtbFBLBQYAAAAABgAGAFkBAADpBQAAAAA=&#10;" adj="851,-28527,14400">
                <v:fill on="f" focussize="0,0"/>
                <v:stroke color="#000000" joinstyle="miter"/>
                <v:imagedata o:title=""/>
                <o:lock v:ext="edit" aspectratio="f"/>
                <v:textbox>
                  <w:txbxContent>
                    <w:p>
                      <w:pPr>
                        <w:rPr>
                          <w:b/>
                          <w:bCs/>
                          <w:sz w:val="21"/>
                          <w:highlight w:val="none"/>
                        </w:rPr>
                      </w:pPr>
                      <w:r>
                        <w:rPr>
                          <w:b/>
                          <w:bCs/>
                          <w:sz w:val="21"/>
                          <w:highlight w:val="none"/>
                        </w:rPr>
                        <w:t>项目所在地</w:t>
                      </w:r>
                    </w:p>
                  </w:txbxContent>
                </v:textbox>
              </v:shape>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2663825</wp:posOffset>
                </wp:positionH>
                <wp:positionV relativeFrom="paragraph">
                  <wp:posOffset>3902075</wp:posOffset>
                </wp:positionV>
                <wp:extent cx="75565" cy="75565"/>
                <wp:effectExtent l="12700" t="12700" r="26035" b="26035"/>
                <wp:wrapNone/>
                <wp:docPr id="228" name="五角星 228"/>
                <wp:cNvGraphicFramePr/>
                <a:graphic xmlns:a="http://schemas.openxmlformats.org/drawingml/2006/main">
                  <a:graphicData uri="http://schemas.microsoft.com/office/word/2010/wordprocessingShape">
                    <wps:wsp>
                      <wps:cNvSpPr/>
                      <wps:spPr>
                        <a:xfrm>
                          <a:off x="3823970" y="4791075"/>
                          <a:ext cx="75565" cy="75565"/>
                        </a:xfrm>
                        <a:prstGeom prst="star5">
                          <a:avLst/>
                        </a:prstGeom>
                        <a:gradFill>
                          <a:gsLst>
                            <a:gs pos="0">
                              <a:srgbClr val="FE4444"/>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9.75pt;margin-top:307.25pt;height:5.95pt;width:5.95pt;z-index:251686912;v-text-anchor:middle;mso-width-relative:page;mso-height-relative:page;" fillcolor="#FE4444" filled="t" stroked="t" coordsize="75565,75565" o:gfxdata="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t4w8dtkAAAALAQAADwAAAAAAAAABACAAAAAiAAAAZHJzL2Rv&#10;d25yZXYueG1sUEsBAhQAFAAAAAgAh07iQJoSvomrAgAAaAUAAA4AAAAAAAAAAQAgAAAAKAEAAGRy&#10;cy9lMm9Eb2MueG1sUEsFBgAAAAAGAAYAWQEAAEUGAAAAAA==&#10;" path="m0,28863l28863,28863,37782,0,46701,28863,75564,28863,52213,46701,61133,75564,37782,57726,14431,75564,23351,46701xe">
                <v:path o:connectlocs="37782,0;0,28863;14431,75564;61133,75564;75564,28863" o:connectangles="247,164,82,82,0"/>
                <v:fill type="gradient" on="t" color2="#832B2B" focus="100%" focussize="0,0" rotate="t">
                  <o:fill type="gradientUnscaled" v:ext="backwardCompatible"/>
                </v:fill>
                <v:stroke weight="2pt" color="#FF0000 [3204]" joinstyle="round"/>
                <v:imagedata o:title=""/>
                <o:lock v:ext="edit" aspectratio="f"/>
              </v:shape>
            </w:pict>
          </mc:Fallback>
        </mc:AlternateContent>
      </w:r>
      <w:r>
        <w:rPr>
          <w:rFonts w:hint="eastAsia" w:eastAsia="宋体"/>
          <w:color w:val="auto"/>
          <w:lang w:val="en-US" w:eastAsia="zh-CN"/>
        </w:rPr>
        <w:drawing>
          <wp:inline distT="0" distB="0" distL="114300" distR="114300">
            <wp:extent cx="5253990" cy="7522210"/>
            <wp:effectExtent l="0" t="0" r="3810" b="2540"/>
            <wp:docPr id="227" name="图片 227" descr="合肥市地图全开挂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合肥市地图全开挂图"/>
                    <pic:cNvPicPr>
                      <a:picLocks noChangeAspect="1"/>
                    </pic:cNvPicPr>
                  </pic:nvPicPr>
                  <pic:blipFill>
                    <a:blip r:embed="rId24"/>
                    <a:stretch>
                      <a:fillRect/>
                    </a:stretch>
                  </pic:blipFill>
                  <pic:spPr>
                    <a:xfrm>
                      <a:off x="0" y="0"/>
                      <a:ext cx="5253990" cy="75222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lang w:val="en-US" w:eastAsia="zh-CN"/>
        </w:rPr>
        <w:sectPr>
          <w:pgSz w:w="11910" w:h="16850"/>
          <w:pgMar w:top="1440" w:right="1803" w:bottom="1440" w:left="1803" w:header="850" w:footer="992" w:gutter="0"/>
          <w:pgBorders w:offsetFrom="page">
            <w:top w:val="none" w:sz="0" w:space="0"/>
            <w:left w:val="none" w:sz="0" w:space="0"/>
            <w:bottom w:val="none" w:sz="0" w:space="0"/>
            <w:right w:val="none" w:sz="0" w:space="0"/>
          </w:pgBorders>
          <w:pgNumType w:fmt="decimal"/>
          <w:cols w:space="720" w:num="1"/>
          <w:rtlGutter w:val="0"/>
          <w:docGrid w:linePitch="0" w:charSpace="0"/>
        </w:sectPr>
      </w:pPr>
      <w:r>
        <w:rPr>
          <w:rFonts w:hint="eastAsia"/>
          <w:b/>
          <w:bCs/>
          <w:color w:val="auto"/>
          <w:sz w:val="21"/>
          <w:szCs w:val="21"/>
          <w:lang w:val="en-US" w:eastAsia="zh-CN"/>
        </w:rPr>
        <w:t>图3.1-1  项目地理位置图</w:t>
      </w:r>
    </w:p>
    <w:p>
      <w:pPr>
        <w:pStyle w:val="5"/>
        <w:pageBreakBefore w:val="0"/>
        <w:widowControl w:val="0"/>
        <w:numPr>
          <w:ilvl w:val="0"/>
          <w:numId w:val="0"/>
        </w:numPr>
        <w:kinsoku/>
        <w:wordWrap/>
        <w:overflowPunct/>
        <w:topLinePunct w:val="0"/>
        <w:autoSpaceDE/>
        <w:autoSpaceDN/>
        <w:bidi w:val="0"/>
        <w:adjustRightInd/>
        <w:snapToGrid/>
        <w:spacing w:before="0" w:beforeLines="0"/>
        <w:ind w:leftChars="0"/>
        <w:textAlignment w:val="auto"/>
        <w:rPr>
          <w:rFonts w:hint="default"/>
          <w:color w:val="auto"/>
          <w:highlight w:val="none"/>
          <w:lang w:val="en-US"/>
        </w:rPr>
      </w:pPr>
      <w:r>
        <w:rPr>
          <w:rFonts w:hint="eastAsia"/>
          <w:color w:val="auto"/>
          <w:lang w:val="en-US" w:eastAsia="zh-CN"/>
        </w:rPr>
        <w:t>3.1.2项目周边环境概况</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highlight w:val="none"/>
          <w:lang w:val="en-US" w:eastAsia="zh-CN"/>
        </w:rPr>
      </w:pPr>
      <w:r>
        <w:rPr>
          <w:color w:val="auto"/>
          <w:sz w:val="24"/>
        </w:rPr>
        <w:drawing>
          <wp:anchor distT="0" distB="0" distL="114300" distR="114300" simplePos="0" relativeHeight="251691008" behindDoc="0" locked="0" layoutInCell="1" allowOverlap="1">
            <wp:simplePos x="0" y="0"/>
            <wp:positionH relativeFrom="column">
              <wp:posOffset>4470400</wp:posOffset>
            </wp:positionH>
            <wp:positionV relativeFrom="paragraph">
              <wp:posOffset>1160145</wp:posOffset>
            </wp:positionV>
            <wp:extent cx="1125220" cy="1144905"/>
            <wp:effectExtent l="0" t="0" r="17780" b="17145"/>
            <wp:wrapNone/>
            <wp:docPr id="2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9"/>
                    <pic:cNvPicPr>
                      <a:picLocks noChangeAspect="1"/>
                    </pic:cNvPicPr>
                  </pic:nvPicPr>
                  <pic:blipFill>
                    <a:blip r:embed="rId21"/>
                    <a:stretch>
                      <a:fillRect/>
                    </a:stretch>
                  </pic:blipFill>
                  <pic:spPr>
                    <a:xfrm>
                      <a:off x="0" y="0"/>
                      <a:ext cx="1125220" cy="1144905"/>
                    </a:xfrm>
                    <a:prstGeom prst="rect">
                      <a:avLst/>
                    </a:prstGeom>
                    <a:noFill/>
                    <a:ln>
                      <a:noFill/>
                    </a:ln>
                  </pic:spPr>
                </pic:pic>
              </a:graphicData>
            </a:graphic>
          </wp:anchor>
        </w:drawing>
      </w:r>
      <w:r>
        <w:rPr>
          <w:rFonts w:hint="eastAsia"/>
          <w:bCs/>
          <w:color w:val="auto"/>
          <w:highlight w:val="none"/>
          <w:lang w:val="en-US" w:eastAsia="zh-CN"/>
        </w:rPr>
        <w:t>拟建项目</w:t>
      </w:r>
      <w:r>
        <w:rPr>
          <w:rFonts w:hint="eastAsia"/>
          <w:bCs/>
          <w:color w:val="auto"/>
          <w:highlight w:val="none"/>
        </w:rPr>
        <w:t>地块东侧</w:t>
      </w:r>
      <w:r>
        <w:rPr>
          <w:rFonts w:hint="eastAsia"/>
          <w:bCs/>
          <w:color w:val="auto"/>
          <w:highlight w:val="none"/>
          <w:lang w:val="en-US" w:eastAsia="zh-CN"/>
        </w:rPr>
        <w:t>为江苏路，隔江苏路为安徽省立医院（中国科大附一院）滨湖院区项目办和空地，南侧隔扬子江路为</w:t>
      </w:r>
      <w:r>
        <w:rPr>
          <w:rFonts w:hint="eastAsia" w:ascii="Times New Roman" w:hAnsi="Times New Roman" w:eastAsia="宋体" w:cs="Times New Roman"/>
          <w:color w:val="auto"/>
          <w:szCs w:val="21"/>
          <w:lang w:val="en-US" w:eastAsia="zh-CN"/>
        </w:rPr>
        <w:t>安徽省立医院老年医学康复中心（在建），西南侧为招商雍华府小区，西侧隔安徽路为珺合府小区（在建），北侧</w:t>
      </w:r>
      <w:r>
        <w:rPr>
          <w:rFonts w:hint="eastAsia" w:cs="Times New Roman"/>
          <w:color w:val="auto"/>
          <w:szCs w:val="21"/>
          <w:lang w:val="en-US" w:eastAsia="zh-CN"/>
        </w:rPr>
        <w:t>隔空地</w:t>
      </w:r>
      <w:r>
        <w:rPr>
          <w:rFonts w:hint="eastAsia" w:ascii="Times New Roman" w:hAnsi="Times New Roman" w:eastAsia="宋体" w:cs="Times New Roman"/>
          <w:color w:val="auto"/>
          <w:szCs w:val="21"/>
          <w:lang w:val="en-US" w:eastAsia="zh-CN"/>
        </w:rPr>
        <w:t>为锦绣大道。</w:t>
      </w:r>
      <w:r>
        <w:rPr>
          <w:rFonts w:hint="eastAsia"/>
          <w:color w:val="auto"/>
          <w:highlight w:val="none"/>
          <w:lang w:eastAsia="zh-CN"/>
        </w:rPr>
        <w:t>医院</w:t>
      </w:r>
      <w:r>
        <w:rPr>
          <w:rFonts w:hint="eastAsia" w:eastAsia="宋体"/>
          <w:color w:val="auto"/>
          <w:highlight w:val="none"/>
          <w:lang w:eastAsia="zh-CN"/>
        </w:rPr>
        <w:t>四周均为住宅用地、</w:t>
      </w:r>
      <w:r>
        <w:rPr>
          <w:rFonts w:hint="eastAsia"/>
          <w:color w:val="auto"/>
          <w:highlight w:val="none"/>
          <w:lang w:val="en-US" w:eastAsia="zh-CN"/>
        </w:rPr>
        <w:t>医疗</w:t>
      </w:r>
      <w:r>
        <w:rPr>
          <w:rFonts w:hint="eastAsia" w:eastAsia="宋体"/>
          <w:color w:val="auto"/>
          <w:highlight w:val="none"/>
          <w:lang w:eastAsia="zh-CN"/>
        </w:rPr>
        <w:t>用地等</w:t>
      </w:r>
      <w:r>
        <w:rPr>
          <w:rFonts w:hint="eastAsia"/>
          <w:color w:val="auto"/>
          <w:highlight w:val="none"/>
        </w:rPr>
        <w:t>。</w:t>
      </w:r>
      <w:r>
        <w:rPr>
          <w:rFonts w:hint="eastAsia"/>
          <w:color w:val="auto"/>
          <w:highlight w:val="none"/>
          <w:lang w:val="en-US" w:eastAsia="zh-CN"/>
        </w:rPr>
        <w:t>项目周边环境概况图见图3.1-2。</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highlight w:val="none"/>
          <w:lang w:val="en-US" w:eastAsia="zh-CN"/>
        </w:rPr>
      </w:pP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1832610</wp:posOffset>
                </wp:positionH>
                <wp:positionV relativeFrom="paragraph">
                  <wp:posOffset>1614805</wp:posOffset>
                </wp:positionV>
                <wp:extent cx="1114425" cy="360045"/>
                <wp:effectExtent l="377190" t="0" r="0" b="0"/>
                <wp:wrapNone/>
                <wp:docPr id="232" name="文本框 13"/>
                <wp:cNvGraphicFramePr/>
                <a:graphic xmlns:a="http://schemas.openxmlformats.org/drawingml/2006/main">
                  <a:graphicData uri="http://schemas.microsoft.com/office/word/2010/wordprocessingShape">
                    <wps:wsp>
                      <wps:cNvSpPr txBox="1"/>
                      <wps:spPr>
                        <a:xfrm rot="5400000">
                          <a:off x="0" y="0"/>
                          <a:ext cx="1114425" cy="360045"/>
                        </a:xfrm>
                        <a:prstGeom prst="rect">
                          <a:avLst/>
                        </a:prstGeom>
                        <a:noFill/>
                        <a:ln>
                          <a:noFill/>
                        </a:ln>
                      </wps:spPr>
                      <wps:txbx>
                        <w:txbxContent>
                          <w:p>
                            <w:pPr>
                              <w:ind w:left="0" w:leftChars="0" w:firstLine="0" w:firstLineChars="0"/>
                              <w:jc w:val="both"/>
                              <w:rPr>
                                <w:rFonts w:hint="eastAsia" w:eastAsia="宋体"/>
                                <w:b/>
                                <w:bCs/>
                                <w:color w:val="FFFF00"/>
                                <w:lang w:eastAsia="zh-CN"/>
                              </w:rPr>
                            </w:pPr>
                            <w:r>
                              <w:rPr>
                                <w:rFonts w:hint="eastAsia" w:eastAsia="宋体"/>
                                <w:b/>
                                <w:bCs/>
                                <w:color w:val="FFFF00"/>
                                <w:lang w:val="en-US" w:eastAsia="zh-CN"/>
                              </w:rPr>
                              <w:t>安徽</w:t>
                            </w:r>
                            <w:r>
                              <w:rPr>
                                <w:rFonts w:hint="eastAsia" w:eastAsia="宋体"/>
                                <w:b/>
                                <w:bCs/>
                                <w:color w:val="FFFF00"/>
                                <w:lang w:eastAsia="zh-CN"/>
                              </w:rPr>
                              <w:t>路</w:t>
                            </w:r>
                          </w:p>
                        </w:txbxContent>
                      </wps:txbx>
                      <wps:bodyPr vert="horz" wrap="square" anchor="t" anchorCtr="0" upright="1"/>
                    </wps:wsp>
                  </a:graphicData>
                </a:graphic>
              </wp:anchor>
            </w:drawing>
          </mc:Choice>
          <mc:Fallback>
            <w:pict>
              <v:shape id="文本框 13" o:spid="_x0000_s1026" o:spt="202" type="#_x0000_t202" style="position:absolute;left:0pt;margin-left:144.3pt;margin-top:127.15pt;height:28.35pt;width:87.75pt;rotation:5898240f;z-index:251688960;mso-width-relative:page;mso-height-relative:page;" filled="f" stroked="f" coordsize="21600,21600" o:gfxdata="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Nv9ESTaAAAACwEAAA8AAAAAAAAA&#10;AQAgAAAAIgAAAGRycy9kb3ducmV2LnhtbFBLAQIUABQAAAAIAIdO4kDBeUVw1gEAAJIDAAAOAAAA&#10;AAAAAAEAIAAAACkBAABkcnMvZTJvRG9jLnhtbFBLBQYAAAAABgAGAFkBAABxBQAAAAA=&#10;">
                <v:fill on="f" focussize="0,0"/>
                <v:stroke on="f"/>
                <v:imagedata o:title=""/>
                <o:lock v:ext="edit" aspectratio="f"/>
                <v:textbox>
                  <w:txbxContent>
                    <w:p>
                      <w:pPr>
                        <w:ind w:left="0" w:leftChars="0" w:firstLine="0" w:firstLineChars="0"/>
                        <w:jc w:val="both"/>
                        <w:rPr>
                          <w:rFonts w:hint="eastAsia" w:eastAsia="宋体"/>
                          <w:b/>
                          <w:bCs/>
                          <w:color w:val="FFFF00"/>
                          <w:lang w:eastAsia="zh-CN"/>
                        </w:rPr>
                      </w:pPr>
                      <w:r>
                        <w:rPr>
                          <w:rFonts w:hint="eastAsia" w:eastAsia="宋体"/>
                          <w:b/>
                          <w:bCs/>
                          <w:color w:val="FFFF00"/>
                          <w:lang w:val="en-US" w:eastAsia="zh-CN"/>
                        </w:rPr>
                        <w:t>安徽</w:t>
                      </w:r>
                      <w:r>
                        <w:rPr>
                          <w:rFonts w:hint="eastAsia" w:eastAsia="宋体"/>
                          <w:b/>
                          <w:bCs/>
                          <w:color w:val="FFFF00"/>
                          <w:lang w:eastAsia="zh-CN"/>
                        </w:rPr>
                        <w:t>路</w:t>
                      </w:r>
                    </w:p>
                  </w:txbxContent>
                </v:textbox>
              </v:shape>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2388870</wp:posOffset>
                </wp:positionH>
                <wp:positionV relativeFrom="paragraph">
                  <wp:posOffset>2192020</wp:posOffset>
                </wp:positionV>
                <wp:extent cx="1666240" cy="414020"/>
                <wp:effectExtent l="0" t="0" r="0" b="0"/>
                <wp:wrapNone/>
                <wp:docPr id="33" name="文本框 14"/>
                <wp:cNvGraphicFramePr/>
                <a:graphic xmlns:a="http://schemas.openxmlformats.org/drawingml/2006/main">
                  <a:graphicData uri="http://schemas.microsoft.com/office/word/2010/wordprocessingShape">
                    <wps:wsp>
                      <wps:cNvSpPr txBox="1"/>
                      <wps:spPr>
                        <a:xfrm>
                          <a:off x="0" y="0"/>
                          <a:ext cx="1666240" cy="414020"/>
                        </a:xfrm>
                        <a:prstGeom prst="rect">
                          <a:avLst/>
                        </a:prstGeom>
                        <a:noFill/>
                        <a:ln>
                          <a:noFill/>
                        </a:ln>
                      </wps:spPr>
                      <wps:txbx>
                        <w:txbxContent>
                          <w:p>
                            <w:pPr>
                              <w:ind w:left="0" w:leftChars="0" w:firstLine="0" w:firstLineChars="0"/>
                              <w:jc w:val="distribute"/>
                              <w:rPr>
                                <w:rFonts w:hint="eastAsia" w:ascii="Times New Roman" w:hAnsi="Times New Roman" w:eastAsia="宋体" w:cs="Times New Roman"/>
                                <w:b/>
                                <w:bCs/>
                                <w:color w:val="FFFF00"/>
                                <w:lang w:eastAsia="zh-CN"/>
                              </w:rPr>
                            </w:pPr>
                            <w:r>
                              <w:rPr>
                                <w:rFonts w:hint="eastAsia" w:cs="Times New Roman"/>
                                <w:b/>
                                <w:bCs/>
                                <w:color w:val="FFFF00"/>
                                <w:lang w:val="en-US" w:eastAsia="zh-CN"/>
                              </w:rPr>
                              <w:t>扬子江</w:t>
                            </w:r>
                            <w:r>
                              <w:rPr>
                                <w:rFonts w:hint="eastAsia" w:ascii="Times New Roman" w:hAnsi="Times New Roman" w:eastAsia="宋体" w:cs="Times New Roman"/>
                                <w:b/>
                                <w:bCs/>
                                <w:color w:val="FFFF00"/>
                                <w:lang w:val="en-US" w:eastAsia="zh-CN"/>
                              </w:rPr>
                              <w:t>路</w:t>
                            </w:r>
                          </w:p>
                        </w:txbxContent>
                      </wps:txbx>
                      <wps:bodyPr wrap="square" upright="1"/>
                    </wps:wsp>
                  </a:graphicData>
                </a:graphic>
              </wp:anchor>
            </w:drawing>
          </mc:Choice>
          <mc:Fallback>
            <w:pict>
              <v:shape id="文本框 14" o:spid="_x0000_s1026" o:spt="202" type="#_x0000_t202" style="position:absolute;left:0pt;margin-left:188.1pt;margin-top:172.6pt;height:32.6pt;width:131.2pt;z-index:251665408;mso-width-relative:page;mso-height-relative:page;" filled="f" stroked="f" coordsize="21600,21600" o:gfxdata="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6Fh262AAAAAsBAAAPAAAAAAAAAAEAIAAAACIAAABkcnMvZG93bnJldi54bWxQSwECFAAU&#10;AAAACACHTuJAu2f6ebgBAABeAwAADgAAAAAAAAABACAAAAAnAQAAZHJzL2Uyb0RvYy54bWxQSwUG&#10;AAAAAAYABgBZAQAAUQUAAAAA&#10;">
                <v:fill on="f" focussize="0,0"/>
                <v:stroke on="f"/>
                <v:imagedata o:title=""/>
                <o:lock v:ext="edit" aspectratio="f"/>
                <v:textbox>
                  <w:txbxContent>
                    <w:p>
                      <w:pPr>
                        <w:ind w:left="0" w:leftChars="0" w:firstLine="0" w:firstLineChars="0"/>
                        <w:jc w:val="distribute"/>
                        <w:rPr>
                          <w:rFonts w:hint="eastAsia" w:ascii="Times New Roman" w:hAnsi="Times New Roman" w:eastAsia="宋体" w:cs="Times New Roman"/>
                          <w:b/>
                          <w:bCs/>
                          <w:color w:val="FFFF00"/>
                          <w:lang w:eastAsia="zh-CN"/>
                        </w:rPr>
                      </w:pPr>
                      <w:r>
                        <w:rPr>
                          <w:rFonts w:hint="eastAsia" w:cs="Times New Roman"/>
                          <w:b/>
                          <w:bCs/>
                          <w:color w:val="FFFF00"/>
                          <w:lang w:val="en-US" w:eastAsia="zh-CN"/>
                        </w:rPr>
                        <w:t>扬子江</w:t>
                      </w:r>
                      <w:r>
                        <w:rPr>
                          <w:rFonts w:hint="eastAsia" w:ascii="Times New Roman" w:hAnsi="Times New Roman" w:eastAsia="宋体" w:cs="Times New Roman"/>
                          <w:b/>
                          <w:bCs/>
                          <w:color w:val="FFFF00"/>
                          <w:lang w:val="en-US" w:eastAsia="zh-CN"/>
                        </w:rPr>
                        <w:t>路</w:t>
                      </w:r>
                    </w:p>
                  </w:txbxContent>
                </v:textbox>
              </v:shape>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3650615</wp:posOffset>
                </wp:positionH>
                <wp:positionV relativeFrom="paragraph">
                  <wp:posOffset>2209165</wp:posOffset>
                </wp:positionV>
                <wp:extent cx="1114425" cy="360045"/>
                <wp:effectExtent l="377190" t="0" r="0" b="0"/>
                <wp:wrapNone/>
                <wp:docPr id="32" name="文本框 13"/>
                <wp:cNvGraphicFramePr/>
                <a:graphic xmlns:a="http://schemas.openxmlformats.org/drawingml/2006/main">
                  <a:graphicData uri="http://schemas.microsoft.com/office/word/2010/wordprocessingShape">
                    <wps:wsp>
                      <wps:cNvSpPr txBox="1"/>
                      <wps:spPr>
                        <a:xfrm rot="5400000">
                          <a:off x="0" y="0"/>
                          <a:ext cx="1114425" cy="360045"/>
                        </a:xfrm>
                        <a:prstGeom prst="rect">
                          <a:avLst/>
                        </a:prstGeom>
                        <a:noFill/>
                        <a:ln>
                          <a:noFill/>
                        </a:ln>
                      </wps:spPr>
                      <wps:txbx>
                        <w:txbxContent>
                          <w:p>
                            <w:pPr>
                              <w:ind w:left="0" w:leftChars="0" w:firstLine="0" w:firstLineChars="0"/>
                              <w:jc w:val="both"/>
                              <w:rPr>
                                <w:rFonts w:hint="eastAsia" w:eastAsia="宋体"/>
                                <w:b/>
                                <w:bCs/>
                                <w:color w:val="FFFF00"/>
                                <w:lang w:eastAsia="zh-CN"/>
                              </w:rPr>
                            </w:pPr>
                            <w:r>
                              <w:rPr>
                                <w:rFonts w:hint="eastAsia"/>
                                <w:b/>
                                <w:bCs/>
                                <w:color w:val="FFFF00"/>
                                <w:lang w:val="en-US" w:eastAsia="zh-CN"/>
                              </w:rPr>
                              <w:t>江苏</w:t>
                            </w:r>
                            <w:r>
                              <w:rPr>
                                <w:rFonts w:hint="eastAsia" w:eastAsia="宋体"/>
                                <w:b/>
                                <w:bCs/>
                                <w:color w:val="FFFF00"/>
                                <w:lang w:eastAsia="zh-CN"/>
                              </w:rPr>
                              <w:t>路</w:t>
                            </w:r>
                          </w:p>
                        </w:txbxContent>
                      </wps:txbx>
                      <wps:bodyPr vert="horz" wrap="square" anchor="t" anchorCtr="0" upright="1"/>
                    </wps:wsp>
                  </a:graphicData>
                </a:graphic>
              </wp:anchor>
            </w:drawing>
          </mc:Choice>
          <mc:Fallback>
            <w:pict>
              <v:shape id="文本框 13" o:spid="_x0000_s1026" o:spt="202" type="#_x0000_t202" style="position:absolute;left:0pt;margin-left:287.45pt;margin-top:173.95pt;height:28.35pt;width:87.75pt;rotation:5898240f;z-index:251664384;mso-width-relative:page;mso-height-relative:page;" filled="f" stroked="f" coordsize="21600,21600" o:gfxdata="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G/TjbaAAAACwEAAA8AAAAAAAAA&#10;AQAgAAAAIgAAAGRycy9kb3ducmV2LnhtbFBLAQIUABQAAAAIAIdO4kDEb3ag1gEAAJEDAAAOAAAA&#10;AAAAAAEAIAAAACkBAABkcnMvZTJvRG9jLnhtbFBLBQYAAAAABgAGAFkBAABxBQAAAAA=&#10;">
                <v:fill on="f" focussize="0,0"/>
                <v:stroke on="f"/>
                <v:imagedata o:title=""/>
                <o:lock v:ext="edit" aspectratio="f"/>
                <v:textbox>
                  <w:txbxContent>
                    <w:p>
                      <w:pPr>
                        <w:ind w:left="0" w:leftChars="0" w:firstLine="0" w:firstLineChars="0"/>
                        <w:jc w:val="both"/>
                        <w:rPr>
                          <w:rFonts w:hint="eastAsia" w:eastAsia="宋体"/>
                          <w:b/>
                          <w:bCs/>
                          <w:color w:val="FFFF00"/>
                          <w:lang w:eastAsia="zh-CN"/>
                        </w:rPr>
                      </w:pPr>
                      <w:r>
                        <w:rPr>
                          <w:rFonts w:hint="eastAsia"/>
                          <w:b/>
                          <w:bCs/>
                          <w:color w:val="FFFF00"/>
                          <w:lang w:val="en-US" w:eastAsia="zh-CN"/>
                        </w:rPr>
                        <w:t>江苏</w:t>
                      </w:r>
                      <w:r>
                        <w:rPr>
                          <w:rFonts w:hint="eastAsia" w:eastAsia="宋体"/>
                          <w:b/>
                          <w:bCs/>
                          <w:color w:val="FFFF00"/>
                          <w:lang w:eastAsia="zh-CN"/>
                        </w:rPr>
                        <w:t>路</w:t>
                      </w:r>
                    </w:p>
                  </w:txbxContent>
                </v:textbox>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2574925</wp:posOffset>
                </wp:positionH>
                <wp:positionV relativeFrom="paragraph">
                  <wp:posOffset>1067435</wp:posOffset>
                </wp:positionV>
                <wp:extent cx="1298575" cy="360045"/>
                <wp:effectExtent l="0" t="0" r="0" b="0"/>
                <wp:wrapNone/>
                <wp:docPr id="31" name="文本框 12"/>
                <wp:cNvGraphicFramePr/>
                <a:graphic xmlns:a="http://schemas.openxmlformats.org/drawingml/2006/main">
                  <a:graphicData uri="http://schemas.microsoft.com/office/word/2010/wordprocessingShape">
                    <wps:wsp>
                      <wps:cNvSpPr txBox="1"/>
                      <wps:spPr>
                        <a:xfrm>
                          <a:off x="0" y="0"/>
                          <a:ext cx="1298575" cy="360045"/>
                        </a:xfrm>
                        <a:prstGeom prst="rect">
                          <a:avLst/>
                        </a:prstGeom>
                        <a:noFill/>
                        <a:ln>
                          <a:noFill/>
                        </a:ln>
                      </wps:spPr>
                      <wps:txbx>
                        <w:txbxContent>
                          <w:p>
                            <w:pPr>
                              <w:ind w:left="0" w:leftChars="0" w:firstLine="0" w:firstLineChars="0"/>
                              <w:jc w:val="distribute"/>
                              <w:rPr>
                                <w:rFonts w:hint="default" w:eastAsia="宋体"/>
                                <w:b/>
                                <w:bCs/>
                                <w:color w:val="FFFF00"/>
                                <w:lang w:val="en-US" w:eastAsia="zh-CN"/>
                              </w:rPr>
                            </w:pPr>
                            <w:r>
                              <w:rPr>
                                <w:rFonts w:hint="eastAsia"/>
                                <w:b/>
                                <w:bCs/>
                                <w:color w:val="FFFF00"/>
                                <w:lang w:val="en-US" w:eastAsia="zh-CN"/>
                              </w:rPr>
                              <w:t>锦绣大道</w:t>
                            </w:r>
                          </w:p>
                        </w:txbxContent>
                      </wps:txbx>
                      <wps:bodyPr vert="horz" wrap="square" anchor="t" anchorCtr="0" upright="1"/>
                    </wps:wsp>
                  </a:graphicData>
                </a:graphic>
              </wp:anchor>
            </w:drawing>
          </mc:Choice>
          <mc:Fallback>
            <w:pict>
              <v:shape id="文本框 12" o:spid="_x0000_s1026" o:spt="202" type="#_x0000_t202" style="position:absolute;left:0pt;margin-left:202.75pt;margin-top:84.05pt;height:28.35pt;width:102.25pt;z-index:251663360;mso-width-relative:page;mso-height-relative:page;" filled="f" stroked="f" coordsize="21600,21600" o:gfxdata="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FWXFjXAAAACwEAAA8AAAAAAAAAAQAgAAAAIgAAAGRy&#10;cy9kb3ducmV2LnhtbFBLAQIUABQAAAAIAIdO4kBfuuDUzQEAAIMDAAAOAAAAAAAAAAEAIAAAACYB&#10;AABkcnMvZTJvRG9jLnhtbFBLBQYAAAAABgAGAFkBAABlBQAAAAA=&#10;">
                <v:fill on="f" focussize="0,0"/>
                <v:stroke on="f"/>
                <v:imagedata o:title=""/>
                <o:lock v:ext="edit" aspectratio="f"/>
                <v:textbox>
                  <w:txbxContent>
                    <w:p>
                      <w:pPr>
                        <w:ind w:left="0" w:leftChars="0" w:firstLine="0" w:firstLineChars="0"/>
                        <w:jc w:val="distribute"/>
                        <w:rPr>
                          <w:rFonts w:hint="default" w:eastAsia="宋体"/>
                          <w:b/>
                          <w:bCs/>
                          <w:color w:val="FFFF00"/>
                          <w:lang w:val="en-US" w:eastAsia="zh-CN"/>
                        </w:rPr>
                      </w:pPr>
                      <w:r>
                        <w:rPr>
                          <w:rFonts w:hint="eastAsia"/>
                          <w:b/>
                          <w:bCs/>
                          <w:color w:val="FFFF00"/>
                          <w:lang w:val="en-US" w:eastAsia="zh-CN"/>
                        </w:rPr>
                        <w:t>锦绣大道</w:t>
                      </w:r>
                    </w:p>
                  </w:txbxContent>
                </v:textbox>
              </v:shape>
            </w:pict>
          </mc:Fallback>
        </mc:AlternateContent>
      </w:r>
      <w:r>
        <w:rPr>
          <w:rFonts w:hint="eastAsia"/>
          <w:color w:val="auto"/>
          <w:highlight w:val="none"/>
          <w:lang w:val="en-US" w:eastAsia="zh-CN"/>
        </w:rPr>
        <w:drawing>
          <wp:inline distT="0" distB="0" distL="114300" distR="114300">
            <wp:extent cx="5278120" cy="3952240"/>
            <wp:effectExtent l="0" t="0" r="17780" b="10160"/>
            <wp:docPr id="231" name="图片 231" descr="2022121916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20221219165834"/>
                    <pic:cNvPicPr>
                      <a:picLocks noChangeAspect="1"/>
                    </pic:cNvPicPr>
                  </pic:nvPicPr>
                  <pic:blipFill>
                    <a:blip r:embed="rId25"/>
                    <a:stretch>
                      <a:fillRect/>
                    </a:stretch>
                  </pic:blipFill>
                  <pic:spPr>
                    <a:xfrm>
                      <a:off x="0" y="0"/>
                      <a:ext cx="5278120" cy="39522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lang w:val="en-US" w:eastAsia="zh-CN"/>
        </w:rPr>
      </w:pPr>
      <w:r>
        <w:rPr>
          <w:rFonts w:hint="eastAsia"/>
          <w:b/>
          <w:bCs/>
          <w:color w:val="auto"/>
          <w:sz w:val="21"/>
          <w:szCs w:val="21"/>
          <w:lang w:val="en-US" w:eastAsia="zh-CN"/>
        </w:rPr>
        <w:t>图3.1-2  项目周边环境概况图</w:t>
      </w:r>
    </w:p>
    <w:p>
      <w:pPr>
        <w:pStyle w:val="5"/>
        <w:pageBreakBefore w:val="0"/>
        <w:widowControl w:val="0"/>
        <w:numPr>
          <w:ilvl w:val="0"/>
          <w:numId w:val="0"/>
        </w:numPr>
        <w:kinsoku/>
        <w:wordWrap/>
        <w:overflowPunct/>
        <w:topLinePunct w:val="0"/>
        <w:autoSpaceDE/>
        <w:autoSpaceDN/>
        <w:bidi w:val="0"/>
        <w:adjustRightInd/>
        <w:snapToGrid/>
        <w:spacing w:before="0" w:beforeLines="0"/>
        <w:ind w:leftChars="0"/>
        <w:textAlignment w:val="auto"/>
        <w:rPr>
          <w:rFonts w:hint="default"/>
          <w:color w:val="auto"/>
          <w:highlight w:val="none"/>
          <w:lang w:val="en-US"/>
        </w:rPr>
      </w:pPr>
      <w:r>
        <w:rPr>
          <w:rFonts w:hint="eastAsia"/>
          <w:color w:val="auto"/>
          <w:lang w:val="en-US" w:eastAsia="zh-CN"/>
        </w:rPr>
        <w:t>3.1.3项目建设内容及规模</w:t>
      </w:r>
    </w:p>
    <w:p>
      <w:pPr>
        <w:pageBreakBefore w:val="0"/>
        <w:widowControl w:val="0"/>
        <w:kinsoku/>
        <w:wordWrap/>
        <w:overflowPunct/>
        <w:topLinePunct w:val="0"/>
        <w:autoSpaceDE/>
        <w:autoSpaceDN/>
        <w:bidi w:val="0"/>
        <w:adjustRightInd/>
        <w:snapToGrid/>
        <w:spacing w:line="360" w:lineRule="auto"/>
        <w:ind w:firstLine="480"/>
        <w:textAlignment w:val="auto"/>
        <w:rPr>
          <w:rFonts w:hint="default"/>
          <w:color w:val="auto"/>
          <w:highlight w:val="none"/>
          <w:lang w:val="en-US" w:eastAsia="zh-CN"/>
        </w:rPr>
      </w:pPr>
      <w:r>
        <w:rPr>
          <w:rFonts w:hint="eastAsia"/>
          <w:color w:val="auto"/>
          <w:highlight w:val="none"/>
        </w:rPr>
        <w:t>本项目</w:t>
      </w:r>
      <w:r>
        <w:rPr>
          <w:rFonts w:hint="eastAsia"/>
          <w:color w:val="auto"/>
          <w:highlight w:val="none"/>
          <w:lang w:val="en-US" w:eastAsia="zh-CN"/>
        </w:rPr>
        <w:t>占</w:t>
      </w:r>
      <w:r>
        <w:rPr>
          <w:rFonts w:hint="eastAsia"/>
          <w:color w:val="auto"/>
          <w:highlight w:val="none"/>
        </w:rPr>
        <w:t>地面积约</w:t>
      </w:r>
      <w:r>
        <w:rPr>
          <w:rFonts w:hint="eastAsia"/>
          <w:color w:val="auto"/>
          <w:highlight w:val="none"/>
          <w:lang w:val="en-US" w:eastAsia="zh-CN"/>
        </w:rPr>
        <w:t>118亩，分为安徽省立医院（中国科大附一院）滨湖院区项目用地和安徽省立医院（中国科大附一院）滨湖老年保健中心项目用地。</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highlight w:val="none"/>
          <w:lang w:val="en-US" w:eastAsia="zh-CN"/>
        </w:rPr>
      </w:pPr>
      <w:r>
        <w:rPr>
          <w:rFonts w:hint="eastAsia"/>
          <w:color w:val="auto"/>
          <w:highlight w:val="none"/>
          <w:lang w:val="en-US" w:eastAsia="zh-CN"/>
        </w:rPr>
        <w:t>安徽省立医院（中国科大附一院）滨湖院区项目已经于2022年2月23日经合肥市发展和改革委员会备案，项目代码为2022-340100-04-01-518613。备案文号为合发改备案【2022】10号。该项目备案包含了安徽省立医院（中国科大附一院）滨湖老年保健中心项目，两个项目统一规划建设。</w:t>
      </w:r>
    </w:p>
    <w:p>
      <w:pPr>
        <w:pageBreakBefore w:val="0"/>
        <w:widowControl w:val="0"/>
        <w:kinsoku/>
        <w:wordWrap/>
        <w:overflowPunct/>
        <w:topLinePunct w:val="0"/>
        <w:autoSpaceDE/>
        <w:autoSpaceDN/>
        <w:bidi w:val="0"/>
        <w:adjustRightInd/>
        <w:snapToGrid/>
        <w:spacing w:line="360" w:lineRule="auto"/>
        <w:ind w:firstLine="480"/>
        <w:textAlignment w:val="auto"/>
        <w:rPr>
          <w:rFonts w:hint="default"/>
          <w:color w:val="auto"/>
          <w:highlight w:val="none"/>
          <w:lang w:val="en-US" w:eastAsia="zh-CN"/>
        </w:rPr>
      </w:pPr>
      <w:r>
        <w:rPr>
          <w:rFonts w:hint="eastAsia"/>
          <w:color w:val="auto"/>
          <w:highlight w:val="none"/>
          <w:lang w:val="en-US" w:eastAsia="zh-CN"/>
        </w:rPr>
        <w:t>安徽省立医院（中国科大附一院）滨湖老年保健中心项目已经于2021年7月27日经安徽省发展和改革委员会审批通过，审批文号为皖发改投资函【2021】265号。项目代码为2104-340000-04-01-284280。</w:t>
      </w:r>
    </w:p>
    <w:p>
      <w:pPr>
        <w:pageBreakBefore w:val="0"/>
        <w:widowControl w:val="0"/>
        <w:kinsoku/>
        <w:wordWrap/>
        <w:overflowPunct/>
        <w:topLinePunct w:val="0"/>
        <w:autoSpaceDE/>
        <w:autoSpaceDN/>
        <w:bidi w:val="0"/>
        <w:adjustRightInd/>
        <w:snapToGrid/>
        <w:spacing w:line="360" w:lineRule="auto"/>
        <w:textAlignment w:val="auto"/>
        <w:rPr>
          <w:rFonts w:hint="eastAsia"/>
          <w:color w:val="auto"/>
          <w:highlight w:val="none"/>
          <w:lang w:val="en-US" w:eastAsia="zh-CN"/>
        </w:rPr>
      </w:pPr>
      <w:r>
        <w:rPr>
          <w:rFonts w:hint="eastAsia"/>
          <w:color w:val="auto"/>
          <w:highlight w:val="none"/>
          <w:lang w:val="en-US" w:eastAsia="zh-CN"/>
        </w:rPr>
        <w:t>项目的具体内容情况如下：</w:t>
      </w:r>
    </w:p>
    <w:p>
      <w:pPr>
        <w:pageBreakBefore w:val="0"/>
        <w:widowControl w:val="0"/>
        <w:kinsoku/>
        <w:wordWrap/>
        <w:overflowPunct/>
        <w:topLinePunct w:val="0"/>
        <w:autoSpaceDE/>
        <w:autoSpaceDN/>
        <w:bidi w:val="0"/>
        <w:adjustRightInd/>
        <w:snapToGrid/>
        <w:spacing w:line="360" w:lineRule="auto"/>
        <w:textAlignment w:val="auto"/>
        <w:rPr>
          <w:rFonts w:hint="eastAsia"/>
          <w:color w:val="auto"/>
          <w:highlight w:val="none"/>
          <w:lang w:val="en-US" w:eastAsia="zh-CN"/>
        </w:rPr>
      </w:pPr>
      <w:r>
        <w:rPr>
          <w:rFonts w:hint="eastAsia"/>
          <w:color w:val="auto"/>
          <w:highlight w:val="none"/>
          <w:lang w:val="en-US" w:eastAsia="zh-CN"/>
        </w:rPr>
        <w:t>安徽省立医院（中国科大附一院）滨湖院区项目：项目总投资约为237100万元，总建筑面积约为30.9万平方米，其中地下建筑面积约为11.877万平方米，设有床位1200张。</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highlight w:val="none"/>
          <w:lang w:val="en-US" w:eastAsia="zh-CN"/>
        </w:rPr>
      </w:pPr>
      <w:r>
        <w:rPr>
          <w:rFonts w:hint="eastAsia"/>
          <w:color w:val="auto"/>
          <w:highlight w:val="none"/>
          <w:lang w:val="en-US" w:eastAsia="zh-CN"/>
        </w:rPr>
        <w:t>安徽省立医院（中国科大附一院）滨湖老年保健中心项目：项目总投资约为37700万元，总建筑面积约为41000平方米，其中地下建筑面积约为11000平方米，设有床位300张。</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highlight w:val="none"/>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highlight w:val="none"/>
          <w:lang w:val="en-US" w:eastAsia="zh-CN"/>
        </w:rPr>
        <w:t>拟建项目主要建设内容见表</w:t>
      </w:r>
      <w:r>
        <w:rPr>
          <w:rFonts w:hint="eastAsia"/>
          <w:color w:val="auto"/>
          <w:highlight w:val="none"/>
          <w:lang w:val="en-US" w:eastAsia="zh-CN"/>
        </w:rPr>
        <w:t>3</w:t>
      </w:r>
      <w:r>
        <w:rPr>
          <w:rFonts w:hint="eastAsia" w:eastAsia="宋体"/>
          <w:color w:val="auto"/>
          <w:highlight w:val="none"/>
          <w:lang w:val="en-US" w:eastAsia="zh-CN"/>
        </w:rPr>
        <w:t>.1-1。</w:t>
      </w:r>
    </w:p>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outlineLvl w:val="9"/>
        <w:rPr>
          <w:rFonts w:hint="default" w:eastAsia="宋体"/>
          <w:b/>
          <w:bCs/>
          <w:color w:val="auto"/>
          <w:sz w:val="21"/>
          <w:szCs w:val="21"/>
          <w:lang w:val="en-US" w:eastAsia="zh-CN"/>
        </w:rPr>
      </w:pPr>
      <w:r>
        <w:rPr>
          <w:rFonts w:hint="eastAsia"/>
          <w:b/>
          <w:bCs/>
          <w:color w:val="auto"/>
          <w:sz w:val="21"/>
          <w:szCs w:val="21"/>
          <w:lang w:val="en-US" w:eastAsia="zh-CN"/>
        </w:rPr>
        <w:t>表3.1-1  建设项目组成一览表</w:t>
      </w:r>
    </w:p>
    <w:tbl>
      <w:tblPr>
        <w:tblStyle w:val="48"/>
        <w:tblW w:w="89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059"/>
        <w:gridCol w:w="1183"/>
        <w:gridCol w:w="4136"/>
        <w:gridCol w:w="1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类别</w:t>
            </w: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单项工程名称</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工程建设内容</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工程规模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73"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主体工程</w:t>
            </w: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门急诊医技楼</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一层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设有</w:t>
            </w:r>
            <w:r>
              <w:rPr>
                <w:rFonts w:hint="default" w:ascii="Times New Roman" w:hAnsi="Times New Roman" w:eastAsia="宋体" w:cs="Times New Roman"/>
                <w:color w:val="auto"/>
                <w:kern w:val="0"/>
                <w:sz w:val="21"/>
                <w:szCs w:val="21"/>
                <w:lang w:val="en-US" w:eastAsia="zh-CN" w:bidi="ar-SA"/>
              </w:rPr>
              <w:t>门诊大厅、门诊药房、挂号收费、影像中心、功能检查中心、急诊急救科、120 呼叫中心、消防控制室、出入院办理大厅、营养厨房与餐厅</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总建筑面积约为96530.0m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，总高度23.9m，首层高约为5.7m，二至5层高约为4.5m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二层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门诊单元、儿科、楼层服务中心，检验中心、病理科、急诊留观</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三层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门诊单元、超声中心、功能检查、中心消毒供应室、输血科、日间手术室、介入中心</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四层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门诊单元、手术中心、综合 ICU、NICU</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五层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门诊单元，生殖中心、内镜中心、产房、净化机房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拓展住院部大楼</w:t>
            </w:r>
            <w:r>
              <w:rPr>
                <w:rFonts w:hint="eastAsia" w:ascii="Times New Roman" w:hAnsi="Times New Roman" w:eastAsia="宋体" w:cs="Times New Roman"/>
                <w:color w:val="auto"/>
                <w:kern w:val="0"/>
                <w:sz w:val="21"/>
                <w:szCs w:val="21"/>
                <w:lang w:val="en-US" w:eastAsia="zh-CN" w:bidi="ar-SA"/>
              </w:rPr>
              <w:t>（北侧）</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六</w:t>
            </w:r>
            <w:r>
              <w:rPr>
                <w:rFonts w:hint="default" w:ascii="Times New Roman" w:hAnsi="Times New Roman" w:eastAsia="宋体" w:cs="Times New Roman"/>
                <w:color w:val="auto"/>
                <w:kern w:val="0"/>
                <w:sz w:val="21"/>
                <w:szCs w:val="21"/>
                <w:lang w:val="en-US" w:eastAsia="zh-CN" w:bidi="ar-SA"/>
              </w:rPr>
              <w:t>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为架空层，设有屋顶花园、住院部门厅</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总建筑面积约为12395.0m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，总高度50.8m，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七层~十一</w:t>
            </w:r>
            <w:r>
              <w:rPr>
                <w:rFonts w:hint="default" w:ascii="Times New Roman" w:hAnsi="Times New Roman" w:eastAsia="宋体" w:cs="Times New Roman"/>
                <w:color w:val="auto"/>
                <w:kern w:val="0"/>
                <w:sz w:val="21"/>
                <w:szCs w:val="21"/>
                <w:lang w:val="en-US" w:eastAsia="zh-CN" w:bidi="ar-SA"/>
              </w:rPr>
              <w:t>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为拓展住院病房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综合住院部大楼</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六</w:t>
            </w:r>
            <w:r>
              <w:rPr>
                <w:rFonts w:hint="default" w:ascii="Times New Roman" w:hAnsi="Times New Roman" w:eastAsia="宋体" w:cs="Times New Roman"/>
                <w:color w:val="auto"/>
                <w:kern w:val="0"/>
                <w:sz w:val="21"/>
                <w:szCs w:val="21"/>
                <w:lang w:val="en-US" w:eastAsia="zh-CN" w:bidi="ar-SA"/>
              </w:rPr>
              <w:t>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为架空层、屋顶设置花园</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总建筑面积约为26720.0m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，总高度90.8m，六层架空层高约为7.0m，七至二十一层高约为4.0m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七层~二十一</w:t>
            </w:r>
            <w:r>
              <w:rPr>
                <w:rFonts w:hint="default" w:ascii="Times New Roman" w:hAnsi="Times New Roman" w:eastAsia="宋体" w:cs="Times New Roman"/>
                <w:color w:val="auto"/>
                <w:kern w:val="0"/>
                <w:sz w:val="21"/>
                <w:szCs w:val="21"/>
                <w:lang w:val="en-US" w:eastAsia="zh-CN" w:bidi="ar-SA"/>
              </w:rPr>
              <w:t>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为住院病房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妇幼保健中心大楼</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六层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为架空层、屋顶设置花园</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总建筑面积约为19700.0m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，总高度74.8m，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七层~二十七</w:t>
            </w:r>
            <w:r>
              <w:rPr>
                <w:rFonts w:hint="default" w:ascii="Times New Roman" w:hAnsi="Times New Roman" w:eastAsia="宋体" w:cs="Times New Roman"/>
                <w:color w:val="auto"/>
                <w:kern w:val="0"/>
                <w:sz w:val="21"/>
                <w:szCs w:val="21"/>
                <w:lang w:val="en-US" w:eastAsia="zh-CN" w:bidi="ar-SA"/>
              </w:rPr>
              <w:t>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为住院病房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地下一层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zh-CN" w:eastAsia="zh-CN" w:bidi="ar-SA"/>
              </w:rPr>
              <w:t>为药库、放疗中心、核医学科、总务库房、高压氧舱、锅炉房、门诊地下大厅、住院部地下接驳大厅、设备用房、机动车停车库</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层高6.0m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地下二层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为机动车停车库、人防救护急救医院、垃圾处理站、设备用房</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层高4.8m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特殊门诊楼</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特殊门诊</w:t>
            </w:r>
            <w:r>
              <w:rPr>
                <w:rFonts w:hint="eastAsia"/>
                <w:color w:val="auto"/>
                <w:sz w:val="21"/>
                <w:szCs w:val="21"/>
                <w:lang w:eastAsia="zh-CN"/>
              </w:rPr>
              <w:t>（感染门诊）</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总建筑面积约为4345.0m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，总高度14.8m，一层层高5.7m，二层、三层层高4.5m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二层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留观用房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三层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预留发展用房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综合管理中心</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大厅、档案中心</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总建筑面积约为27500.0m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，总高度78.3m，一层层高约为5.7m，二层至四层层高约为4.5m，五层架空层层高约为7.0m，五至十八层层高约为4.0m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二层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职工餐厅和厨房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三层~四层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会议中心</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五层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架空层</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六层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为信息中心</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七层~十三层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为综合行政办公室</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十四~十八层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专家宿舍</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老年保健中心</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default" w:ascii="Times New Roman" w:hAnsi="Times New Roman" w:eastAsia="宋体" w:cs="Times New Roman"/>
                <w:color w:val="auto"/>
                <w:kern w:val="0"/>
                <w:sz w:val="21"/>
                <w:szCs w:val="21"/>
                <w:lang w:val="zh-CN" w:eastAsia="zh-CN" w:bidi="ar-SA"/>
              </w:rPr>
              <w:t>为门诊大厅、影像科、检验科、功能检查、康复理疗科</w:t>
            </w:r>
          </w:p>
        </w:tc>
        <w:tc>
          <w:tcPr>
            <w:tcW w:w="1814"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总建筑面积约为31000.0m</w:t>
            </w:r>
            <w:r>
              <w:rPr>
                <w:rFonts w:hint="eastAsia" w:cs="Times New Roman"/>
                <w:color w:val="auto"/>
                <w:kern w:val="0"/>
                <w:sz w:val="21"/>
                <w:szCs w:val="21"/>
                <w:vertAlign w:val="superscript"/>
                <w:lang w:val="en-US" w:eastAsia="zh-CN" w:bidi="ar-SA"/>
              </w:rPr>
              <w:t>2</w:t>
            </w:r>
            <w:r>
              <w:rPr>
                <w:rFonts w:hint="eastAsia" w:cs="Times New Roman"/>
                <w:color w:val="auto"/>
                <w:kern w:val="0"/>
                <w:sz w:val="21"/>
                <w:szCs w:val="21"/>
                <w:lang w:val="en-US" w:eastAsia="zh-CN" w:bidi="ar-SA"/>
              </w:rPr>
              <w:t>，总高度63.5m，一层层高约为5.7m，二层层高约为4.5m，三层架空层层高约为7.0m，四至十四层层高约为4.2m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二层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default" w:ascii="Times New Roman" w:hAnsi="Times New Roman" w:eastAsia="宋体" w:cs="Times New Roman"/>
                <w:color w:val="auto"/>
                <w:kern w:val="0"/>
                <w:sz w:val="21"/>
                <w:szCs w:val="21"/>
                <w:lang w:val="zh-CN" w:eastAsia="zh-CN" w:bidi="ar-SA"/>
              </w:rPr>
              <w:t>为高端体检、特需门诊科、保健办</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三层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default" w:ascii="Times New Roman" w:hAnsi="Times New Roman" w:eastAsia="宋体" w:cs="Times New Roman"/>
                <w:color w:val="auto"/>
                <w:kern w:val="0"/>
                <w:sz w:val="21"/>
                <w:szCs w:val="21"/>
                <w:lang w:val="zh-CN" w:eastAsia="zh-CN" w:bidi="ar-SA"/>
              </w:rPr>
              <w:t>VIP 门诊、VIP 体检及屋顶花园</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四层~十四层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为住院病房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十五层</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zh-CN" w:eastAsia="zh-CN" w:bidi="ar-SA"/>
              </w:rPr>
            </w:pPr>
            <w:r>
              <w:rPr>
                <w:rFonts w:hint="eastAsia" w:ascii="Times New Roman" w:hAnsi="Times New Roman" w:eastAsia="宋体" w:cs="Times New Roman"/>
                <w:color w:val="auto"/>
                <w:kern w:val="0"/>
                <w:sz w:val="21"/>
                <w:szCs w:val="21"/>
                <w:lang w:val="zh-CN" w:eastAsia="zh-CN" w:bidi="ar-SA"/>
              </w:rPr>
              <w:t>为屋顶机房及营养厨房</w:t>
            </w:r>
          </w:p>
        </w:tc>
        <w:tc>
          <w:tcPr>
            <w:tcW w:w="1814"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3"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辅助工程</w:t>
            </w: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液氧站</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不设制氧站，外购液态氧，医院设有4个5m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 xml:space="preserve"> 的储氧罐，位于项目区西侧</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建筑面积200m</w:t>
            </w:r>
            <w:r>
              <w:rPr>
                <w:rFonts w:hint="default" w:ascii="Times New Roman" w:hAnsi="Times New Roman" w:eastAsia="宋体" w:cs="Times New Roman"/>
                <w:color w:val="auto"/>
                <w:kern w:val="0"/>
                <w:sz w:val="21"/>
                <w:szCs w:val="21"/>
                <w:vertAlign w:val="superscript"/>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停车位</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包括机动车停车位和非机动车停车位</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设有机动车停车位</w:t>
            </w:r>
            <w:r>
              <w:rPr>
                <w:rFonts w:hint="eastAsia" w:ascii="Times New Roman" w:hAnsi="Times New Roman" w:eastAsia="宋体" w:cs="Times New Roman"/>
                <w:color w:val="auto"/>
                <w:kern w:val="0"/>
                <w:sz w:val="21"/>
                <w:szCs w:val="21"/>
                <w:lang w:val="en-US" w:eastAsia="zh-CN" w:bidi="ar-SA"/>
              </w:rPr>
              <w:t>1930</w:t>
            </w:r>
            <w:r>
              <w:rPr>
                <w:rFonts w:hint="default" w:ascii="Times New Roman" w:hAnsi="Times New Roman" w:eastAsia="宋体" w:cs="Times New Roman"/>
                <w:color w:val="auto"/>
                <w:kern w:val="0"/>
                <w:sz w:val="21"/>
                <w:szCs w:val="21"/>
                <w:lang w:val="en-US" w:eastAsia="zh-CN" w:bidi="ar-SA"/>
              </w:rPr>
              <w:t>辆（地上</w:t>
            </w:r>
            <w:r>
              <w:rPr>
                <w:rFonts w:hint="eastAsia" w:cs="Times New Roman"/>
                <w:color w:val="auto"/>
                <w:kern w:val="0"/>
                <w:sz w:val="21"/>
                <w:szCs w:val="21"/>
                <w:lang w:val="en-US" w:eastAsia="zh-CN" w:bidi="ar-SA"/>
              </w:rPr>
              <w:t>75</w:t>
            </w:r>
            <w:r>
              <w:rPr>
                <w:rFonts w:hint="default" w:ascii="Times New Roman" w:hAnsi="Times New Roman" w:eastAsia="宋体" w:cs="Times New Roman"/>
                <w:color w:val="auto"/>
                <w:kern w:val="0"/>
                <w:sz w:val="21"/>
                <w:szCs w:val="21"/>
                <w:lang w:val="en-US" w:eastAsia="zh-CN" w:bidi="ar-SA"/>
              </w:rPr>
              <w:t>辆、地下</w:t>
            </w:r>
            <w:r>
              <w:rPr>
                <w:rFonts w:hint="eastAsia" w:cs="Times New Roman"/>
                <w:color w:val="auto"/>
                <w:kern w:val="0"/>
                <w:sz w:val="21"/>
                <w:szCs w:val="21"/>
                <w:lang w:val="en-US" w:eastAsia="zh-CN" w:bidi="ar-SA"/>
              </w:rPr>
              <w:t>1855</w:t>
            </w:r>
            <w:r>
              <w:rPr>
                <w:rFonts w:hint="default" w:ascii="Times New Roman" w:hAnsi="Times New Roman" w:eastAsia="宋体" w:cs="Times New Roman"/>
                <w:color w:val="auto"/>
                <w:kern w:val="0"/>
                <w:sz w:val="21"/>
                <w:szCs w:val="21"/>
                <w:lang w:val="en-US" w:eastAsia="zh-CN" w:bidi="ar-SA"/>
              </w:rPr>
              <w:t>辆），</w:t>
            </w:r>
            <w:r>
              <w:rPr>
                <w:rFonts w:hint="eastAsia" w:ascii="Times New Roman" w:hAnsi="Times New Roman" w:eastAsia="宋体" w:cs="Times New Roman"/>
                <w:color w:val="auto"/>
                <w:kern w:val="0"/>
                <w:sz w:val="21"/>
                <w:szCs w:val="21"/>
                <w:lang w:val="en-US" w:eastAsia="zh-CN" w:bidi="ar-SA"/>
              </w:rPr>
              <w:t>非机动车停车位6370辆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73"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公</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程</w:t>
            </w: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供水</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医院用水</w:t>
            </w:r>
            <w:r>
              <w:rPr>
                <w:rFonts w:hint="eastAsia" w:ascii="Times New Roman" w:hAnsi="Times New Roman" w:eastAsia="宋体" w:cs="Times New Roman"/>
                <w:color w:val="auto"/>
                <w:kern w:val="0"/>
                <w:sz w:val="21"/>
                <w:szCs w:val="21"/>
                <w:lang w:val="en-US" w:eastAsia="zh-CN" w:bidi="ar-SA"/>
              </w:rPr>
              <w:t>由</w:t>
            </w:r>
            <w:r>
              <w:rPr>
                <w:rFonts w:hint="default" w:ascii="Times New Roman" w:hAnsi="Times New Roman" w:eastAsia="宋体" w:cs="Times New Roman"/>
                <w:color w:val="auto"/>
                <w:kern w:val="0"/>
                <w:sz w:val="21"/>
                <w:szCs w:val="21"/>
                <w:lang w:val="en-US" w:eastAsia="zh-CN" w:bidi="ar-SA"/>
              </w:rPr>
              <w:t>市政供给，设置生活水泵房</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消防水泵房，位于医院的地下一层</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年用水量588453m3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排水</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排水采用雨、污分流制，雨水经雨水管汇集后，排至市政雨水管网后排至</w:t>
            </w:r>
            <w:r>
              <w:rPr>
                <w:rFonts w:hint="eastAsia" w:ascii="Times New Roman" w:hAnsi="Times New Roman" w:eastAsia="宋体" w:cs="Times New Roman"/>
                <w:color w:val="auto"/>
                <w:kern w:val="0"/>
                <w:sz w:val="21"/>
                <w:szCs w:val="21"/>
                <w:lang w:val="en-US" w:eastAsia="zh-CN" w:bidi="ar-SA"/>
              </w:rPr>
              <w:t>十五里河</w:t>
            </w:r>
            <w:r>
              <w:rPr>
                <w:rFonts w:hint="default" w:ascii="Times New Roman" w:hAnsi="Times New Roman" w:eastAsia="宋体" w:cs="Times New Roman"/>
                <w:color w:val="auto"/>
                <w:kern w:val="0"/>
                <w:sz w:val="21"/>
                <w:szCs w:val="21"/>
                <w:lang w:val="en-US" w:eastAsia="zh-CN" w:bidi="ar-SA"/>
              </w:rPr>
              <w:t>；医院各类废水经预处理后由院区污水处理站处理达GB18466-2005中表2预处理标准后经市政污水管网排入</w:t>
            </w:r>
            <w:r>
              <w:rPr>
                <w:rFonts w:hint="eastAsia" w:ascii="Times New Roman" w:hAnsi="Times New Roman" w:eastAsia="宋体" w:cs="Times New Roman"/>
                <w:color w:val="auto"/>
                <w:kern w:val="0"/>
                <w:sz w:val="21"/>
                <w:szCs w:val="21"/>
                <w:lang w:val="en-US" w:eastAsia="zh-CN" w:bidi="ar-SA"/>
              </w:rPr>
              <w:t>十五里河</w:t>
            </w:r>
            <w:r>
              <w:rPr>
                <w:rFonts w:hint="default" w:ascii="Times New Roman" w:hAnsi="Times New Roman" w:eastAsia="宋体" w:cs="Times New Roman"/>
                <w:color w:val="auto"/>
                <w:kern w:val="0"/>
                <w:sz w:val="21"/>
                <w:szCs w:val="21"/>
                <w:lang w:val="en-US" w:eastAsia="zh-CN" w:bidi="ar-SA"/>
              </w:rPr>
              <w:t>污水处理</w:t>
            </w:r>
            <w:r>
              <w:rPr>
                <w:rFonts w:hint="eastAsia" w:ascii="Times New Roman" w:hAnsi="Times New Roman" w:eastAsia="宋体" w:cs="Times New Roman"/>
                <w:color w:val="auto"/>
                <w:kern w:val="0"/>
                <w:sz w:val="21"/>
                <w:szCs w:val="21"/>
                <w:lang w:val="en-US" w:eastAsia="zh-CN" w:bidi="ar-SA"/>
              </w:rPr>
              <w:t>厂</w:t>
            </w:r>
            <w:r>
              <w:rPr>
                <w:rFonts w:hint="default" w:ascii="Times New Roman" w:hAnsi="Times New Roman" w:eastAsia="宋体" w:cs="Times New Roman"/>
                <w:color w:val="auto"/>
                <w:kern w:val="0"/>
                <w:sz w:val="21"/>
                <w:szCs w:val="21"/>
                <w:lang w:val="en-US" w:eastAsia="zh-CN" w:bidi="ar-SA"/>
              </w:rPr>
              <w:t>处理达标后排入</w:t>
            </w:r>
            <w:r>
              <w:rPr>
                <w:rFonts w:hint="eastAsia" w:ascii="Times New Roman" w:hAnsi="Times New Roman" w:eastAsia="宋体" w:cs="Times New Roman"/>
                <w:color w:val="auto"/>
                <w:kern w:val="0"/>
                <w:sz w:val="21"/>
                <w:szCs w:val="21"/>
                <w:lang w:val="en-US" w:eastAsia="zh-CN" w:bidi="ar-SA"/>
              </w:rPr>
              <w:t>十五里</w:t>
            </w:r>
            <w:r>
              <w:rPr>
                <w:rFonts w:hint="default" w:ascii="Times New Roman" w:hAnsi="Times New Roman" w:eastAsia="宋体" w:cs="Times New Roman"/>
                <w:color w:val="auto"/>
                <w:kern w:val="0"/>
                <w:sz w:val="21"/>
                <w:szCs w:val="21"/>
                <w:lang w:val="en-US" w:eastAsia="zh-CN" w:bidi="ar-SA"/>
              </w:rPr>
              <w:t>河</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年排废水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391666.9m3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供电</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从市政电源接入，</w:t>
            </w:r>
            <w:r>
              <w:rPr>
                <w:rFonts w:hint="eastAsia" w:ascii="Times New Roman" w:hAnsi="Times New Roman" w:eastAsia="宋体" w:cs="Times New Roman"/>
                <w:color w:val="auto"/>
                <w:kern w:val="0"/>
                <w:sz w:val="21"/>
                <w:szCs w:val="21"/>
                <w:lang w:val="en-US" w:eastAsia="zh-CN" w:bidi="ar-SA"/>
              </w:rPr>
              <w:t>在地下一层设置2座10KV高压配电房，另设有8座10/0.4kV变配电所</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项目变压器总装机</w:t>
            </w:r>
            <w:r>
              <w:rPr>
                <w:rFonts w:hint="default" w:ascii="Times New Roman" w:hAnsi="Times New Roman" w:eastAsia="宋体" w:cs="Times New Roman"/>
                <w:color w:val="auto"/>
                <w:kern w:val="0"/>
                <w:sz w:val="21"/>
                <w:szCs w:val="21"/>
                <w:lang w:val="en-US" w:eastAsia="zh-CN" w:bidi="ar-SA"/>
              </w:rPr>
              <w:t>容量约为</w:t>
            </w:r>
            <w:r>
              <w:rPr>
                <w:rFonts w:hint="eastAsia" w:ascii="Times New Roman" w:hAnsi="Times New Roman" w:eastAsia="宋体" w:cs="Times New Roman"/>
                <w:color w:val="auto"/>
                <w:kern w:val="0"/>
                <w:sz w:val="21"/>
                <w:szCs w:val="21"/>
                <w:lang w:val="en-US" w:eastAsia="zh-CN" w:bidi="ar-SA"/>
              </w:rPr>
              <w:t>33750</w:t>
            </w:r>
            <w:r>
              <w:rPr>
                <w:rFonts w:hint="default" w:ascii="Times New Roman" w:hAnsi="Times New Roman" w:eastAsia="宋体" w:cs="Times New Roman"/>
                <w:color w:val="auto"/>
                <w:kern w:val="0"/>
                <w:sz w:val="21"/>
                <w:szCs w:val="21"/>
                <w:lang w:val="en-US" w:eastAsia="zh-CN" w:bidi="ar-SA"/>
              </w:rPr>
              <w:t>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消毒</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医院内消毒采用紫外线、蒸煮、84消毒及酒精消毒</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纯水制备</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项目在三所医院分别设置纯水制备系统（工艺为反渗透膜+EDI），每个医院设有一台0.5t/h的纯水制备系统</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三所医院每天需要的纯水量约为3t/d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蒸汽</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本项目的热源由市政余热蒸汽（0.7MPa）供给，减压计量后，经过换热器换热后提供空调热水和生活热水</w:t>
            </w:r>
            <w:r>
              <w:rPr>
                <w:rFonts w:hint="eastAsia" w:ascii="Times New Roman" w:hAnsi="Times New Roman" w:eastAsia="宋体" w:cs="Times New Roman"/>
                <w:color w:val="auto"/>
                <w:kern w:val="0"/>
                <w:sz w:val="21"/>
                <w:szCs w:val="21"/>
                <w:lang w:val="en-US" w:eastAsia="zh-CN" w:bidi="ar-SA"/>
              </w:rPr>
              <w:t>（项目拟设置3台蒸汽锅炉，）</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项目的蒸汽年使用量约为</w:t>
            </w:r>
            <w:r>
              <w:rPr>
                <w:rFonts w:hint="eastAsia" w:ascii="Times New Roman" w:hAnsi="Times New Roman" w:eastAsia="宋体" w:cs="Times New Roman"/>
                <w:color w:val="auto"/>
                <w:kern w:val="0"/>
                <w:sz w:val="21"/>
                <w:szCs w:val="21"/>
                <w:lang w:val="en-US" w:eastAsia="zh-CN" w:bidi="ar-SA"/>
              </w:rPr>
              <w:t>52560</w:t>
            </w:r>
            <w:r>
              <w:rPr>
                <w:rFonts w:hint="default" w:ascii="Times New Roman" w:hAnsi="Times New Roman" w:eastAsia="宋体" w:cs="Times New Roman"/>
                <w:color w:val="auto"/>
                <w:kern w:val="0"/>
                <w:sz w:val="21"/>
                <w:szCs w:val="21"/>
                <w:lang w:val="en-US" w:eastAsia="zh-CN" w:bidi="ar-S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制冷</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项目冷源采用电制冷机组，总冷负荷估算约为21600kW，选用5台离心式水冷机组及1台螺杆冷水机组</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供热</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总热负荷估算约为9750kW，选用5台燃气热水锅炉，提供热水</w:t>
            </w:r>
            <w:r>
              <w:rPr>
                <w:rFonts w:hint="eastAsia" w:cs="Times New Roman"/>
                <w:color w:val="auto"/>
                <w:kern w:val="0"/>
                <w:sz w:val="21"/>
                <w:szCs w:val="21"/>
                <w:lang w:val="en-US" w:eastAsia="zh-CN" w:bidi="ar-SA"/>
              </w:rPr>
              <w:t>及制暖</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柴油发电机房</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位于地下一层，为院区停电时应急和消防使用，拟设2</w:t>
            </w:r>
            <w:r>
              <w:rPr>
                <w:rFonts w:hint="eastAsia" w:ascii="Times New Roman" w:hAnsi="Times New Roman" w:eastAsia="宋体" w:cs="Times New Roman"/>
                <w:color w:val="auto"/>
                <w:kern w:val="0"/>
                <w:sz w:val="21"/>
                <w:szCs w:val="21"/>
                <w:lang w:val="en-US" w:eastAsia="zh-CN" w:bidi="ar-SA"/>
              </w:rPr>
              <w:t>座</w:t>
            </w:r>
            <w:r>
              <w:rPr>
                <w:rFonts w:hint="default" w:ascii="Times New Roman" w:hAnsi="Times New Roman" w:eastAsia="宋体" w:cs="Times New Roman"/>
                <w:color w:val="auto"/>
                <w:kern w:val="0"/>
                <w:sz w:val="21"/>
                <w:szCs w:val="21"/>
                <w:lang w:val="en-US" w:eastAsia="zh-CN" w:bidi="ar-SA"/>
              </w:rPr>
              <w:t>柴油发电机</w:t>
            </w:r>
            <w:r>
              <w:rPr>
                <w:rFonts w:hint="eastAsia" w:ascii="Times New Roman" w:hAnsi="Times New Roman" w:eastAsia="宋体" w:cs="Times New Roman"/>
                <w:color w:val="auto"/>
                <w:kern w:val="0"/>
                <w:sz w:val="21"/>
                <w:szCs w:val="21"/>
                <w:lang w:val="en-US" w:eastAsia="zh-CN" w:bidi="ar-SA"/>
              </w:rPr>
              <w:t>房（共4台总功率为1400W的柴油发电机组）</w:t>
            </w:r>
            <w:r>
              <w:rPr>
                <w:rFonts w:hint="default" w:ascii="Times New Roman" w:hAnsi="Times New Roman" w:eastAsia="宋体" w:cs="Times New Roman"/>
                <w:color w:val="auto"/>
                <w:kern w:val="0"/>
                <w:sz w:val="21"/>
                <w:szCs w:val="21"/>
                <w:lang w:val="en-US" w:eastAsia="zh-CN" w:bidi="ar-SA"/>
              </w:rPr>
              <w:t>，采用轻质柴油为燃料，柴油储存在发电机房内，发电机房设置送、排风系统，产生废气通入预留烟道至楼顶处进行排放</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每台发电机组均设有1立方米的储油箱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73"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程</w:t>
            </w:r>
          </w:p>
        </w:tc>
        <w:tc>
          <w:tcPr>
            <w:tcW w:w="1059" w:type="dxa"/>
            <w:vMerge w:val="restart"/>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气</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理</w:t>
            </w: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污水处理站废气</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建设地埋式污水处理站，污水处理站设密封盖板，盖板上预留进、出气口，把处于自由扩散状态的气体收集，收集后经1套生物滤池处理</w:t>
            </w:r>
            <w:r>
              <w:rPr>
                <w:rFonts w:hint="eastAsia" w:ascii="Times New Roman" w:hAnsi="Times New Roman" w:eastAsia="宋体" w:cs="Times New Roman"/>
                <w:color w:val="auto"/>
                <w:kern w:val="0"/>
                <w:sz w:val="21"/>
                <w:szCs w:val="21"/>
                <w:lang w:val="en-US" w:eastAsia="zh-CN" w:bidi="ar-SA"/>
              </w:rPr>
              <w:t>后经1根15m高排气筒高空排放</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风机风量3000m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食堂油烟</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油烟净化器处理后通过专用烟道</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风机风量60000m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柴油发电机废气</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应急柴油发电机配套的尾气净化系统（DPF黑烟颗粒捕捉器）处理，发电机房位于地下一层，内设排风系统，废气通过专用烟道从楼顶排放</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风机风量2000m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59"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183"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锅炉燃烧废气</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废水治理</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本项目各类医疗废水和生活污水经化粪池预处理后再经医院污水处理站进行处理。医院废水经处理达到《医疗机构水污染物排放标准》预处理标准后市政污水管网排入于湾污水处理</w:t>
            </w:r>
            <w:r>
              <w:rPr>
                <w:rFonts w:hint="eastAsia" w:ascii="Times New Roman" w:hAnsi="Times New Roman" w:eastAsia="宋体" w:cs="Times New Roman"/>
                <w:color w:val="auto"/>
                <w:kern w:val="0"/>
                <w:sz w:val="21"/>
                <w:szCs w:val="21"/>
                <w:lang w:val="en-US" w:eastAsia="zh-CN" w:bidi="ar-SA"/>
              </w:rPr>
              <w:t>厂</w:t>
            </w:r>
            <w:r>
              <w:rPr>
                <w:rFonts w:hint="default" w:ascii="Times New Roman" w:hAnsi="Times New Roman" w:eastAsia="宋体" w:cs="Times New Roman"/>
                <w:color w:val="auto"/>
                <w:kern w:val="0"/>
                <w:sz w:val="21"/>
                <w:szCs w:val="21"/>
                <w:lang w:val="en-US" w:eastAsia="zh-CN" w:bidi="ar-SA"/>
              </w:rPr>
              <w:t>，本项目不设置洗衣房</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污水站处理设计规模</w:t>
            </w:r>
            <w:r>
              <w:rPr>
                <w:rFonts w:hint="eastAsia" w:cs="Times New Roman"/>
                <w:color w:val="auto"/>
                <w:kern w:val="0"/>
                <w:sz w:val="21"/>
                <w:szCs w:val="21"/>
                <w:lang w:val="en-US" w:eastAsia="zh-CN" w:bidi="ar-SA"/>
              </w:rPr>
              <w:t>20</w:t>
            </w:r>
            <w:r>
              <w:rPr>
                <w:rFonts w:hint="default" w:ascii="Times New Roman" w:hAnsi="Times New Roman" w:eastAsia="宋体" w:cs="Times New Roman"/>
                <w:color w:val="auto"/>
                <w:kern w:val="0"/>
                <w:sz w:val="21"/>
                <w:szCs w:val="21"/>
                <w:lang w:val="en-US" w:eastAsia="zh-CN" w:bidi="ar-SA"/>
              </w:rPr>
              <w:t>00t/d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噪声治理</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优先选择低噪声设备，空调机组的风管上加柔性接管，水管上设橡胶减振接头，并在送风、回风、新风管上加消声器。通风机在进排风管上加消声。风机均采用减振台座，吊装风机箱设减振吊架。进、出风机的风管上设柔性接管。空调机房、冷冻机房、水泵房及配电房等设备用房均作吸声处理。优先选择低噪声冷却塔，采用折板式消声器进风，顶部风机设阻抗复合消声器，设减振基座</w:t>
            </w:r>
            <w:r>
              <w:rPr>
                <w:rFonts w:hint="eastAsia" w:ascii="Times New Roman" w:hAnsi="Times New Roman" w:eastAsia="宋体" w:cs="Times New Roman"/>
                <w:color w:val="auto"/>
                <w:kern w:val="0"/>
                <w:sz w:val="21"/>
                <w:szCs w:val="21"/>
                <w:lang w:val="en-US" w:eastAsia="zh-CN" w:bidi="ar-SA"/>
              </w:rPr>
              <w:t>、住院部隔声窗、骨科医院靠老年护理院隔声屏障等措施</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固废处置</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医疗废物经集中收集后，存放于医疗废物暂存间，并定期送往有资质单位处理，生活垃圾定期由环卫部门处理</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医疗废物暂存间位于</w:t>
            </w:r>
            <w:r>
              <w:rPr>
                <w:rFonts w:hint="eastAsia" w:cs="Times New Roman"/>
                <w:color w:val="auto"/>
                <w:kern w:val="0"/>
                <w:sz w:val="21"/>
                <w:szCs w:val="21"/>
                <w:lang w:val="en-US" w:eastAsia="zh-CN" w:bidi="ar-SA"/>
              </w:rPr>
              <w:t>项目地下二层西北角</w:t>
            </w:r>
            <w:r>
              <w:rPr>
                <w:rFonts w:hint="default" w:ascii="Times New Roman" w:hAnsi="Times New Roman" w:eastAsia="宋体" w:cs="Times New Roman"/>
                <w:color w:val="auto"/>
                <w:kern w:val="0"/>
                <w:sz w:val="21"/>
                <w:szCs w:val="21"/>
                <w:lang w:val="en-US" w:eastAsia="zh-CN" w:bidi="ar-SA"/>
              </w:rPr>
              <w:t>，建筑面积约为</w:t>
            </w:r>
            <w:r>
              <w:rPr>
                <w:rFonts w:hint="eastAsia" w:cs="Times New Roman"/>
                <w:color w:val="auto"/>
                <w:kern w:val="0"/>
                <w:sz w:val="21"/>
                <w:szCs w:val="21"/>
                <w:lang w:val="en-US" w:eastAsia="zh-CN" w:bidi="ar-SA"/>
              </w:rPr>
              <w:t>80</w:t>
            </w:r>
            <w:r>
              <w:rPr>
                <w:rFonts w:hint="default" w:ascii="Times New Roman" w:hAnsi="Times New Roman" w:eastAsia="宋体" w:cs="Times New Roman"/>
                <w:color w:val="auto"/>
                <w:kern w:val="0"/>
                <w:sz w:val="21"/>
                <w:szCs w:val="21"/>
                <w:lang w:val="en-US" w:eastAsia="zh-CN" w:bidi="ar-SA"/>
              </w:rPr>
              <w:t>m</w:t>
            </w:r>
            <w:r>
              <w:rPr>
                <w:rFonts w:hint="default" w:ascii="Times New Roman" w:hAnsi="Times New Roman" w:eastAsia="宋体" w:cs="Times New Roman"/>
                <w:color w:val="auto"/>
                <w:kern w:val="0"/>
                <w:sz w:val="21"/>
                <w:szCs w:val="21"/>
                <w:vertAlign w:val="superscript"/>
                <w:lang w:val="en-US" w:eastAsia="zh-CN" w:bidi="ar-SA"/>
              </w:rPr>
              <w:t>2</w:t>
            </w:r>
            <w:r>
              <w:rPr>
                <w:rFonts w:hint="default" w:ascii="Times New Roman" w:hAnsi="Times New Roman" w:eastAsia="宋体" w:cs="Times New Roman"/>
                <w:color w:val="auto"/>
                <w:kern w:val="0"/>
                <w:sz w:val="21"/>
                <w:szCs w:val="21"/>
                <w:lang w:val="en-US" w:eastAsia="zh-CN" w:bidi="ar-SA"/>
              </w:rPr>
              <w:t>，生活垃圾暂存间位于医疗废物间</w:t>
            </w:r>
            <w:r>
              <w:rPr>
                <w:rFonts w:hint="eastAsia" w:cs="Times New Roman"/>
                <w:color w:val="auto"/>
                <w:kern w:val="0"/>
                <w:sz w:val="21"/>
                <w:szCs w:val="21"/>
                <w:lang w:val="en-US" w:eastAsia="zh-CN" w:bidi="ar-SA"/>
              </w:rPr>
              <w:t>南侧</w:t>
            </w:r>
            <w:r>
              <w:rPr>
                <w:rFonts w:hint="default" w:ascii="Times New Roman" w:hAnsi="Times New Roman" w:eastAsia="宋体" w:cs="Times New Roman"/>
                <w:color w:val="auto"/>
                <w:kern w:val="0"/>
                <w:sz w:val="21"/>
                <w:szCs w:val="21"/>
                <w:lang w:val="en-US" w:eastAsia="zh-CN" w:bidi="ar-SA"/>
              </w:rPr>
              <w:t>，建筑面积约</w:t>
            </w:r>
            <w:r>
              <w:rPr>
                <w:rFonts w:hint="eastAsia" w:cs="Times New Roman"/>
                <w:color w:val="auto"/>
                <w:kern w:val="0"/>
                <w:sz w:val="21"/>
                <w:szCs w:val="21"/>
                <w:lang w:val="en-US" w:eastAsia="zh-CN" w:bidi="ar-SA"/>
              </w:rPr>
              <w:t>8</w:t>
            </w:r>
            <w:r>
              <w:rPr>
                <w:rFonts w:hint="default" w:ascii="Times New Roman" w:hAnsi="Times New Roman" w:eastAsia="宋体" w:cs="Times New Roman"/>
                <w:color w:val="auto"/>
                <w:kern w:val="0"/>
                <w:sz w:val="21"/>
                <w:szCs w:val="21"/>
                <w:lang w:val="en-US" w:eastAsia="zh-CN" w:bidi="ar-SA"/>
              </w:rPr>
              <w:t>0m</w:t>
            </w:r>
            <w:r>
              <w:rPr>
                <w:rFonts w:hint="default" w:ascii="Times New Roman" w:hAnsi="Times New Roman" w:eastAsia="宋体" w:cs="Times New Roman"/>
                <w:color w:val="auto"/>
                <w:kern w:val="0"/>
                <w:sz w:val="21"/>
                <w:szCs w:val="21"/>
                <w:vertAlign w:val="superscript"/>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防渗</w:t>
            </w:r>
            <w:r>
              <w:rPr>
                <w:rFonts w:hint="default" w:ascii="Times New Roman" w:hAnsi="Times New Roman" w:eastAsia="宋体" w:cs="Times New Roman"/>
                <w:color w:val="auto"/>
                <w:kern w:val="0"/>
                <w:sz w:val="21"/>
                <w:szCs w:val="21"/>
                <w:lang w:val="en-US" w:eastAsia="zh-CN" w:bidi="ar-SA"/>
              </w:rPr>
              <w:t>措施</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医疗废物储存场所、化粪池、污水处理站</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73" w:type="dxa"/>
            <w:vMerge w:val="continue"/>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2242" w:type="dxa"/>
            <w:gridSpan w:val="2"/>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风险防控措施</w:t>
            </w:r>
          </w:p>
        </w:tc>
        <w:tc>
          <w:tcPr>
            <w:tcW w:w="4136"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新建一个500m</w:t>
            </w:r>
            <w:r>
              <w:rPr>
                <w:rFonts w:hint="eastAsia" w:ascii="Times New Roman" w:hAnsi="Times New Roman" w:eastAsia="宋体" w:cs="Times New Roman"/>
                <w:color w:val="auto"/>
                <w:kern w:val="0"/>
                <w:sz w:val="21"/>
                <w:szCs w:val="21"/>
                <w:vertAlign w:val="superscript"/>
                <w:lang w:val="en-US" w:eastAsia="zh-CN" w:bidi="ar-SA"/>
              </w:rPr>
              <w:t>3</w:t>
            </w:r>
            <w:r>
              <w:rPr>
                <w:rFonts w:hint="eastAsia" w:ascii="Times New Roman" w:hAnsi="Times New Roman" w:eastAsia="宋体" w:cs="Times New Roman"/>
                <w:color w:val="auto"/>
                <w:kern w:val="0"/>
                <w:sz w:val="21"/>
                <w:szCs w:val="21"/>
                <w:lang w:val="en-US" w:eastAsia="zh-CN" w:bidi="ar-SA"/>
              </w:rPr>
              <w:t>的</w:t>
            </w:r>
            <w:r>
              <w:rPr>
                <w:rFonts w:hint="default" w:ascii="Times New Roman" w:hAnsi="Times New Roman" w:eastAsia="宋体" w:cs="Times New Roman"/>
                <w:color w:val="auto"/>
                <w:kern w:val="0"/>
                <w:sz w:val="21"/>
                <w:szCs w:val="21"/>
                <w:lang w:val="en-US" w:eastAsia="zh-CN" w:bidi="ar-SA"/>
              </w:rPr>
              <w:t>应急事故池</w:t>
            </w:r>
          </w:p>
        </w:tc>
        <w:tc>
          <w:tcPr>
            <w:tcW w:w="1814" w:type="dxa"/>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bl>
    <w:p>
      <w:pPr>
        <w:keepNext w:val="0"/>
        <w:keepLines w:val="0"/>
        <w:pageBreakBefore w:val="0"/>
        <w:kinsoku/>
        <w:wordWrap/>
        <w:overflowPunct/>
        <w:topLinePunct w:val="0"/>
        <w:autoSpaceDE/>
        <w:autoSpaceDN/>
        <w:bidi w:val="0"/>
        <w:adjustRightInd/>
        <w:snapToGrid/>
        <w:spacing w:line="240" w:lineRule="auto"/>
        <w:ind w:left="0" w:leftChars="0" w:firstLine="0" w:firstLineChars="0"/>
        <w:rPr>
          <w:rFonts w:hint="eastAsia"/>
          <w:b/>
          <w:bCs/>
          <w:color w:val="auto"/>
          <w:sz w:val="21"/>
          <w:szCs w:val="21"/>
        </w:rPr>
      </w:pPr>
    </w:p>
    <w:p>
      <w:pPr>
        <w:keepNext w:val="0"/>
        <w:keepLines w:val="0"/>
        <w:pageBreakBefore w:val="0"/>
        <w:kinsoku/>
        <w:wordWrap/>
        <w:overflowPunct/>
        <w:topLinePunct w:val="0"/>
        <w:autoSpaceDE/>
        <w:autoSpaceDN/>
        <w:bidi w:val="0"/>
        <w:adjustRightInd/>
        <w:snapToGrid/>
        <w:spacing w:line="240" w:lineRule="auto"/>
        <w:ind w:left="0" w:leftChars="0" w:firstLine="0" w:firstLineChars="0"/>
        <w:rPr>
          <w:rFonts w:hint="eastAsia"/>
          <w:b/>
          <w:bCs/>
          <w:color w:val="auto"/>
          <w:sz w:val="21"/>
          <w:szCs w:val="21"/>
          <w:lang w:val="en-US" w:eastAsia="zh-CN"/>
        </w:rPr>
      </w:pPr>
      <w:r>
        <w:rPr>
          <w:rFonts w:hint="eastAsia"/>
          <w:b/>
          <w:bCs/>
          <w:color w:val="auto"/>
          <w:sz w:val="21"/>
          <w:szCs w:val="21"/>
        </w:rPr>
        <w:t>*注：</w:t>
      </w:r>
      <w:r>
        <w:rPr>
          <w:b/>
          <w:bCs/>
          <w:color w:val="auto"/>
          <w:sz w:val="21"/>
          <w:szCs w:val="21"/>
        </w:rPr>
        <w:t>项目运营</w:t>
      </w:r>
      <w:r>
        <w:rPr>
          <w:rFonts w:hint="eastAsia"/>
          <w:b/>
          <w:bCs/>
          <w:color w:val="auto"/>
          <w:sz w:val="21"/>
          <w:szCs w:val="21"/>
        </w:rPr>
        <w:t>过程中涉及的</w:t>
      </w:r>
      <w:r>
        <w:rPr>
          <w:b/>
          <w:bCs/>
          <w:color w:val="auto"/>
          <w:sz w:val="21"/>
          <w:szCs w:val="21"/>
        </w:rPr>
        <w:t>辐射影响，</w:t>
      </w:r>
      <w:r>
        <w:rPr>
          <w:rFonts w:hint="eastAsia"/>
          <w:b/>
          <w:bCs/>
          <w:color w:val="auto"/>
          <w:sz w:val="21"/>
          <w:szCs w:val="21"/>
          <w:lang w:val="en-US" w:eastAsia="zh-CN"/>
        </w:rPr>
        <w:t>不在本次评价范围内，需另行评价。</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auto"/>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auto"/>
        </w:rPr>
      </w:pPr>
      <w:r>
        <w:rPr>
          <w:rFonts w:hint="eastAsia"/>
          <w:color w:val="auto"/>
        </w:rPr>
        <w:t>项目主要经济技术指标见表</w:t>
      </w:r>
      <w:r>
        <w:rPr>
          <w:rFonts w:hint="eastAsia"/>
          <w:color w:val="auto"/>
          <w:lang w:val="en-US" w:eastAsia="zh-CN"/>
        </w:rPr>
        <w:t>3.1</w:t>
      </w:r>
      <w:r>
        <w:rPr>
          <w:rFonts w:hint="eastAsia"/>
          <w:color w:val="auto"/>
        </w:rPr>
        <w:t>-</w:t>
      </w:r>
      <w:r>
        <w:rPr>
          <w:rFonts w:hint="eastAsia"/>
          <w:color w:val="auto"/>
          <w:lang w:val="en-US" w:eastAsia="zh-CN"/>
        </w:rPr>
        <w:t>2</w:t>
      </w:r>
      <w:r>
        <w:rPr>
          <w:color w:val="auto"/>
        </w:rPr>
        <w:t>。</w:t>
      </w:r>
    </w:p>
    <w:p>
      <w:pPr>
        <w:spacing w:line="240" w:lineRule="auto"/>
        <w:ind w:left="0" w:leftChars="0" w:firstLine="0" w:firstLineChars="0"/>
        <w:jc w:val="center"/>
        <w:rPr>
          <w:rFonts w:hint="eastAsia" w:hAnsi="宋体"/>
          <w:b/>
          <w:color w:val="auto"/>
          <w:sz w:val="21"/>
          <w:szCs w:val="21"/>
        </w:rPr>
      </w:pPr>
      <w:r>
        <w:rPr>
          <w:rFonts w:hAnsi="宋体"/>
          <w:b/>
          <w:color w:val="auto"/>
          <w:sz w:val="21"/>
          <w:szCs w:val="21"/>
        </w:rPr>
        <w:t>表</w:t>
      </w:r>
      <w:r>
        <w:rPr>
          <w:rFonts w:hint="eastAsia" w:hAnsi="宋体"/>
          <w:b/>
          <w:color w:val="auto"/>
          <w:sz w:val="21"/>
          <w:szCs w:val="21"/>
          <w:lang w:val="en-US" w:eastAsia="zh-CN"/>
        </w:rPr>
        <w:t>3</w:t>
      </w:r>
      <w:r>
        <w:rPr>
          <w:rFonts w:hAnsi="宋体"/>
          <w:b/>
          <w:color w:val="auto"/>
          <w:sz w:val="21"/>
          <w:szCs w:val="21"/>
        </w:rPr>
        <w:t>.1-</w:t>
      </w:r>
      <w:r>
        <w:rPr>
          <w:rFonts w:hint="eastAsia" w:hAnsi="宋体"/>
          <w:b/>
          <w:color w:val="auto"/>
          <w:sz w:val="21"/>
          <w:szCs w:val="21"/>
          <w:lang w:val="en-US" w:eastAsia="zh-CN"/>
        </w:rPr>
        <w:t>2</w:t>
      </w:r>
      <w:r>
        <w:rPr>
          <w:rFonts w:hAnsi="宋体"/>
          <w:b/>
          <w:color w:val="auto"/>
          <w:sz w:val="21"/>
          <w:szCs w:val="21"/>
        </w:rPr>
        <w:t xml:space="preserve"> </w:t>
      </w:r>
      <w:r>
        <w:rPr>
          <w:rFonts w:hint="eastAsia" w:hAnsi="宋体"/>
          <w:b/>
          <w:color w:val="auto"/>
          <w:sz w:val="21"/>
          <w:szCs w:val="21"/>
          <w:lang w:eastAsia="zh-CN"/>
        </w:rPr>
        <w:t>安徽省立医院（中国科大附一院）滨湖院区</w:t>
      </w:r>
      <w:r>
        <w:rPr>
          <w:rFonts w:hAnsi="宋体"/>
          <w:b/>
          <w:color w:val="auto"/>
          <w:sz w:val="21"/>
          <w:szCs w:val="21"/>
        </w:rPr>
        <w:t>项目</w:t>
      </w:r>
      <w:r>
        <w:rPr>
          <w:rFonts w:hint="eastAsia" w:hAnsi="宋体"/>
          <w:b/>
          <w:color w:val="auto"/>
          <w:sz w:val="21"/>
          <w:szCs w:val="21"/>
        </w:rPr>
        <w:t>主要经济技术指标</w:t>
      </w:r>
    </w:p>
    <w:tbl>
      <w:tblPr>
        <w:tblStyle w:val="48"/>
        <w:tblW w:w="47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5"/>
        <w:gridCol w:w="817"/>
        <w:gridCol w:w="21"/>
        <w:gridCol w:w="1990"/>
        <w:gridCol w:w="1384"/>
        <w:gridCol w:w="1182"/>
        <w:gridCol w:w="2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名称</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数量</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单位</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eastAsia="zh-CN"/>
              </w:rPr>
              <w:t>总</w:t>
            </w:r>
            <w:r>
              <w:rPr>
                <w:rFonts w:hint="default" w:ascii="Times New Roman" w:hAnsi="Times New Roman" w:cs="Times New Roman"/>
                <w:color w:val="auto"/>
                <w:kern w:val="0"/>
                <w:sz w:val="21"/>
                <w:szCs w:val="21"/>
              </w:rPr>
              <w:t>用地面积</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80246.95</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eastAsia" w:cs="Times New Roman"/>
                <w:color w:val="auto"/>
                <w:kern w:val="0"/>
                <w:sz w:val="21"/>
                <w:szCs w:val="21"/>
                <w:lang w:eastAsia="zh-CN"/>
              </w:rPr>
              <w:t>总建筑</w:t>
            </w:r>
            <w:r>
              <w:rPr>
                <w:rFonts w:hint="default" w:ascii="Times New Roman" w:hAnsi="Times New Roman" w:cs="Times New Roman"/>
                <w:color w:val="auto"/>
                <w:kern w:val="0"/>
                <w:sz w:val="21"/>
                <w:szCs w:val="21"/>
              </w:rPr>
              <w:t>面积</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350000.0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default" w:ascii="Times New Roman" w:hAnsi="Times New Roman" w:cs="Times New Roman"/>
                <w:color w:val="auto"/>
                <w:kern w:val="0"/>
                <w:sz w:val="21"/>
                <w:szCs w:val="21"/>
                <w:lang w:eastAsia="zh-CN"/>
              </w:rPr>
              <w:t>地上</w:t>
            </w:r>
            <w:r>
              <w:rPr>
                <w:rFonts w:hint="default" w:ascii="Times New Roman" w:hAnsi="Times New Roman" w:cs="Times New Roman"/>
                <w:color w:val="auto"/>
                <w:kern w:val="0"/>
                <w:sz w:val="21"/>
                <w:szCs w:val="21"/>
              </w:rPr>
              <w:t>总建筑面积</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221500.0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其中</w:t>
            </w:r>
          </w:p>
        </w:tc>
        <w:tc>
          <w:tcPr>
            <w:tcW w:w="1761"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综合医院</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159690.0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其中</w:t>
            </w: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门急诊医技楼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96530.0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妇幼保健中心大楼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19700.0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综合住院部大楼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26720.0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拓展住院部大楼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bidi="ar-SA"/>
              </w:rPr>
            </w:pPr>
            <w:r>
              <w:rPr>
                <w:rFonts w:hint="eastAsia" w:cs="Times New Roman"/>
                <w:color w:val="auto"/>
                <w:kern w:val="0"/>
                <w:sz w:val="21"/>
                <w:szCs w:val="21"/>
                <w:lang w:val="en-US" w:eastAsia="zh-CN" w:bidi="ar-SA"/>
              </w:rPr>
              <w:t>12395.0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特殊门诊楼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bidi="ar-SA"/>
              </w:rPr>
            </w:pPr>
            <w:r>
              <w:rPr>
                <w:rFonts w:hint="eastAsia" w:cs="Times New Roman"/>
                <w:color w:val="auto"/>
                <w:kern w:val="0"/>
                <w:sz w:val="21"/>
                <w:szCs w:val="21"/>
                <w:lang w:val="en-US" w:eastAsia="zh-CN" w:bidi="ar-SA"/>
              </w:rPr>
              <w:t>4345.0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其中</w:t>
            </w:r>
          </w:p>
        </w:tc>
        <w:tc>
          <w:tcPr>
            <w:tcW w:w="1761"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老年保健中心</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31000.0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其中</w:t>
            </w: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门诊保健医技楼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11000.0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老年保健住院楼</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20000.0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eastAsia="zh-CN"/>
              </w:rPr>
              <w:t>综合管理中心</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27500.0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eastAsia="zh-CN"/>
              </w:rPr>
              <w:t>连廊</w:t>
            </w:r>
            <w:r>
              <w:rPr>
                <w:rFonts w:hint="eastAsia" w:cs="Times New Roman"/>
                <w:color w:val="auto"/>
                <w:kern w:val="0"/>
                <w:sz w:val="21"/>
                <w:szCs w:val="21"/>
                <w:lang w:val="en-US" w:eastAsia="zh-CN"/>
              </w:rPr>
              <w:t>+入口雨棚等</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3100.0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rPr>
            </w:pPr>
            <w:r>
              <w:rPr>
                <w:rFonts w:hint="eastAsia" w:cs="Times New Roman"/>
                <w:color w:val="auto"/>
                <w:kern w:val="0"/>
                <w:sz w:val="21"/>
                <w:szCs w:val="21"/>
                <w:lang w:val="en-US" w:eastAsia="zh-CN"/>
              </w:rPr>
              <w:t>包含连廊、雨棚、屋顶设备走廊及小品建筑等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附属配套设施用房</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210.0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包含液氧站、污水处理间等附属医用设施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地下建筑面积</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128500.0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val="en-US" w:eastAsia="zh-CN"/>
              </w:rPr>
              <w:t>其中</w:t>
            </w: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医疗用房</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6300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设备用房</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7000.0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地下机动车车库</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107200.0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地下非机动车车库</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8000.0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2</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容积率</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2.77</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rPr>
            </w:pP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建筑密度</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绿化率</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35</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建筑高度</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90.80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m</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床位数</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床</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其中</w:t>
            </w: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综合医院</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cs="Times New Roman"/>
                <w:color w:val="auto"/>
                <w:kern w:val="0"/>
                <w:sz w:val="21"/>
                <w:szCs w:val="21"/>
              </w:rPr>
            </w:pPr>
            <w:r>
              <w:rPr>
                <w:rFonts w:hint="eastAsia" w:cs="Times New Roman"/>
                <w:color w:val="auto"/>
                <w:kern w:val="0"/>
                <w:sz w:val="21"/>
                <w:szCs w:val="21"/>
                <w:lang w:val="en-US" w:eastAsia="zh-CN"/>
              </w:rPr>
              <w:t>床</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2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老年保健中心</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cs="Times New Roman"/>
                <w:color w:val="auto"/>
                <w:kern w:val="0"/>
                <w:sz w:val="21"/>
                <w:szCs w:val="21"/>
              </w:rPr>
            </w:pPr>
            <w:r>
              <w:rPr>
                <w:rFonts w:hint="eastAsia" w:cs="Times New Roman"/>
                <w:color w:val="auto"/>
                <w:kern w:val="0"/>
                <w:sz w:val="21"/>
                <w:szCs w:val="21"/>
                <w:lang w:val="en-US" w:eastAsia="zh-CN"/>
              </w:rPr>
              <w:t>床</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机动车停车位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1930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1个车位/100平方米建筑面积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4"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val="en-US" w:eastAsia="zh-CN"/>
              </w:rPr>
              <w:t>其中</w:t>
            </w:r>
          </w:p>
        </w:tc>
        <w:tc>
          <w:tcPr>
            <w:tcW w:w="12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eastAsia="zh-CN"/>
              </w:rPr>
              <w:t>地上停车位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75</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4"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2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eastAsia="zh-CN"/>
              </w:rPr>
              <w:t>地下停车位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1855</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3"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非机动车停车位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6370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4"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eastAsia" w:cs="Times New Roman"/>
                <w:color w:val="auto"/>
                <w:kern w:val="0"/>
                <w:sz w:val="21"/>
                <w:szCs w:val="21"/>
                <w:lang w:eastAsia="zh-CN"/>
              </w:rPr>
              <w:t>其中</w:t>
            </w:r>
          </w:p>
        </w:tc>
        <w:tc>
          <w:tcPr>
            <w:tcW w:w="19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地上停车位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370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4"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p>
        </w:tc>
        <w:tc>
          <w:tcPr>
            <w:tcW w:w="19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地下停车位</w:t>
            </w:r>
          </w:p>
        </w:tc>
        <w:tc>
          <w:tcPr>
            <w:tcW w:w="8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6000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cs="Times New Roman"/>
                <w:color w:val="auto"/>
                <w:kern w:val="0"/>
                <w:sz w:val="21"/>
                <w:szCs w:val="21"/>
                <w:lang w:eastAsia="zh-CN"/>
              </w:rPr>
            </w:pPr>
            <w:r>
              <w:rPr>
                <w:rFonts w:hint="eastAsia" w:cs="Times New Roman"/>
                <w:color w:val="auto"/>
                <w:kern w:val="0"/>
                <w:sz w:val="21"/>
                <w:szCs w:val="21"/>
                <w:lang w:eastAsia="zh-CN"/>
              </w:rPr>
              <w:t>辆</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lang w:val="en-US" w:eastAsia="zh-CN"/>
              </w:rPr>
            </w:pPr>
          </w:p>
        </w:tc>
      </w:tr>
    </w:tbl>
    <w:p>
      <w:pPr>
        <w:pStyle w:val="5"/>
        <w:numPr>
          <w:ilvl w:val="0"/>
          <w:numId w:val="0"/>
        </w:numPr>
        <w:spacing w:before="120"/>
        <w:ind w:leftChars="0"/>
        <w:rPr>
          <w:rFonts w:hint="eastAsia"/>
          <w:color w:val="auto"/>
        </w:rPr>
      </w:pPr>
      <w:r>
        <w:rPr>
          <w:rFonts w:hint="eastAsia"/>
          <w:color w:val="auto"/>
          <w:lang w:val="en-US" w:eastAsia="zh-CN"/>
        </w:rPr>
        <w:t>3.1.4</w:t>
      </w:r>
      <w:r>
        <w:rPr>
          <w:rFonts w:hint="eastAsia"/>
          <w:color w:val="auto"/>
        </w:rPr>
        <w:t>项目平面布置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rPr>
        <w:t>规划总体布局严格遵守阜阳市控制性详细规划通则，总平面功能布置统筹考虑城市空间形态、出入口以及日照等要求</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highlight w:val="none"/>
        </w:rPr>
        <w:t>将</w:t>
      </w:r>
      <w:r>
        <w:rPr>
          <w:rFonts w:hint="eastAsia" w:cs="Times New Roman"/>
          <w:color w:val="auto"/>
          <w:sz w:val="24"/>
          <w:szCs w:val="24"/>
          <w:highlight w:val="none"/>
          <w:lang w:eastAsia="zh-CN"/>
        </w:rPr>
        <w:t>感染楼</w:t>
      </w:r>
      <w:r>
        <w:rPr>
          <w:rFonts w:hint="default" w:ascii="Times New Roman" w:hAnsi="Times New Roman" w:cs="Times New Roman"/>
          <w:color w:val="auto"/>
          <w:sz w:val="24"/>
          <w:szCs w:val="24"/>
          <w:highlight w:val="none"/>
        </w:rPr>
        <w:t>门诊</w:t>
      </w:r>
      <w:r>
        <w:rPr>
          <w:rFonts w:hint="eastAsia" w:cs="Times New Roman"/>
          <w:color w:val="auto"/>
          <w:sz w:val="24"/>
          <w:szCs w:val="24"/>
          <w:highlight w:val="none"/>
          <w:lang w:eastAsia="zh-CN"/>
        </w:rPr>
        <w:t>（即特殊门诊）、</w:t>
      </w:r>
      <w:r>
        <w:rPr>
          <w:rFonts w:hint="eastAsia" w:cs="Times New Roman"/>
          <w:color w:val="auto"/>
          <w:sz w:val="24"/>
          <w:szCs w:val="24"/>
          <w:highlight w:val="none"/>
          <w:lang w:val="en-US" w:eastAsia="zh-CN"/>
        </w:rPr>
        <w:t>急诊</w:t>
      </w:r>
      <w:r>
        <w:rPr>
          <w:rFonts w:hint="default" w:ascii="Times New Roman" w:hAnsi="Times New Roman" w:cs="Times New Roman"/>
          <w:color w:val="auto"/>
          <w:sz w:val="24"/>
          <w:szCs w:val="24"/>
          <w:highlight w:val="none"/>
        </w:rPr>
        <w:t>出入口布置在</w:t>
      </w:r>
      <w:r>
        <w:rPr>
          <w:rFonts w:hint="eastAsia" w:cs="Times New Roman"/>
          <w:color w:val="auto"/>
          <w:sz w:val="24"/>
          <w:szCs w:val="24"/>
          <w:highlight w:val="none"/>
          <w:lang w:eastAsia="zh-CN"/>
        </w:rPr>
        <w:t>扬子江路的西南角和东南角</w:t>
      </w:r>
      <w:r>
        <w:rPr>
          <w:rFonts w:hint="default" w:ascii="Times New Roman" w:hAnsi="Times New Roman" w:cs="Times New Roman"/>
          <w:color w:val="auto"/>
          <w:sz w:val="24"/>
          <w:szCs w:val="24"/>
          <w:highlight w:val="none"/>
        </w:rPr>
        <w:t>，将急诊抢救时间的模块布置在方便通达区</w:t>
      </w:r>
      <w:r>
        <w:rPr>
          <w:rFonts w:hint="eastAsia"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70"/>
        <w:textAlignment w:val="auto"/>
        <w:rPr>
          <w:rStyle w:val="125"/>
          <w:rFonts w:hint="default" w:ascii="Times New Roman" w:hAnsi="Times New Roman" w:cs="Times New Roman"/>
          <w:color w:val="auto"/>
          <w:sz w:val="24"/>
          <w:szCs w:val="24"/>
        </w:rPr>
      </w:pPr>
      <w:r>
        <w:rPr>
          <w:rStyle w:val="125"/>
          <w:rFonts w:hint="default" w:ascii="Times New Roman" w:hAnsi="Times New Roman" w:cs="Times New Roman"/>
          <w:color w:val="auto"/>
          <w:sz w:val="24"/>
          <w:szCs w:val="24"/>
        </w:rPr>
        <w:t>整个院区出入口设置与整个院区进行统一设置与规划，通过合理的出入口设置，尽量减少对市政交通路网的干扰和影响，最大限度消解由于医院的建设对局部交通环境造成的压力和拥堵。</w:t>
      </w: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cs="Times New Roman"/>
          <w:bCs/>
          <w:color w:val="auto"/>
          <w:sz w:val="24"/>
          <w:szCs w:val="24"/>
          <w:lang w:val="en-US" w:eastAsia="zh-CN"/>
        </w:rPr>
      </w:pPr>
      <w:r>
        <w:rPr>
          <w:rFonts w:hint="default" w:ascii="Times New Roman" w:hAnsi="Times New Roman" w:cs="Times New Roman"/>
          <w:bCs/>
          <w:color w:val="auto"/>
          <w:sz w:val="24"/>
          <w:szCs w:val="24"/>
        </w:rPr>
        <w:t>综上所述，项目总平面布置功能分区明确，配套设施齐全，远离人员经常活动区和办公区，评价认为，总平面布置合理。</w:t>
      </w:r>
      <w:r>
        <w:rPr>
          <w:rFonts w:hint="eastAsia" w:cs="Times New Roman"/>
          <w:bCs/>
          <w:color w:val="auto"/>
          <w:sz w:val="24"/>
          <w:szCs w:val="24"/>
          <w:lang w:val="en-US" w:eastAsia="zh-CN"/>
        </w:rPr>
        <w:t>项目总平面效果布置图详见下图。</w:t>
      </w: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cs="Times New Roman"/>
          <w:bCs/>
          <w:color w:val="auto"/>
          <w:sz w:val="24"/>
          <w:szCs w:val="24"/>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cs="Times New Roman"/>
          <w:bCs/>
          <w:color w:val="auto"/>
          <w:sz w:val="24"/>
          <w:szCs w:val="24"/>
          <w:lang w:val="en-US" w:eastAsia="zh-CN"/>
        </w:rPr>
      </w:pPr>
      <w:r>
        <w:rPr>
          <w:rFonts w:hint="eastAsia" w:cs="Times New Roman"/>
          <w:bCs/>
          <w:color w:val="auto"/>
          <w:sz w:val="24"/>
          <w:szCs w:val="24"/>
          <w:lang w:val="en-US" w:eastAsia="zh-CN"/>
        </w:rPr>
        <w:drawing>
          <wp:anchor distT="0" distB="0" distL="114300" distR="114300" simplePos="0" relativeHeight="251692032" behindDoc="0" locked="0" layoutInCell="1" allowOverlap="1">
            <wp:simplePos x="0" y="0"/>
            <wp:positionH relativeFrom="column">
              <wp:posOffset>225425</wp:posOffset>
            </wp:positionH>
            <wp:positionV relativeFrom="paragraph">
              <wp:posOffset>-285750</wp:posOffset>
            </wp:positionV>
            <wp:extent cx="12193905" cy="8350885"/>
            <wp:effectExtent l="0" t="0" r="17145" b="12065"/>
            <wp:wrapSquare wrapText="bothSides"/>
            <wp:docPr id="4" name="图片 4" descr="项目效果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项目效果总图"/>
                    <pic:cNvPicPr>
                      <a:picLocks noChangeAspect="1"/>
                    </pic:cNvPicPr>
                  </pic:nvPicPr>
                  <pic:blipFill>
                    <a:blip r:embed="rId26"/>
                    <a:stretch>
                      <a:fillRect/>
                    </a:stretch>
                  </pic:blipFill>
                  <pic:spPr>
                    <a:xfrm>
                      <a:off x="0" y="0"/>
                      <a:ext cx="12193905" cy="8350885"/>
                    </a:xfrm>
                    <a:prstGeom prst="rect">
                      <a:avLst/>
                    </a:prstGeom>
                  </pic:spPr>
                </pic:pic>
              </a:graphicData>
            </a:graphic>
          </wp:anchor>
        </w:drawing>
      </w: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b/>
          <w:bCs/>
          <w:color w:val="auto"/>
          <w:sz w:val="21"/>
          <w:szCs w:val="21"/>
          <w:lang w:val="en-US" w:eastAsia="zh-CN"/>
        </w:rPr>
      </w:pP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jc w:val="center"/>
        <w:textAlignment w:val="auto"/>
        <w:rPr>
          <w:rFonts w:hint="eastAsia"/>
          <w:b/>
          <w:bCs/>
          <w:color w:val="auto"/>
          <w:sz w:val="21"/>
          <w:szCs w:val="21"/>
          <w:lang w:val="en-US" w:eastAsia="zh-CN"/>
        </w:rPr>
      </w:pPr>
      <w:r>
        <w:rPr>
          <w:rFonts w:hint="eastAsia"/>
          <w:b/>
          <w:bCs/>
          <w:color w:val="auto"/>
          <w:sz w:val="21"/>
          <w:szCs w:val="21"/>
          <w:lang w:val="en-US" w:eastAsia="zh-CN"/>
        </w:rPr>
        <w:t>图3.1-2  项目总平面布置效果图</w:t>
      </w:r>
    </w:p>
    <w:p>
      <w:pPr>
        <w:keepNext w:val="0"/>
        <w:keepLines w:val="0"/>
        <w:pageBreakBefore w:val="0"/>
        <w:widowControl w:val="0"/>
        <w:tabs>
          <w:tab w:val="left" w:pos="1620"/>
        </w:tabs>
        <w:kinsoku/>
        <w:wordWrap/>
        <w:overflowPunct/>
        <w:topLinePunct w:val="0"/>
        <w:autoSpaceDE/>
        <w:autoSpaceDN/>
        <w:bidi w:val="0"/>
        <w:adjustRightInd/>
        <w:snapToGrid/>
        <w:spacing w:line="360" w:lineRule="auto"/>
        <w:ind w:firstLine="480"/>
        <w:textAlignment w:val="auto"/>
        <w:rPr>
          <w:rFonts w:hint="eastAsia" w:cs="Times New Roman"/>
          <w:bCs/>
          <w:color w:val="auto"/>
          <w:sz w:val="24"/>
          <w:szCs w:val="24"/>
          <w:lang w:val="en-US" w:eastAsia="zh-CN"/>
        </w:rPr>
        <w:sectPr>
          <w:pgSz w:w="23811" w:h="16838"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numPr>
          <w:ilvl w:val="0"/>
          <w:numId w:val="0"/>
        </w:numPr>
        <w:spacing w:before="120"/>
        <w:ind w:leftChars="0"/>
        <w:rPr>
          <w:rFonts w:hint="default" w:eastAsia="宋体"/>
          <w:color w:val="auto"/>
          <w:lang w:val="en-US" w:eastAsia="zh-CN"/>
        </w:rPr>
      </w:pPr>
      <w:r>
        <w:rPr>
          <w:rFonts w:hint="eastAsia"/>
          <w:color w:val="auto"/>
          <w:lang w:val="en-US" w:eastAsia="zh-CN"/>
        </w:rPr>
        <w:t>3.1.5</w:t>
      </w:r>
      <w:r>
        <w:rPr>
          <w:rFonts w:hint="eastAsia"/>
          <w:color w:val="auto"/>
        </w:rPr>
        <w:t>项目</w:t>
      </w:r>
      <w:r>
        <w:rPr>
          <w:rFonts w:hint="eastAsia"/>
          <w:color w:val="auto"/>
          <w:lang w:eastAsia="zh-CN"/>
        </w:rPr>
        <w:t>原辅料及</w:t>
      </w:r>
      <w:r>
        <w:rPr>
          <w:rFonts w:hint="eastAsia"/>
          <w:color w:val="auto"/>
          <w:lang w:val="en-US" w:eastAsia="zh-CN"/>
        </w:rPr>
        <w:t>设备清单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hAnsi="宋体"/>
          <w:b w:val="0"/>
          <w:bCs/>
          <w:color w:val="auto"/>
          <w:sz w:val="24"/>
          <w:szCs w:val="24"/>
          <w:lang w:val="en-US" w:eastAsia="zh-CN"/>
        </w:rPr>
      </w:pPr>
      <w:r>
        <w:rPr>
          <w:rFonts w:hint="eastAsia" w:hAnsi="宋体"/>
          <w:b w:val="0"/>
          <w:bCs/>
          <w:color w:val="auto"/>
          <w:sz w:val="24"/>
          <w:szCs w:val="24"/>
          <w:lang w:val="en-US" w:eastAsia="zh-CN"/>
        </w:rPr>
        <w:t>拟建项目原辅料清单如下</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b/>
          <w:color w:val="auto"/>
          <w:sz w:val="21"/>
          <w:szCs w:val="21"/>
          <w:vertAlign w:val="baseline"/>
        </w:rPr>
      </w:pPr>
      <w:r>
        <w:rPr>
          <w:rFonts w:hint="eastAsia" w:hAnsi="宋体"/>
          <w:b/>
          <w:color w:val="auto"/>
          <w:sz w:val="21"/>
          <w:szCs w:val="21"/>
        </w:rPr>
        <w:t>表</w:t>
      </w:r>
      <w:r>
        <w:rPr>
          <w:rFonts w:hint="eastAsia" w:hAnsi="宋体"/>
          <w:b/>
          <w:color w:val="auto"/>
          <w:sz w:val="21"/>
          <w:szCs w:val="21"/>
          <w:lang w:val="en-US" w:eastAsia="zh-CN"/>
        </w:rPr>
        <w:t>3</w:t>
      </w:r>
      <w:r>
        <w:rPr>
          <w:rFonts w:hint="eastAsia" w:hAnsi="宋体"/>
          <w:b/>
          <w:color w:val="auto"/>
          <w:sz w:val="21"/>
          <w:szCs w:val="21"/>
        </w:rPr>
        <w:t>.</w:t>
      </w:r>
      <w:r>
        <w:rPr>
          <w:rFonts w:hint="eastAsia" w:hAnsi="宋体"/>
          <w:b/>
          <w:color w:val="auto"/>
          <w:sz w:val="21"/>
          <w:szCs w:val="21"/>
          <w:lang w:val="en-US" w:eastAsia="zh-CN"/>
        </w:rPr>
        <w:t>1-3</w:t>
      </w:r>
      <w:r>
        <w:rPr>
          <w:rFonts w:hint="eastAsia" w:hAnsi="宋体"/>
          <w:b/>
          <w:color w:val="auto"/>
          <w:sz w:val="21"/>
          <w:szCs w:val="21"/>
        </w:rPr>
        <w:t xml:space="preserve">  本项目</w:t>
      </w:r>
      <w:r>
        <w:rPr>
          <w:rFonts w:hint="eastAsia" w:hAnsi="宋体"/>
          <w:b/>
          <w:color w:val="auto"/>
          <w:sz w:val="21"/>
          <w:szCs w:val="21"/>
          <w:lang w:eastAsia="zh-CN"/>
        </w:rPr>
        <w:t>原辅料清单</w:t>
      </w:r>
      <w:r>
        <w:rPr>
          <w:rFonts w:hint="eastAsia" w:hAnsi="宋体"/>
          <w:b/>
          <w:color w:val="auto"/>
          <w:sz w:val="21"/>
          <w:szCs w:val="21"/>
        </w:rPr>
        <w:t>一览表</w:t>
      </w:r>
    </w:p>
    <w:tbl>
      <w:tblPr>
        <w:tblStyle w:val="4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996"/>
        <w:gridCol w:w="1813"/>
        <w:gridCol w:w="1474"/>
        <w:gridCol w:w="1158"/>
        <w:gridCol w:w="1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种类</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年用量</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规格</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储存方式</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最大储存量</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储存位置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柴油</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3.61t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含硫量≤0.001%；1m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储油箱</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常温</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1.68</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地下一层柴油储存室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液氧</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150瓶</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＞99%；40L/瓶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15瓶</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空气中心站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消毒粉</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1.93t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单过硫酸氢钾复合盐；2.5kg/桶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常温</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65桶</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污水池站加药间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酒精（乙醇）</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75%~90%；</w:t>
            </w:r>
            <w:r>
              <w:rPr>
                <w:rFonts w:hint="eastAsia"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00mL</w:t>
            </w:r>
            <w:r>
              <w:rPr>
                <w:rFonts w:hint="eastAsia" w:cs="Times New Roman"/>
                <w:color w:val="auto"/>
                <w:sz w:val="21"/>
                <w:szCs w:val="21"/>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s="Times New Roman"/>
                <w:color w:val="auto"/>
                <w:sz w:val="21"/>
                <w:szCs w:val="21"/>
                <w:lang w:val="en-US" w:eastAsia="zh-CN"/>
              </w:rPr>
            </w:pPr>
            <w:r>
              <w:rPr>
                <w:rFonts w:hint="eastAsia" w:eastAsia="宋体" w:cs="Times New Roman"/>
                <w:color w:val="auto"/>
                <w:sz w:val="21"/>
                <w:szCs w:val="21"/>
                <w:lang w:val="en-US" w:eastAsia="zh-CN"/>
              </w:rPr>
              <w:t>温度10-30℃</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湿度35-70%</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 瓶</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缓蚀阻垢剂</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.5t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25kg/袋</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常温</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5袋</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空调水泵房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杀菌剂</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25kg/袋</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常温</w:t>
            </w:r>
          </w:p>
        </w:tc>
        <w:tc>
          <w:tcPr>
            <w:tcW w:w="6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6袋</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空调水泵房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消毒液</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50kg/桶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s="Times New Roman"/>
                <w:color w:val="auto"/>
                <w:sz w:val="21"/>
                <w:szCs w:val="21"/>
                <w:lang w:val="en-US" w:eastAsia="zh-CN"/>
              </w:rPr>
            </w:pPr>
            <w:r>
              <w:rPr>
                <w:rFonts w:hint="eastAsia" w:eastAsia="宋体" w:cs="Times New Roman"/>
                <w:color w:val="auto"/>
                <w:sz w:val="21"/>
                <w:szCs w:val="21"/>
                <w:lang w:val="en-US" w:eastAsia="zh-CN"/>
              </w:rPr>
              <w:t>温度10-30℃</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丙酮</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500mL</w:t>
            </w:r>
            <w:r>
              <w:rPr>
                <w:rFonts w:hint="eastAsia" w:ascii="Times New Roman" w:hAnsi="Times New Roman" w:eastAsia="宋体" w:cs="Times New Roman"/>
                <w:color w:val="auto"/>
                <w:sz w:val="21"/>
                <w:szCs w:val="21"/>
                <w:highlight w:val="none"/>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二甲苯</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2.5kg/瓶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0.004</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硝酸</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1kg/瓶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盐酸</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1kg/瓶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福尔马林（甲醛）</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0.5kg/瓶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乙醚</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0.0178t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50mL</w:t>
            </w:r>
            <w:r>
              <w:rPr>
                <w:rFonts w:hint="eastAsia" w:ascii="Times New Roman" w:hAnsi="Times New Roman" w:eastAsia="宋体" w:cs="Times New Roman"/>
                <w:color w:val="auto"/>
                <w:sz w:val="21"/>
                <w:szCs w:val="21"/>
                <w:highlight w:val="none"/>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0.00178</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乙腈</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0.393t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500mL</w:t>
            </w:r>
            <w:r>
              <w:rPr>
                <w:rFonts w:hint="eastAsia" w:ascii="Times New Roman" w:hAnsi="Times New Roman" w:eastAsia="宋体" w:cs="Times New Roman"/>
                <w:color w:val="auto"/>
                <w:sz w:val="21"/>
                <w:szCs w:val="21"/>
                <w:highlight w:val="none"/>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0.0393</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甲醇</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0.396t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500mL</w:t>
            </w:r>
            <w:r>
              <w:rPr>
                <w:rFonts w:hint="eastAsia" w:ascii="Times New Roman" w:hAnsi="Times New Roman" w:eastAsia="宋体" w:cs="Times New Roman"/>
                <w:color w:val="auto"/>
                <w:sz w:val="21"/>
                <w:szCs w:val="21"/>
                <w:highlight w:val="none"/>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0.0396</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甲酸</w:t>
            </w:r>
          </w:p>
        </w:tc>
        <w:tc>
          <w:tcPr>
            <w:tcW w:w="5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0.244t</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100mL</w:t>
            </w:r>
            <w:r>
              <w:rPr>
                <w:rFonts w:hint="eastAsia" w:ascii="Times New Roman" w:hAnsi="Times New Roman" w:eastAsia="宋体" w:cs="Times New Roman"/>
                <w:color w:val="auto"/>
                <w:sz w:val="21"/>
                <w:szCs w:val="21"/>
                <w:highlight w:val="none"/>
                <w:lang w:val="en-US" w:eastAsia="zh-CN"/>
              </w:rPr>
              <w:t>/瓶</w:t>
            </w:r>
          </w:p>
        </w:tc>
        <w:tc>
          <w:tcPr>
            <w:tcW w:w="8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val="en-US" w:eastAsia="zh-CN"/>
              </w:rPr>
              <w:t>温度10-30℃湿度35-70%</w:t>
            </w:r>
          </w:p>
        </w:tc>
        <w:tc>
          <w:tcPr>
            <w:tcW w:w="679" w:type="pct"/>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0.0244</w:t>
            </w:r>
            <w:r>
              <w:rPr>
                <w:rFonts w:hint="eastAsia" w:ascii="Times New Roman" w:hAnsi="Times New Roman" w:eastAsia="宋体" w:cs="Times New Roman"/>
                <w:color w:val="auto"/>
                <w:sz w:val="21"/>
                <w:szCs w:val="21"/>
                <w:lang w:val="en-US" w:eastAsia="zh-CN"/>
              </w:rPr>
              <w:t>t</w:t>
            </w:r>
          </w:p>
        </w:tc>
        <w:tc>
          <w:tcPr>
            <w:tcW w:w="9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二期</w:t>
            </w:r>
            <w:r>
              <w:rPr>
                <w:rFonts w:hint="eastAsia" w:ascii="Times New Roman" w:hAnsi="Times New Roman" w:eastAsia="宋体" w:cs="Times New Roman"/>
                <w:color w:val="auto"/>
                <w:sz w:val="21"/>
                <w:szCs w:val="21"/>
                <w:highlight w:val="none"/>
                <w:lang w:val="en-US" w:eastAsia="zh-CN"/>
              </w:rPr>
              <w:t>化学品库</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b/>
          <w:color w:val="auto"/>
          <w:sz w:val="21"/>
          <w:szCs w:val="21"/>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hAnsi="宋体" w:eastAsia="宋体"/>
          <w:b w:val="0"/>
          <w:bCs/>
          <w:color w:val="auto"/>
          <w:sz w:val="24"/>
          <w:szCs w:val="24"/>
          <w:lang w:val="en-US" w:eastAsia="zh-CN"/>
        </w:rPr>
      </w:pPr>
      <w:r>
        <w:rPr>
          <w:rFonts w:hint="eastAsia" w:hAnsi="宋体"/>
          <w:b w:val="0"/>
          <w:bCs/>
          <w:color w:val="auto"/>
          <w:sz w:val="24"/>
          <w:szCs w:val="24"/>
          <w:lang w:val="en-US" w:eastAsia="zh-CN"/>
        </w:rPr>
        <w:t>拟建项目的主要医疗设备如下表：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b/>
          <w:color w:val="auto"/>
          <w:sz w:val="21"/>
          <w:szCs w:val="21"/>
        </w:rPr>
      </w:pPr>
      <w:r>
        <w:rPr>
          <w:rFonts w:hint="eastAsia" w:hAnsi="宋体"/>
          <w:b/>
          <w:color w:val="auto"/>
          <w:sz w:val="21"/>
          <w:szCs w:val="21"/>
        </w:rPr>
        <w:t>表</w:t>
      </w:r>
      <w:r>
        <w:rPr>
          <w:rFonts w:hint="eastAsia" w:hAnsi="宋体"/>
          <w:b/>
          <w:color w:val="auto"/>
          <w:sz w:val="21"/>
          <w:szCs w:val="21"/>
          <w:lang w:val="en-US" w:eastAsia="zh-CN"/>
        </w:rPr>
        <w:t>3</w:t>
      </w:r>
      <w:r>
        <w:rPr>
          <w:rFonts w:hint="eastAsia" w:hAnsi="宋体"/>
          <w:b/>
          <w:color w:val="auto"/>
          <w:sz w:val="21"/>
          <w:szCs w:val="21"/>
        </w:rPr>
        <w:t>.</w:t>
      </w:r>
      <w:r>
        <w:rPr>
          <w:rFonts w:hint="eastAsia" w:hAnsi="宋体"/>
          <w:b/>
          <w:color w:val="auto"/>
          <w:sz w:val="21"/>
          <w:szCs w:val="21"/>
          <w:lang w:val="en-US" w:eastAsia="zh-CN"/>
        </w:rPr>
        <w:t>1-4</w:t>
      </w:r>
      <w:r>
        <w:rPr>
          <w:rFonts w:hint="eastAsia" w:hAnsi="宋体"/>
          <w:b/>
          <w:color w:val="auto"/>
          <w:sz w:val="21"/>
          <w:szCs w:val="21"/>
        </w:rPr>
        <w:t xml:space="preserve"> 本项目主要医疗设备一览表</w:t>
      </w:r>
    </w:p>
    <w:tbl>
      <w:tblPr>
        <w:tblStyle w:val="4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82"/>
        <w:gridCol w:w="3523"/>
        <w:gridCol w:w="2460"/>
        <w:gridCol w:w="13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科室</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资产名称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型号规格</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数量</w:t>
            </w:r>
            <w:r>
              <w:rPr>
                <w:rFonts w:hint="eastAsia"/>
                <w:color w:val="auto"/>
                <w:sz w:val="21"/>
                <w:szCs w:val="21"/>
                <w:lang w:eastAsia="zh-CN"/>
              </w:rPr>
              <w:t>（台</w:t>
            </w:r>
            <w:r>
              <w:rPr>
                <w:rFonts w:hint="eastAsia"/>
                <w:color w:val="auto"/>
                <w:sz w:val="21"/>
                <w:szCs w:val="21"/>
                <w:lang w:val="en-US" w:eastAsia="zh-CN"/>
              </w:rPr>
              <w:t>/个</w:t>
            </w:r>
            <w:r>
              <w:rPr>
                <w:rFonts w:hint="eastAsia"/>
                <w:color w:val="auto"/>
                <w:sz w:val="21"/>
                <w:szCs w:val="21"/>
                <w:lang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ICU病区</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861290（XL+）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VENTlilogic LS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无创呼吸机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AVAPS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通用呼吸机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Evita V300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台式血气分析仪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RAPIDPoint 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充气升温装置</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WU-505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B20i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中央监护工作站（含10台床边监护仪）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91387</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多通道输注工作站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MP80（一拖三）</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下肢静脉泵（空气波压力治疗系统）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Airpro-300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数字式多道心电图机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医用电脑控温仪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RC-2000Ⅲ</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震动排痰仪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YSQ01C-W</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经皮脉搏指示连续心排量监测仪（病人监护仪）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EV1000A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高流量呼吸湿化仪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HUMID-BM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亚低温治疗仪（医用控温仪）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Z1J-2000Ⅰ、四路输出、双毯双帽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急性透析和体外血液治疗机（CRRT）（血液透析设备赠送）</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multiFitrate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电子视频喉镜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TSEL-2000 R</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便携式电子支气管软镜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Insight iS3</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ICU吊塔（双塔双臂、干湿分离）</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Dolphin-A8-2-SV1SV1-C吊塔</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ICU吊柱</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Lark-A8-PV1-C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超声诊断科</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IMEC 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彩超（顶级心脏）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VIVID E9</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便携式彩超</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M7 Expert</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超声诊断仪（高档产前诊断超声仪）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VOLUSON E8</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数字化彩色超声波诊断装置（高档腹部超声仪）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ARIETTA 70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数字化彩色超声波诊断装置（高档介入超声仪）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HI VISION Preirus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超声诊断仪（高档小器官超声仪）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Mylab twice</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超声诊断系统（高档血管超声仪）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ACUSON S3000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彩色超声诊断系统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EPIQ5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放射科</w:t>
            </w:r>
          </w:p>
        </w:tc>
        <w:tc>
          <w:tcPr>
            <w:tcW w:w="4306" w:type="pct"/>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辐射内容另行评价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介入中心</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临时起搏器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Reocor 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高端麻醉监护仪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B450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B20i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旋磨介入治疗仪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H802220200381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高压造影注射系统（DSA）</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Mark7 Arterion</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主动脉内球囊反搏泵</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CS100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多道生理记录仪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GY-6000F</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射频消融治疗仪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GY-8100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手术无影灯（移动式）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YCLED500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起搏系统分析仪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Reliaty</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TEC-5621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医用臭氧治疗仪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Ozomed Smart line</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介入中心监护仪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866064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医用血管造影X射线机（含心脏、肿瘤解决方案选件）</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Innova IGS 530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心脏专用型平板探测器血管造影系统DSA（含血管分析软件、智能支架高清显像功能、实时支架精显）</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Artis zee III ceiling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D3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不锈钢洗手池（含灯镜）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TS1002-A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铅屏风（介入）</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KSDS0001A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铅屏风</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单联190*120，铅玻璃120*800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消毒供应中心</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全自动清洗机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WD230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超声波清洗机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FamoSonic 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消毒供应室纯水设备</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WJ-ROI-1500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蒸汽清洗机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DS800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蒸汽清洗机工作站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专业定制</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全自动封口机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D666 MPCV</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医用封口机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8522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医用封口机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8522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医用切割机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MD385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快速生物阅读器（低温）</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CF-AR4H</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快速生物阅读器（高温）</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CF-AR1H</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环氧乙烷过氧化氢浓度检测报警仪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Polytron7000+REGARD1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医用超声波清洗机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MAG-YTZK120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高温生物阅读器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不锈钢清洗中心</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MLQX-5000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脉动真空灭菌器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XG.1HWF-1.5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环氧乙烷灭菌器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8XL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医用干燥柜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YGZ-1600XS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内镜清洗工作站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KGW/NQX(消毒供应中心)</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全自动口腔器械清洗消毒器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Hema Q1-48</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口腔专用灭菌器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Vacuklav 24 BL+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等离子低温灭菌器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RENO-S130D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内镜中心</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高端内镜氩气刀（胃镜专用）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VIO200D+APC2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内镜治疗氩气刀（肠镜专用）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VIO200S+APC2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呼气试验测试仪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HCBT-01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内窥镜用送气装置</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JSQB-P1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内窥镜用送水装置</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JSFP-E1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14C液体闪烁计数仪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YH01A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电子内窥镜主机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CV-290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进口内窥镜光源系统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CLV-290SL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电子肠镜检查型</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CF-H290I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进口电子肠镜治疗型</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CF-HQ290I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电子内窥镜主机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EPX-4450HD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胃镜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FG-600WR</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治疗胃镜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EG-580RD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十二指肠镜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ED-530XT</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支气管镜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EB-530H</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小儿支气管镜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EB-530P</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胃镜（放大型）（电子胃镜）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GIF-HQ290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胃镜（治疗型）（电子胃镜）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GIF-HQ260J</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高清光学放大肠镜（电子下消化道内窥镜）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EG-600ZW/M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超声内镜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SP-900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高清电子肠镜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EC-601WM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光学放大胃镜（电子上消化道内窥镜）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GIF-H290Z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ERCP专用高频电刀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VIO200S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内镜清洗工作站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KGW/NQX(胃、肠镜)</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全自动清洗机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SY-600-3</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内镜工作站（软件+电脑+打印机）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CR-IMAGE-2011A+3046+CANON7280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内镜消毒用水设备</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LK/RO-500CL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中心手术室</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手术室腔镜塔</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MODUTEC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手术麻醉塔</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MODUTEC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高档手术室无影灯（带摄像）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Lucea100*100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中档手术无影灯</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ORLED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原装进口超高清腹腔镜系统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Image 1 SPIES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原装进口全高清宫腔镜系统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Image 1 HD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手术室体外吊塔</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Agila CC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普通外科吊塔</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Agila CC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原装进口全高清胸腔镜系统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Image 1 HD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电外科工作站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VIO 300+APC2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婴儿辐射保暖台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HKN-9010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自动止血带系统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A.T.S 2200TS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腔镜灌注泵</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QB-1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脊柱床（电动手术床）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A-71101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电动胸骨锯（骨动力系统）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S6 S6</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手术无影灯（移动式）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YCLED500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20升全自动气腹机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26430520-1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30升全自动气腹机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26430520-1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灌注泵</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HYJ-Ⅲ</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电切镜（锁口式）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30°10mm腹腔镜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260003BA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GEN11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二氧化碳激光手术系统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AcuPulse 30ST</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手术室高频电刀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60-2450-220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高频电外科手术系统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VIO 300D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高频电刀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60-2450-220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高频电刀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60-2450-220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移动式C形臂X射线机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Cios Select S1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多功能电动手术床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JHDS-99C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骨科手术室电动综合手术床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JHDS-99E-2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神经外科手术室电动综合手术床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JHDS-99E-2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眼科手术室电动综合手术床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JHDS-99E-2</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电动手术床（电动液压手术平台）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XHT-D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卡式灭菌器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SK-2000X型</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手术室手术床（外科手术台）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T800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医用冷藏箱</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HYC-650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铅屏风</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1900*1200mm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体检中心</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医用全自动电子血压计</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HBP-9020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耳鼻喉综合检查台（含五官科椅）</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PK-3201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多功能肺测试仪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Quark PFT3</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数字式多道心电图机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呼气试验测试仪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HCBT-01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高档超声骨强度仪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PEGASUS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TEC-5621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14C液体闪烁计数仪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YH01A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心电图机（含扫描枪、心电图机推车）（心电网络系统建设）</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FX-8222T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裂隙灯显微镜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SL-2G</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彩色多普勒超声诊断系统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MyLab 65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超声诊断设备（高档全身超声仪）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APLIO 500 TUS-A500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数字化医用X射线摄影系统(DR)</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uDR 550i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联体式牙科综合治疗机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KJ-917</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新生儿病区（NICU）</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台式血气分析仪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RAPIDPoint 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婴儿辐射保暖台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HKN-9010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经皮黄疸仪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JH20-1C</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T-组合婴儿复苏器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RD900AZU</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婴儿培养箱</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YP-970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婴儿培养箱</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Giraffe Omnibed</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新生儿黄疸治疗箱</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XHZ-90L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新生儿中心监护系统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Hypervisor Ⅵ</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IMEC 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小儿呼吸机（常频）</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Sophie</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婴儿正压呼吸治疗系统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Bubble CPAP</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小儿呼吸机（高频）</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Sophie</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手持经皮血氧饱和度检测仪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PM10N</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水毯式医用控温仪（医用控温仪系统）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233</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32导视频脑功能监护仪（脑电测量系统EEG Monitor）</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Nicolet</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ICU吊桥（干湿合一）</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YDT-DQ-1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婴儿洗浴中心</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MLQ-BB</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铅屏风（新生儿）</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双联H1900*(W800mm+W800mm)*2mmpb</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产科</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胎心监护仪（单胎无线探头）</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F6</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数字式多道心电图机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TEC-5621</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便携式脉搏血氧饱和度监护仪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PM10N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胎心监护仪（胎儿监护仪）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F80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婴儿洗浴中心</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MLQ-BB</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妇科检查床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SZ-Ⅱ</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智能婴儿洗浴池</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MMXY-B</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产房</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婴儿辐射保暖台</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HKN-9010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T-组合婴儿复苏器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RD900AZU</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中央监护系统 </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MFM-CNS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胎心监护仪（单胎无线探头）</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F6</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胎心监护仪（双胎无线探头）</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F6</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母婴监护仪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F6E</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新生儿监护仪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IMEC 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手术无影灯（移动式）</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YCLED500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空气混合仪（医用空氧混合器）</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GMX030-AIR/02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医用电动产床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SC-Ⅰ</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不锈钢洗手池（含灯镜）</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TS1002-A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电动多功能手术床</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ET500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PCR室</w:t>
            </w: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实时荧光定量PCR仪</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7500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全自动核酸提取仪</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Auto-pure96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双人单面超净工作台</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BBS-SDC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低温冰箱</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MDF-86V340E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高温蒸汽灭菌器</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BKQ-B100Ⅱ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即时检测荧光定量PCR仪</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UC0102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便携式快速实时荧光定量PCR仪</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AGS8830-16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核酸提取仪</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SSNP-9600A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实时荧光定量PCR</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QuantStudio DX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超低温冰箱（医用低温保存箱）</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DW-86L728J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超低温冰箱</w:t>
            </w:r>
          </w:p>
        </w:tc>
        <w:tc>
          <w:tcPr>
            <w:tcW w:w="1442"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DW-86L578ST </w:t>
            </w:r>
          </w:p>
        </w:tc>
        <w:tc>
          <w:tcPr>
            <w:tcW w:w="799"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感染科</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X射线计算机体层摄影设备（CT）</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uCT528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861290（XL+）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VENTlilogic LS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无创呼吸机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AVAPS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通用呼吸机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Evita V300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台式血气分析仪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RAPIDPoint 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充气升温装置</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WU-505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B20i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中央监护工作站（含10台床边监护仪）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91387</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多通道输注工作站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MP80（一拖三）</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下肢静脉泵（空气波压力治疗系统）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Airpro-300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数字式多道心电图机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震动排痰仪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YSQ01C-W</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经皮脉搏指示连续心排量监测仪（病人监护仪）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EV1000A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高流量呼吸湿化仪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HUMID-BM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亚低温治疗仪（医用控温仪）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Z1J-2000Ⅰ、四路输出、双毯双帽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呼吸内科RICU</w:t>
            </w: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861290（XL+）</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VENTlilogic LS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无创呼吸机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AVAPS</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通用呼吸机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Evita V300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台式血气分析仪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RAPIDPoint 500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充气升温装置</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WU-505</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转运监护仪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B20i</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中央监护工作站（含10台床边监护仪）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91387</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多通道输注工作站</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MP80（一拖三）</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下肢静脉泵（空气波压力治疗系统）</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Airpro-300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数字式多道心电图机</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E80</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震动排痰仪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YSQ01C-W</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经皮脉搏指示连续心排量监测仪（病人监护仪）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EV1000A</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高流量呼吸湿化仪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HUMID-BM</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693" w:type="pct"/>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206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亚低温治疗仪（医用控温仪）</w:t>
            </w:r>
          </w:p>
        </w:tc>
        <w:tc>
          <w:tcPr>
            <w:tcW w:w="1442"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Z1J-2000Ⅰ、四路输出、双毯双帽 </w:t>
            </w:r>
          </w:p>
        </w:tc>
        <w:tc>
          <w:tcPr>
            <w:tcW w:w="799"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bl>
    <w:p>
      <w:pPr>
        <w:spacing w:line="240" w:lineRule="auto"/>
        <w:ind w:left="0" w:leftChars="0" w:firstLine="0" w:firstLineChars="0"/>
        <w:rPr>
          <w:rFonts w:hint="eastAsia" w:hAnsi="宋体"/>
          <w:b/>
          <w:color w:val="auto"/>
          <w:sz w:val="21"/>
          <w:szCs w:val="21"/>
        </w:rPr>
      </w:pPr>
      <w:r>
        <w:rPr>
          <w:rFonts w:hint="eastAsia"/>
          <w:b/>
          <w:bCs/>
          <w:color w:val="auto"/>
          <w:sz w:val="21"/>
          <w:szCs w:val="21"/>
        </w:rPr>
        <w:t>注：</w:t>
      </w:r>
      <w:r>
        <w:rPr>
          <w:b/>
          <w:bCs/>
          <w:color w:val="auto"/>
          <w:sz w:val="21"/>
          <w:szCs w:val="21"/>
        </w:rPr>
        <w:t>项目运营</w:t>
      </w:r>
      <w:r>
        <w:rPr>
          <w:rFonts w:hint="eastAsia"/>
          <w:b/>
          <w:bCs/>
          <w:color w:val="auto"/>
          <w:sz w:val="21"/>
          <w:szCs w:val="21"/>
        </w:rPr>
        <w:t>过程中涉及的</w:t>
      </w:r>
      <w:r>
        <w:rPr>
          <w:b/>
          <w:bCs/>
          <w:color w:val="auto"/>
          <w:sz w:val="21"/>
          <w:szCs w:val="21"/>
        </w:rPr>
        <w:t>辐射影响，</w:t>
      </w:r>
      <w:r>
        <w:rPr>
          <w:rFonts w:hint="eastAsia"/>
          <w:b/>
          <w:bCs/>
          <w:color w:val="auto"/>
          <w:sz w:val="21"/>
          <w:szCs w:val="21"/>
          <w:lang w:val="en-US" w:eastAsia="zh-CN"/>
        </w:rPr>
        <w:t>不在本次评价范围内，需另行评价</w:t>
      </w:r>
    </w:p>
    <w:p>
      <w:pPr>
        <w:pStyle w:val="5"/>
        <w:pageBreakBefore w:val="0"/>
        <w:widowControl w:val="0"/>
        <w:numPr>
          <w:ilvl w:val="0"/>
          <w:numId w:val="0"/>
        </w:numPr>
        <w:kinsoku/>
        <w:wordWrap/>
        <w:overflowPunct/>
        <w:topLinePunct w:val="0"/>
        <w:autoSpaceDE/>
        <w:autoSpaceDN/>
        <w:bidi w:val="0"/>
        <w:adjustRightInd/>
        <w:snapToGrid/>
        <w:spacing w:before="0" w:beforeLines="0"/>
        <w:ind w:leftChars="0"/>
        <w:textAlignment w:val="auto"/>
        <w:rPr>
          <w:rFonts w:hint="default" w:ascii="Times New Roman" w:hAnsi="Times New Roman" w:cs="Times New Roman"/>
          <w:color w:val="auto"/>
        </w:rPr>
      </w:pPr>
      <w:r>
        <w:rPr>
          <w:rFonts w:hint="eastAsia" w:cs="Times New Roman"/>
          <w:color w:val="auto"/>
          <w:lang w:val="en-US" w:eastAsia="zh-CN"/>
        </w:rPr>
        <w:t>3.</w:t>
      </w:r>
      <w:r>
        <w:rPr>
          <w:rFonts w:hint="default" w:ascii="Times New Roman" w:hAnsi="Times New Roman" w:cs="Times New Roman"/>
          <w:color w:val="auto"/>
          <w:lang w:val="en-US" w:eastAsia="zh-CN"/>
        </w:rPr>
        <w:t>1.</w:t>
      </w:r>
      <w:r>
        <w:rPr>
          <w:rFonts w:hint="eastAsia" w:cs="Times New Roman"/>
          <w:color w:val="auto"/>
          <w:lang w:val="en-US" w:eastAsia="zh-CN"/>
        </w:rPr>
        <w:t>6</w:t>
      </w:r>
      <w:r>
        <w:rPr>
          <w:rFonts w:hint="default" w:ascii="Times New Roman" w:hAnsi="Times New Roman" w:cs="Times New Roman"/>
          <w:color w:val="auto"/>
        </w:rPr>
        <w:t>公用工程</w:t>
      </w:r>
    </w:p>
    <w:p>
      <w:pPr>
        <w:pStyle w:val="2"/>
        <w:pageBreakBefore w:val="0"/>
        <w:widowControl w:val="0"/>
        <w:numPr>
          <w:ilvl w:val="0"/>
          <w:numId w:val="0"/>
        </w:numPr>
        <w:kinsoku/>
        <w:wordWrap/>
        <w:overflowPunct/>
        <w:topLinePunct w:val="0"/>
        <w:autoSpaceDE/>
        <w:autoSpaceDN/>
        <w:bidi w:val="0"/>
        <w:adjustRightInd/>
        <w:snapToGrid/>
        <w:spacing w:before="0" w:after="0"/>
        <w:textAlignment w:val="auto"/>
        <w:rPr>
          <w:rFonts w:hint="default" w:ascii="Times New Roman" w:hAnsi="Times New Roman" w:cs="Times New Roman"/>
          <w:color w:val="auto"/>
        </w:rPr>
      </w:pPr>
      <w:r>
        <w:rPr>
          <w:rFonts w:hint="eastAsia" w:cs="Times New Roman"/>
          <w:color w:val="auto"/>
          <w:lang w:val="en-US" w:eastAsia="zh-CN"/>
        </w:rPr>
        <w:t>3</w:t>
      </w:r>
      <w:r>
        <w:rPr>
          <w:rFonts w:hint="default" w:ascii="Times New Roman" w:hAnsi="Times New Roman" w:cs="Times New Roman"/>
          <w:color w:val="auto"/>
          <w:lang w:val="en-US" w:eastAsia="zh-CN"/>
        </w:rPr>
        <w:t>.1.</w:t>
      </w:r>
      <w:r>
        <w:rPr>
          <w:rFonts w:hint="eastAsia" w:cs="Times New Roman"/>
          <w:color w:val="auto"/>
          <w:lang w:val="en-US" w:eastAsia="zh-CN"/>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给排水</w:t>
      </w:r>
    </w:p>
    <w:p>
      <w:pPr>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napToGrid w:val="0"/>
          <w:color w:val="auto"/>
        </w:rPr>
      </w:pPr>
      <w:r>
        <w:rPr>
          <w:rFonts w:hint="default" w:ascii="Times New Roman" w:hAnsi="Times New Roman" w:cs="Times New Roman"/>
          <w:snapToGrid w:val="0"/>
          <w:color w:val="auto"/>
        </w:rPr>
        <w:t>（1）给水</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kern w:val="2"/>
          <w:sz w:val="24"/>
          <w:szCs w:val="24"/>
          <w:lang w:val="en-US" w:eastAsia="zh-CN" w:bidi="ar-SA"/>
        </w:rPr>
      </w:pPr>
      <w:r>
        <w:rPr>
          <w:rFonts w:hint="eastAsia" w:cs="Times New Roman"/>
          <w:color w:val="auto"/>
          <w:lang w:eastAsia="zh-CN"/>
        </w:rPr>
        <w:t>项目</w:t>
      </w:r>
      <w:r>
        <w:rPr>
          <w:rFonts w:hint="default" w:ascii="Times New Roman" w:hAnsi="Times New Roman" w:cs="Times New Roman"/>
          <w:color w:val="auto"/>
        </w:rPr>
        <w:t>供水</w:t>
      </w:r>
      <w:r>
        <w:rPr>
          <w:rFonts w:hint="default" w:ascii="Times New Roman" w:hAnsi="Times New Roman" w:cs="Times New Roman"/>
          <w:color w:val="auto"/>
          <w:lang w:val="en-US" w:eastAsia="zh-CN"/>
        </w:rPr>
        <w:t>由</w:t>
      </w:r>
      <w:r>
        <w:rPr>
          <w:rFonts w:hint="default" w:ascii="Times New Roman" w:hAnsi="Times New Roman" w:cs="Times New Roman"/>
          <w:color w:val="auto"/>
        </w:rPr>
        <w:t>市政供水管网</w:t>
      </w:r>
      <w:r>
        <w:rPr>
          <w:rFonts w:hint="default" w:ascii="Times New Roman" w:hAnsi="Times New Roman" w:cs="Times New Roman"/>
          <w:color w:val="auto"/>
          <w:lang w:val="en-US" w:eastAsia="zh-CN"/>
        </w:rPr>
        <w:t>供给，</w:t>
      </w:r>
      <w:r>
        <w:rPr>
          <w:rFonts w:hint="eastAsia" w:cs="Times New Roman"/>
          <w:color w:val="auto"/>
          <w:lang w:val="en-US" w:eastAsia="zh-CN"/>
        </w:rPr>
        <w:t>分别从西侧的安徽路与东侧江苏路市政给水管网上各自引入一条DN200的给水管，市</w:t>
      </w:r>
      <w:r>
        <w:rPr>
          <w:rFonts w:hint="default" w:ascii="Times New Roman" w:hAnsi="Times New Roman" w:cs="Times New Roman"/>
          <w:color w:val="auto"/>
        </w:rPr>
        <w:t>政</w:t>
      </w:r>
      <w:r>
        <w:rPr>
          <w:rFonts w:hint="eastAsia" w:cs="Times New Roman"/>
          <w:color w:val="auto"/>
          <w:lang w:eastAsia="zh-CN"/>
        </w:rPr>
        <w:t>供水压力约为</w:t>
      </w:r>
      <w:r>
        <w:rPr>
          <w:rFonts w:hint="eastAsia" w:cs="Times New Roman"/>
          <w:color w:val="auto"/>
          <w:lang w:val="en-US" w:eastAsia="zh-CN"/>
        </w:rPr>
        <w:t>0.30Mpa</w:t>
      </w:r>
      <w:r>
        <w:rPr>
          <w:rFonts w:hint="default" w:ascii="Times New Roman" w:hAnsi="Times New Roman" w:cs="Times New Roman"/>
          <w:color w:val="auto"/>
        </w:rPr>
        <w:t>。</w:t>
      </w:r>
      <w:r>
        <w:rPr>
          <w:rFonts w:hint="eastAsia" w:ascii="Times New Roman" w:eastAsia="宋体" w:cs="Times New Roman"/>
          <w:color w:val="auto"/>
          <w:kern w:val="2"/>
          <w:sz w:val="24"/>
          <w:szCs w:val="24"/>
          <w:lang w:val="en-US" w:eastAsia="zh-CN" w:bidi="ar-SA"/>
        </w:rPr>
        <w:t>项目区低区（-2F~2F）由市政给水管网直接供水，高区（3F及以上）的供水二次加压供水。</w:t>
      </w:r>
    </w:p>
    <w:p>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snapToGrid w:val="0"/>
          <w:color w:val="auto"/>
        </w:rPr>
      </w:pPr>
      <w:r>
        <w:rPr>
          <w:rFonts w:hint="default" w:ascii="Times New Roman" w:hAnsi="Times New Roman" w:cs="Times New Roman"/>
          <w:snapToGrid w:val="0"/>
          <w:color w:val="auto"/>
        </w:rPr>
        <w:t>（2）排水</w:t>
      </w:r>
    </w:p>
    <w:p>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rPr>
      </w:pPr>
      <w:r>
        <w:rPr>
          <w:rFonts w:hint="eastAsia" w:cs="Times New Roman"/>
          <w:bCs/>
          <w:color w:val="auto"/>
          <w:lang w:eastAsia="zh-CN"/>
        </w:rPr>
        <w:t>项目配套预消毒和二级</w:t>
      </w:r>
      <w:r>
        <w:rPr>
          <w:rFonts w:hint="default" w:ascii="Times New Roman" w:hAnsi="Times New Roman" w:cs="Times New Roman"/>
          <w:bCs/>
          <w:color w:val="auto"/>
        </w:rPr>
        <w:t>污水处理系统</w:t>
      </w:r>
      <w:r>
        <w:rPr>
          <w:rFonts w:hint="eastAsia" w:cs="Times New Roman"/>
          <w:bCs/>
          <w:color w:val="auto"/>
          <w:lang w:eastAsia="zh-CN"/>
        </w:rPr>
        <w:t>等</w:t>
      </w:r>
      <w:r>
        <w:rPr>
          <w:rFonts w:hint="default" w:ascii="Times New Roman" w:hAnsi="Times New Roman" w:cs="Times New Roman"/>
          <w:bCs/>
          <w:color w:val="auto"/>
        </w:rPr>
        <w:t>，食堂废水、综合门急诊废水</w:t>
      </w:r>
      <w:r>
        <w:rPr>
          <w:rFonts w:hint="eastAsia" w:cs="Times New Roman"/>
          <w:bCs/>
          <w:color w:val="auto"/>
          <w:lang w:eastAsia="zh-CN"/>
        </w:rPr>
        <w:t>经油水分离器、化粪池预处理后进入院区</w:t>
      </w:r>
      <w:r>
        <w:rPr>
          <w:rFonts w:hint="default" w:ascii="Times New Roman" w:hAnsi="Times New Roman" w:cs="Times New Roman"/>
          <w:bCs/>
          <w:color w:val="auto"/>
        </w:rPr>
        <w:t>污水处理站</w:t>
      </w:r>
      <w:r>
        <w:rPr>
          <w:rFonts w:hint="eastAsia" w:cs="Times New Roman"/>
          <w:bCs/>
          <w:color w:val="auto"/>
          <w:lang w:eastAsia="zh-CN"/>
        </w:rPr>
        <w:t>处理</w:t>
      </w:r>
      <w:r>
        <w:rPr>
          <w:rFonts w:hint="eastAsia" w:ascii="Times New Roman" w:hAnsi="Times New Roman" w:cs="Times New Roman"/>
          <w:bCs/>
          <w:color w:val="auto"/>
          <w:lang w:eastAsia="zh-CN"/>
        </w:rPr>
        <w:t>，</w:t>
      </w:r>
      <w:r>
        <w:rPr>
          <w:rFonts w:hint="default" w:ascii="Times New Roman" w:hAnsi="Times New Roman" w:cs="Times New Roman"/>
          <w:bCs/>
          <w:color w:val="auto"/>
        </w:rPr>
        <w:t>感染</w:t>
      </w:r>
      <w:r>
        <w:rPr>
          <w:rFonts w:hint="eastAsia" w:cs="Times New Roman"/>
          <w:bCs/>
          <w:color w:val="auto"/>
          <w:lang w:eastAsia="zh-CN"/>
        </w:rPr>
        <w:t>门诊（特殊门诊）</w:t>
      </w:r>
      <w:r>
        <w:rPr>
          <w:rFonts w:hint="default" w:ascii="Times New Roman" w:hAnsi="Times New Roman" w:cs="Times New Roman"/>
          <w:bCs/>
          <w:color w:val="auto"/>
        </w:rPr>
        <w:t>废水经预消毒处理后与其他废水一同排入</w:t>
      </w:r>
      <w:r>
        <w:rPr>
          <w:rFonts w:hint="eastAsia" w:cs="Times New Roman"/>
          <w:bCs/>
          <w:color w:val="auto"/>
          <w:lang w:eastAsia="zh-CN"/>
        </w:rPr>
        <w:t>院区</w:t>
      </w:r>
      <w:r>
        <w:rPr>
          <w:rFonts w:hint="default" w:ascii="Times New Roman" w:hAnsi="Times New Roman" w:cs="Times New Roman"/>
          <w:bCs/>
          <w:color w:val="auto"/>
        </w:rPr>
        <w:t>污水处理站进一步处理</w:t>
      </w:r>
      <w:r>
        <w:rPr>
          <w:rFonts w:hint="eastAsia" w:cs="Times New Roman"/>
          <w:bCs/>
          <w:color w:val="auto"/>
          <w:lang w:eastAsia="zh-CN"/>
        </w:rPr>
        <w:t>。污水处理站</w:t>
      </w:r>
      <w:r>
        <w:rPr>
          <w:rFonts w:hint="default" w:ascii="Times New Roman" w:hAnsi="Times New Roman" w:cs="Times New Roman"/>
          <w:bCs/>
          <w:color w:val="auto"/>
        </w:rPr>
        <w:t>处理后</w:t>
      </w:r>
      <w:r>
        <w:rPr>
          <w:rFonts w:hint="eastAsia" w:cs="Times New Roman"/>
          <w:bCs/>
          <w:color w:val="auto"/>
          <w:lang w:eastAsia="zh-CN"/>
        </w:rPr>
        <w:t>废水</w:t>
      </w:r>
      <w:r>
        <w:rPr>
          <w:rFonts w:hint="default" w:ascii="Times New Roman" w:hAnsi="Times New Roman" w:cs="Times New Roman"/>
          <w:bCs/>
          <w:color w:val="auto"/>
        </w:rPr>
        <w:t>达《医疗机构水污染物排放标准》（GB18466-2005）表</w:t>
      </w:r>
      <w:r>
        <w:rPr>
          <w:rFonts w:hint="eastAsia" w:cs="Times New Roman"/>
          <w:bCs/>
          <w:color w:val="auto"/>
          <w:lang w:val="en-US" w:eastAsia="zh-CN"/>
        </w:rPr>
        <w:t>2</w:t>
      </w:r>
      <w:r>
        <w:rPr>
          <w:rFonts w:hint="default" w:ascii="Times New Roman" w:hAnsi="Times New Roman" w:cs="Times New Roman"/>
          <w:bCs/>
          <w:color w:val="auto"/>
        </w:rPr>
        <w:t>预处理标准</w:t>
      </w:r>
      <w:r>
        <w:rPr>
          <w:rFonts w:hint="eastAsia" w:ascii="Times New Roman" w:hAnsi="Times New Roman" w:cs="Times New Roman"/>
          <w:bCs/>
          <w:color w:val="auto"/>
          <w:lang w:eastAsia="zh-CN"/>
        </w:rPr>
        <w:t>及</w:t>
      </w:r>
      <w:r>
        <w:rPr>
          <w:rFonts w:hint="eastAsia" w:cs="Times New Roman"/>
          <w:bCs/>
          <w:color w:val="auto"/>
          <w:lang w:eastAsia="zh-CN"/>
        </w:rPr>
        <w:t>十五里河污水处理厂接管</w:t>
      </w:r>
      <w:r>
        <w:rPr>
          <w:rFonts w:hint="default" w:ascii="Times New Roman" w:hAnsi="Times New Roman" w:cs="Times New Roman"/>
          <w:bCs/>
          <w:color w:val="auto"/>
        </w:rPr>
        <w:t>标准</w:t>
      </w:r>
      <w:r>
        <w:rPr>
          <w:rFonts w:hint="eastAsia" w:ascii="Times New Roman" w:hAnsi="Times New Roman" w:cs="Times New Roman"/>
          <w:bCs/>
          <w:color w:val="auto"/>
          <w:lang w:eastAsia="zh-CN"/>
        </w:rPr>
        <w:t>后</w:t>
      </w:r>
      <w:r>
        <w:rPr>
          <w:rFonts w:hint="default" w:ascii="Times New Roman" w:hAnsi="Times New Roman" w:cs="Times New Roman"/>
          <w:bCs/>
          <w:color w:val="auto"/>
        </w:rPr>
        <w:t>通过医院总排口排出</w:t>
      </w:r>
      <w:r>
        <w:rPr>
          <w:rFonts w:hint="eastAsia" w:cs="Times New Roman"/>
          <w:bCs/>
          <w:color w:val="auto"/>
          <w:lang w:eastAsia="zh-CN"/>
        </w:rPr>
        <w:t>，</w:t>
      </w:r>
      <w:r>
        <w:rPr>
          <w:rFonts w:hint="default" w:ascii="Times New Roman" w:hAnsi="Times New Roman" w:cs="Times New Roman"/>
          <w:bCs/>
          <w:color w:val="auto"/>
        </w:rPr>
        <w:t>最终进入</w:t>
      </w:r>
      <w:r>
        <w:rPr>
          <w:rFonts w:hint="eastAsia" w:cs="Times New Roman"/>
          <w:bCs/>
          <w:color w:val="auto"/>
          <w:lang w:eastAsia="zh-CN"/>
        </w:rPr>
        <w:t>十五里河污水处理厂深度</w:t>
      </w:r>
      <w:r>
        <w:rPr>
          <w:rFonts w:hint="default" w:ascii="Times New Roman" w:hAnsi="Times New Roman" w:cs="Times New Roman"/>
          <w:bCs/>
          <w:color w:val="auto"/>
          <w:szCs w:val="21"/>
        </w:rPr>
        <w:t>处理</w:t>
      </w:r>
      <w:r>
        <w:rPr>
          <w:rFonts w:hint="default" w:ascii="Times New Roman" w:hAnsi="Times New Roman" w:cs="Times New Roman"/>
          <w:bCs/>
          <w:color w:val="auto"/>
        </w:rPr>
        <w:t>。总排口安装在线监测</w:t>
      </w:r>
      <w:r>
        <w:rPr>
          <w:rFonts w:hint="eastAsia" w:cs="Times New Roman"/>
          <w:bCs/>
          <w:color w:val="auto"/>
          <w:lang w:eastAsia="zh-CN"/>
        </w:rPr>
        <w:t>。</w:t>
      </w:r>
    </w:p>
    <w:p>
      <w:pPr>
        <w:pStyle w:val="2"/>
        <w:numPr>
          <w:ilvl w:val="0"/>
          <w:numId w:val="0"/>
        </w:numPr>
        <w:spacing w:before="0" w:after="0" w:line="360" w:lineRule="auto"/>
        <w:rPr>
          <w:rFonts w:hint="eastAsia"/>
          <w:color w:val="auto"/>
        </w:rPr>
      </w:pPr>
      <w:r>
        <w:rPr>
          <w:rFonts w:hint="eastAsia"/>
          <w:color w:val="auto"/>
          <w:lang w:val="en-US" w:eastAsia="zh-CN"/>
        </w:rPr>
        <w:t>3.1.6.2</w:t>
      </w:r>
      <w:r>
        <w:rPr>
          <w:rFonts w:hint="eastAsia"/>
          <w:color w:val="auto"/>
        </w:rPr>
        <w:t>消防规划</w:t>
      </w:r>
    </w:p>
    <w:p>
      <w:pPr>
        <w:spacing w:line="360" w:lineRule="auto"/>
        <w:ind w:firstLine="480"/>
        <w:rPr>
          <w:rFonts w:hint="eastAsia" w:eastAsia="宋体"/>
          <w:color w:val="auto"/>
          <w:lang w:eastAsia="zh-CN"/>
        </w:rPr>
      </w:pPr>
      <w:r>
        <w:rPr>
          <w:rFonts w:hint="eastAsia" w:hAnsi="宋体"/>
          <w:color w:val="auto"/>
        </w:rPr>
        <w:t>本工程设有室外消火栓系统，室内消火栓系统，自动喷水灭火系统，气体灭火系统，灭火器配置</w:t>
      </w:r>
      <w:r>
        <w:rPr>
          <w:rFonts w:hint="eastAsia" w:hAnsi="宋体"/>
          <w:color w:val="auto"/>
          <w:lang w:eastAsia="zh-CN"/>
        </w:rPr>
        <w:t>。</w:t>
      </w:r>
      <w:r>
        <w:rPr>
          <w:rFonts w:hAnsi="宋体"/>
          <w:color w:val="auto"/>
        </w:rPr>
        <w:t>遵循</w:t>
      </w:r>
      <w:r>
        <w:rPr>
          <w:rFonts w:hint="eastAsia" w:cs="宋体"/>
          <w:color w:val="auto"/>
          <w:lang w:eastAsia="zh-CN"/>
        </w:rPr>
        <w:t>“</w:t>
      </w:r>
      <w:r>
        <w:rPr>
          <w:rFonts w:hAnsi="宋体"/>
          <w:color w:val="auto"/>
        </w:rPr>
        <w:t>预防为主，消防结合</w:t>
      </w:r>
      <w:r>
        <w:rPr>
          <w:rFonts w:hint="eastAsia" w:cs="宋体"/>
          <w:color w:val="auto"/>
          <w:lang w:eastAsia="zh-CN"/>
        </w:rPr>
        <w:t>”</w:t>
      </w:r>
      <w:r>
        <w:rPr>
          <w:rFonts w:hAnsi="宋体"/>
          <w:color w:val="auto"/>
        </w:rPr>
        <w:t>的方针，做到安全适用、技术先进、经济合理。</w:t>
      </w:r>
    </w:p>
    <w:p>
      <w:pPr>
        <w:spacing w:line="360" w:lineRule="auto"/>
        <w:ind w:firstLine="480"/>
        <w:rPr>
          <w:bCs/>
          <w:color w:val="auto"/>
        </w:rPr>
      </w:pPr>
      <w:r>
        <w:rPr>
          <w:rFonts w:hAnsi="宋体"/>
          <w:bCs/>
          <w:color w:val="auto"/>
        </w:rPr>
        <w:t>（</w:t>
      </w:r>
      <w:r>
        <w:rPr>
          <w:bCs/>
          <w:color w:val="auto"/>
        </w:rPr>
        <w:t>1</w:t>
      </w:r>
      <w:r>
        <w:rPr>
          <w:rFonts w:hAnsi="宋体"/>
          <w:bCs/>
          <w:color w:val="auto"/>
        </w:rPr>
        <w:t>）消防给水系统</w:t>
      </w:r>
    </w:p>
    <w:p>
      <w:pPr>
        <w:spacing w:line="360" w:lineRule="auto"/>
        <w:ind w:firstLine="480"/>
        <w:rPr>
          <w:rFonts w:hint="eastAsia" w:eastAsia="宋体"/>
          <w:color w:val="auto"/>
          <w:lang w:eastAsia="zh-CN"/>
        </w:rPr>
      </w:pPr>
      <w:r>
        <w:rPr>
          <w:rFonts w:hAnsi="宋体"/>
          <w:color w:val="auto"/>
        </w:rPr>
        <w:t>市政供水管网是生活用水和消防用水公用的管网，可满足</w:t>
      </w:r>
      <w:r>
        <w:rPr>
          <w:rFonts w:hint="eastAsia" w:hAnsi="宋体"/>
          <w:color w:val="auto"/>
        </w:rPr>
        <w:t>项目</w:t>
      </w:r>
      <w:r>
        <w:rPr>
          <w:rFonts w:hAnsi="宋体"/>
          <w:color w:val="auto"/>
        </w:rPr>
        <w:t>消防用水。消火栓设置间距按国家及地方有关标准执行，消防栓间距不大于</w:t>
      </w:r>
      <w:r>
        <w:rPr>
          <w:color w:val="auto"/>
        </w:rPr>
        <w:t>120m</w:t>
      </w:r>
      <w:r>
        <w:rPr>
          <w:rFonts w:hAnsi="宋体"/>
          <w:color w:val="auto"/>
        </w:rPr>
        <w:t>，距道路边不大于</w:t>
      </w:r>
      <w:r>
        <w:rPr>
          <w:color w:val="auto"/>
        </w:rPr>
        <w:t>2m</w:t>
      </w:r>
      <w:r>
        <w:rPr>
          <w:rFonts w:hAnsi="宋体"/>
          <w:color w:val="auto"/>
        </w:rPr>
        <w:t>，距建筑物不小于</w:t>
      </w:r>
      <w:r>
        <w:rPr>
          <w:color w:val="auto"/>
        </w:rPr>
        <w:t>5m</w:t>
      </w:r>
      <w:r>
        <w:rPr>
          <w:rFonts w:hAnsi="宋体"/>
          <w:color w:val="auto"/>
        </w:rPr>
        <w:t>。</w:t>
      </w:r>
      <w:r>
        <w:rPr>
          <w:rFonts w:hint="eastAsia" w:hAnsi="宋体"/>
          <w:color w:val="auto"/>
          <w:lang w:eastAsia="zh-CN"/>
        </w:rPr>
        <w:t>本项目本侧地下一层设有消防水池。</w:t>
      </w:r>
    </w:p>
    <w:p>
      <w:pPr>
        <w:spacing w:line="360" w:lineRule="auto"/>
        <w:ind w:firstLine="480"/>
        <w:rPr>
          <w:bCs/>
          <w:color w:val="auto"/>
        </w:rPr>
      </w:pPr>
      <w:r>
        <w:rPr>
          <w:bCs/>
          <w:color w:val="auto"/>
        </w:rPr>
        <w:t>（2）消防水力</w:t>
      </w:r>
    </w:p>
    <w:p>
      <w:pPr>
        <w:spacing w:line="360" w:lineRule="auto"/>
        <w:ind w:firstLine="480"/>
        <w:rPr>
          <w:color w:val="auto"/>
        </w:rPr>
      </w:pPr>
      <w:r>
        <w:rPr>
          <w:color w:val="auto"/>
        </w:rPr>
        <w:t>给水管网设计应保证消防用水水压要求，以最不利点的消火栓水压不低于10m水柱（从地面算起）。为满足城市消火需要，城市道路下给水管道管径不应低于DN150。</w:t>
      </w:r>
    </w:p>
    <w:p>
      <w:pPr>
        <w:spacing w:line="360" w:lineRule="auto"/>
        <w:ind w:firstLine="480"/>
        <w:rPr>
          <w:color w:val="auto"/>
        </w:rPr>
      </w:pPr>
      <w:r>
        <w:rPr>
          <w:bCs/>
          <w:color w:val="auto"/>
        </w:rPr>
        <w:t>（3）</w:t>
      </w:r>
      <w:r>
        <w:rPr>
          <w:rFonts w:hint="eastAsia"/>
          <w:bCs/>
          <w:color w:val="auto"/>
        </w:rPr>
        <w:t>总平面消防</w:t>
      </w:r>
    </w:p>
    <w:p>
      <w:pPr>
        <w:spacing w:line="360" w:lineRule="auto"/>
        <w:ind w:firstLine="480"/>
        <w:rPr>
          <w:color w:val="auto"/>
        </w:rPr>
      </w:pPr>
      <w:r>
        <w:rPr>
          <w:color w:val="auto"/>
        </w:rPr>
        <w:t>项目区</w:t>
      </w:r>
      <w:r>
        <w:rPr>
          <w:rFonts w:hint="eastAsia"/>
          <w:color w:val="auto"/>
          <w:lang w:val="en-US" w:eastAsia="zh-CN"/>
        </w:rPr>
        <w:t>大楼</w:t>
      </w:r>
      <w:r>
        <w:rPr>
          <w:rFonts w:hint="eastAsia"/>
          <w:color w:val="auto"/>
        </w:rPr>
        <w:t>及地下室</w:t>
      </w:r>
      <w:r>
        <w:rPr>
          <w:color w:val="auto"/>
        </w:rPr>
        <w:t>等场所内按照国家和地方规定的标准安装灭火器和相关灭火设施。</w:t>
      </w:r>
    </w:p>
    <w:p>
      <w:pPr>
        <w:pStyle w:val="2"/>
        <w:numPr>
          <w:ilvl w:val="0"/>
          <w:numId w:val="0"/>
        </w:numPr>
        <w:spacing w:before="0" w:after="0" w:line="360" w:lineRule="auto"/>
        <w:rPr>
          <w:rFonts w:hint="eastAsia" w:eastAsia="宋体"/>
          <w:b/>
          <w:bCs/>
          <w:color w:val="auto"/>
        </w:rPr>
      </w:pPr>
      <w:r>
        <w:rPr>
          <w:rFonts w:hint="eastAsia"/>
          <w:b/>
          <w:bCs/>
          <w:color w:val="auto"/>
          <w:lang w:val="en-US" w:eastAsia="zh-CN"/>
        </w:rPr>
        <w:t>3</w:t>
      </w:r>
      <w:r>
        <w:rPr>
          <w:rFonts w:hint="eastAsia" w:eastAsia="宋体"/>
          <w:b/>
          <w:bCs/>
          <w:color w:val="auto"/>
          <w:lang w:val="en-US" w:eastAsia="zh-CN"/>
        </w:rPr>
        <w:t>.1.</w:t>
      </w:r>
      <w:r>
        <w:rPr>
          <w:rFonts w:hint="eastAsia"/>
          <w:b/>
          <w:bCs/>
          <w:color w:val="auto"/>
          <w:lang w:val="en-US" w:eastAsia="zh-CN"/>
        </w:rPr>
        <w:t>6</w:t>
      </w:r>
      <w:r>
        <w:rPr>
          <w:rFonts w:hint="eastAsia" w:eastAsia="宋体"/>
          <w:b/>
          <w:bCs/>
          <w:color w:val="auto"/>
          <w:lang w:val="en-US" w:eastAsia="zh-CN"/>
        </w:rPr>
        <w:t>.3</w:t>
      </w:r>
      <w:r>
        <w:rPr>
          <w:rFonts w:hint="eastAsia" w:eastAsia="宋体"/>
          <w:b/>
          <w:bCs/>
          <w:color w:val="auto"/>
        </w:rPr>
        <w:t>供气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Cs/>
          <w:color w:val="auto"/>
          <w:lang w:val="en-US" w:eastAsia="zh-CN"/>
        </w:rPr>
      </w:pPr>
      <w:r>
        <w:rPr>
          <w:rFonts w:hint="default" w:ascii="Times New Roman" w:hAnsi="Times New Roman" w:cs="Times New Roman"/>
          <w:bCs/>
          <w:color w:val="auto"/>
          <w:lang w:val="en-US" w:eastAsia="zh-CN"/>
        </w:rPr>
        <w:t>（1）燃气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val="en-US" w:eastAsia="zh-CN"/>
        </w:rPr>
        <w:t>①</w:t>
      </w:r>
      <w:r>
        <w:rPr>
          <w:rFonts w:hint="default" w:ascii="Times New Roman" w:hAnsi="Times New Roman" w:cs="Times New Roman"/>
          <w:bCs/>
          <w:color w:val="auto"/>
          <w:highlight w:val="none"/>
        </w:rPr>
        <w:t>市政引入管设计压力</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市政引入管压力为0.2Mpa，属中压A级管，庭院管设计压力为0.1Mpa，运行压力为0.004Mpa。</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val="en-US" w:eastAsia="zh-CN"/>
        </w:rPr>
        <w:t>②</w:t>
      </w:r>
      <w:r>
        <w:rPr>
          <w:rFonts w:hint="default" w:ascii="Times New Roman" w:hAnsi="Times New Roman" w:cs="Times New Roman"/>
          <w:bCs/>
          <w:color w:val="auto"/>
          <w:highlight w:val="none"/>
        </w:rPr>
        <w:t>管材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市政引入管采用SDR11系列。庭院管段采用SDR17.6系列燃气用埋地聚乙烯管材，室内燃气管采用标准镀锌钢管。</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lang w:eastAsia="zh-CN"/>
        </w:rPr>
        <w:t>（</w:t>
      </w:r>
      <w:r>
        <w:rPr>
          <w:rFonts w:hint="default"/>
          <w:color w:val="auto"/>
          <w:highlight w:val="none"/>
          <w:lang w:val="en-US" w:eastAsia="zh-CN"/>
        </w:rPr>
        <w:t>2</w:t>
      </w:r>
      <w:r>
        <w:rPr>
          <w:rFonts w:hint="default"/>
          <w:color w:val="auto"/>
          <w:highlight w:val="none"/>
          <w:lang w:eastAsia="zh-CN"/>
        </w:rPr>
        <w:t>）</w:t>
      </w:r>
      <w:r>
        <w:rPr>
          <w:rFonts w:hint="default"/>
          <w:color w:val="auto"/>
          <w:highlight w:val="none"/>
        </w:rPr>
        <w:t>氧气</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rPr>
        <w:t>氧气主要供各病房、急诊、手术室等使用</w:t>
      </w:r>
      <w:r>
        <w:rPr>
          <w:rFonts w:hint="eastAsia"/>
          <w:color w:val="auto"/>
          <w:highlight w:val="none"/>
          <w:lang w:eastAsia="zh-CN"/>
        </w:rPr>
        <w:t>，项目设有液氧站</w:t>
      </w:r>
      <w:r>
        <w:rPr>
          <w:rFonts w:hint="default"/>
          <w:color w:val="auto"/>
          <w:highlight w:val="none"/>
        </w:rPr>
        <w:t>。</w:t>
      </w:r>
      <w:r>
        <w:rPr>
          <w:rFonts w:hint="eastAsia"/>
          <w:color w:val="auto"/>
          <w:highlight w:val="none"/>
          <w:lang w:val="en-US" w:eastAsia="zh-CN"/>
        </w:rPr>
        <w:t>氧气管道通过总管道直埋接至各楼用气点，在大楼的一层设置氧气减压阀箱，减压至0.45MPa后经楼内医用气体专用管井接至各层科室</w:t>
      </w:r>
      <w:r>
        <w:rPr>
          <w:rFonts w:hint="default"/>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lang w:eastAsia="zh-CN"/>
        </w:rPr>
        <w:t>（</w:t>
      </w:r>
      <w:r>
        <w:rPr>
          <w:rFonts w:hint="default"/>
          <w:color w:val="auto"/>
          <w:highlight w:val="none"/>
          <w:lang w:val="en-US" w:eastAsia="zh-CN"/>
        </w:rPr>
        <w:t>3</w:t>
      </w:r>
      <w:r>
        <w:rPr>
          <w:rFonts w:hint="default"/>
          <w:color w:val="auto"/>
          <w:highlight w:val="none"/>
          <w:lang w:eastAsia="zh-CN"/>
        </w:rPr>
        <w:t>）</w:t>
      </w:r>
      <w:r>
        <w:rPr>
          <w:rFonts w:hint="default"/>
          <w:color w:val="auto"/>
          <w:highlight w:val="none"/>
        </w:rPr>
        <w:t>医用</w:t>
      </w:r>
      <w:r>
        <w:rPr>
          <w:rFonts w:hint="default"/>
          <w:color w:val="auto"/>
          <w:highlight w:val="none"/>
          <w:lang w:val="en-US" w:eastAsia="zh-CN"/>
        </w:rPr>
        <w:t>抽</w:t>
      </w:r>
      <w:r>
        <w:rPr>
          <w:rFonts w:hint="default"/>
          <w:color w:val="auto"/>
          <w:highlight w:val="none"/>
        </w:rPr>
        <w:t>真空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rPr>
        <w:t>医用真空系统主要供各病房、急诊、手术室等使用</w:t>
      </w:r>
      <w:r>
        <w:rPr>
          <w:rFonts w:hint="eastAsia"/>
          <w:color w:val="auto"/>
          <w:highlight w:val="none"/>
          <w:lang w:eastAsia="zh-CN"/>
        </w:rPr>
        <w:t>，由</w:t>
      </w:r>
      <w:r>
        <w:rPr>
          <w:rFonts w:hint="eastAsia"/>
          <w:color w:val="auto"/>
          <w:highlight w:val="none"/>
          <w:lang w:val="en-US" w:eastAsia="zh-CN"/>
        </w:rPr>
        <w:t>2套医用真空负压机组（一用一备）组成</w:t>
      </w:r>
      <w:r>
        <w:rPr>
          <w:rFonts w:hint="default"/>
          <w:color w:val="auto"/>
          <w:highlight w:val="none"/>
        </w:rPr>
        <w:t>。真空压力为-0.05～-0.07MPa。</w:t>
      </w:r>
      <w:r>
        <w:rPr>
          <w:rFonts w:hint="eastAsia"/>
          <w:color w:val="auto"/>
          <w:highlight w:val="none"/>
          <w:lang w:val="en-US" w:eastAsia="zh-CN"/>
        </w:rPr>
        <w:t>在地下一层设置真空泵房</w:t>
      </w:r>
      <w:r>
        <w:rPr>
          <w:rFonts w:hint="default"/>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rPr>
      </w:pPr>
      <w:r>
        <w:rPr>
          <w:rFonts w:hint="default"/>
          <w:color w:val="auto"/>
          <w:lang w:eastAsia="zh-CN"/>
        </w:rPr>
        <w:t>（</w:t>
      </w:r>
      <w:r>
        <w:rPr>
          <w:rFonts w:hint="default"/>
          <w:color w:val="auto"/>
          <w:lang w:val="en-US" w:eastAsia="zh-CN"/>
        </w:rPr>
        <w:t>4</w:t>
      </w:r>
      <w:r>
        <w:rPr>
          <w:rFonts w:hint="default"/>
          <w:color w:val="auto"/>
          <w:lang w:eastAsia="zh-CN"/>
        </w:rPr>
        <w:t>）</w:t>
      </w:r>
      <w:r>
        <w:rPr>
          <w:rFonts w:hint="default"/>
          <w:color w:val="auto"/>
        </w:rPr>
        <w:t>医疗空气</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rPr>
        <w:t>医疗空气供手术室使用，压缩空气供应压力0.4MPa。在地下一层设置空压机房，空压机排气压力0.7MPa。机房内设有超压欠压报警装置及各机自动、手动切换功能。空压机出口的医疗空气经冷冻干燥、过滤、除菌，使其露点、含油水量及细菌含量达到医用空气标准，再经储气罐缓冲后供应。</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rPr>
      </w:pPr>
      <w:r>
        <w:rPr>
          <w:rFonts w:hint="default"/>
          <w:color w:val="auto"/>
          <w:highlight w:val="none"/>
          <w:lang w:eastAsia="zh-CN"/>
        </w:rPr>
        <w:t>（</w:t>
      </w:r>
      <w:r>
        <w:rPr>
          <w:rFonts w:hint="default"/>
          <w:color w:val="auto"/>
          <w:highlight w:val="none"/>
          <w:lang w:val="en-US" w:eastAsia="zh-CN"/>
        </w:rPr>
        <w:t>5</w:t>
      </w:r>
      <w:r>
        <w:rPr>
          <w:rFonts w:hint="default"/>
          <w:color w:val="auto"/>
          <w:highlight w:val="none"/>
          <w:lang w:eastAsia="zh-CN"/>
        </w:rPr>
        <w:t>）</w:t>
      </w:r>
      <w:r>
        <w:rPr>
          <w:rFonts w:hint="default"/>
          <w:color w:val="auto"/>
          <w:highlight w:val="none"/>
        </w:rPr>
        <w:t>手术室氧化亚氮</w:t>
      </w:r>
      <w:r>
        <w:rPr>
          <w:rFonts w:hint="default"/>
          <w:color w:val="auto"/>
          <w:highlight w:val="none"/>
          <w:lang w:eastAsia="zh-CN"/>
        </w:rPr>
        <w:t>（</w:t>
      </w:r>
      <w:r>
        <w:rPr>
          <w:rFonts w:hint="default"/>
          <w:color w:val="auto"/>
          <w:highlight w:val="none"/>
          <w:lang w:val="en-US" w:eastAsia="zh-CN"/>
        </w:rPr>
        <w:t>笑气</w:t>
      </w:r>
      <w:r>
        <w:rPr>
          <w:rFonts w:hint="default"/>
          <w:color w:val="auto"/>
          <w:highlight w:val="none"/>
          <w:lang w:eastAsia="zh-CN"/>
        </w:rPr>
        <w:t>）</w:t>
      </w:r>
      <w:r>
        <w:rPr>
          <w:rFonts w:hint="default"/>
          <w:color w:val="auto"/>
          <w:highlight w:val="none"/>
        </w:rPr>
        <w:t>、氮气、二氧化碳供应</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rPr>
      </w:pPr>
      <w:r>
        <w:rPr>
          <w:rFonts w:hint="default"/>
          <w:color w:val="auto"/>
        </w:rPr>
        <w:t>氧化亚氮、氮气、二氧化碳专供手术室使用。在手术室上层的设备层设气体汇流排供应。气体汇流排置于专用房间内。</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rPr>
      </w:pPr>
      <w:r>
        <w:rPr>
          <w:rFonts w:hint="default"/>
          <w:color w:val="auto"/>
          <w:lang w:eastAsia="zh-CN"/>
        </w:rPr>
        <w:t>（</w:t>
      </w:r>
      <w:r>
        <w:rPr>
          <w:rFonts w:hint="default"/>
          <w:color w:val="auto"/>
          <w:lang w:val="en-US" w:eastAsia="zh-CN"/>
        </w:rPr>
        <w:t>6</w:t>
      </w:r>
      <w:r>
        <w:rPr>
          <w:rFonts w:hint="default"/>
          <w:color w:val="auto"/>
          <w:lang w:eastAsia="zh-CN"/>
        </w:rPr>
        <w:t>）</w:t>
      </w:r>
      <w:r>
        <w:rPr>
          <w:rFonts w:hint="default"/>
          <w:color w:val="auto"/>
        </w:rPr>
        <w:t>手术室麻醉废气排放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rPr>
      </w:pPr>
      <w:r>
        <w:rPr>
          <w:rFonts w:hint="default"/>
          <w:color w:val="auto"/>
        </w:rPr>
        <w:t>麻醉废气利用医用压缩空气为载气 通过动力管路直接排出室外（外墙）。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）感染门诊空气净化系统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72" w:firstLineChars="200"/>
        <w:textAlignment w:val="auto"/>
        <w:rPr>
          <w:rFonts w:hint="eastAsia" w:eastAsia="宋体"/>
          <w:color w:val="auto"/>
          <w:lang w:eastAsia="zh-CN"/>
        </w:rPr>
      </w:pPr>
      <w:r>
        <w:rPr>
          <w:rFonts w:hint="eastAsia" w:ascii="Calibri" w:hAnsi="Calibri" w:eastAsia="宋体" w:cs="Times New Roman"/>
          <w:snapToGrid/>
          <w:color w:val="auto"/>
          <w:spacing w:val="-2"/>
          <w:kern w:val="2"/>
          <w:sz w:val="24"/>
          <w:szCs w:val="24"/>
          <w:lang w:val="en-US" w:eastAsia="zh-CN" w:bidi="ar-SA"/>
        </w:rPr>
        <w:t>感染</w:t>
      </w:r>
      <w:r>
        <w:rPr>
          <w:rFonts w:hint="eastAsia" w:ascii="Calibri" w:hAnsi="Calibri" w:cs="Times New Roman"/>
          <w:snapToGrid/>
          <w:color w:val="auto"/>
          <w:spacing w:val="-2"/>
          <w:kern w:val="2"/>
          <w:sz w:val="24"/>
          <w:szCs w:val="24"/>
          <w:lang w:val="en-US" w:eastAsia="zh-CN" w:bidi="ar-SA"/>
        </w:rPr>
        <w:t>门诊</w:t>
      </w:r>
      <w:r>
        <w:rPr>
          <w:rFonts w:hint="eastAsia" w:ascii="Calibri" w:hAnsi="Calibri" w:eastAsia="宋体" w:cs="Times New Roman"/>
          <w:snapToGrid/>
          <w:color w:val="auto"/>
          <w:spacing w:val="-2"/>
          <w:kern w:val="2"/>
          <w:sz w:val="24"/>
          <w:szCs w:val="24"/>
          <w:lang w:val="en-US" w:eastAsia="zh-CN" w:bidi="ar-SA"/>
        </w:rPr>
        <w:t>进风采用初、中效过滤，出风：</w:t>
      </w:r>
      <w:r>
        <w:rPr>
          <w:rFonts w:hint="eastAsia" w:ascii="Calibri" w:hAnsi="Calibri" w:eastAsia="宋体" w:cs="Times New Roman"/>
          <w:snapToGrid/>
          <w:color w:val="auto"/>
          <w:spacing w:val="-2"/>
          <w:kern w:val="2"/>
          <w:sz w:val="24"/>
          <w:szCs w:val="24"/>
          <w:lang w:val="en-US" w:eastAsia="zh-CN" w:bidi="ar-SA"/>
        </w:rPr>
        <w:t>普通病房初效过滤器、重症和负压病房高效过滤器。</w:t>
      </w:r>
    </w:p>
    <w:p>
      <w:pPr>
        <w:pStyle w:val="2"/>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color w:val="auto"/>
        </w:rPr>
      </w:pPr>
      <w:r>
        <w:rPr>
          <w:rFonts w:hint="eastAsia"/>
          <w:color w:val="auto"/>
          <w:lang w:val="en-US" w:eastAsia="zh-CN"/>
        </w:rPr>
        <w:t>3.1.6.4</w:t>
      </w:r>
      <w:r>
        <w:rPr>
          <w:color w:val="auto"/>
        </w:rPr>
        <w:t xml:space="preserve">供电系统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eastAsia" w:cs="Times New Roman"/>
          <w:color w:val="auto"/>
          <w:szCs w:val="21"/>
          <w:lang w:val="en-US" w:eastAsia="zh-CN"/>
        </w:rPr>
        <w:t>1</w:t>
      </w:r>
      <w:r>
        <w:rPr>
          <w:rFonts w:hint="default" w:ascii="Times New Roman" w:hAnsi="Times New Roman" w:cs="Times New Roman"/>
          <w:color w:val="auto"/>
          <w:szCs w:val="21"/>
        </w:rPr>
        <w:t>）变电站</w:t>
      </w:r>
    </w:p>
    <w:p>
      <w:pPr>
        <w:pageBreakBefore w:val="0"/>
        <w:widowControl w:val="0"/>
        <w:kinsoku/>
        <w:wordWrap/>
        <w:overflowPunct/>
        <w:topLinePunct w:val="0"/>
        <w:autoSpaceDE/>
        <w:autoSpaceDN/>
        <w:bidi w:val="0"/>
        <w:adjustRightInd/>
        <w:snapToGrid/>
        <w:spacing w:line="360" w:lineRule="auto"/>
        <w:textAlignment w:val="auto"/>
        <w:rPr>
          <w:rFonts w:hint="default" w:eastAsia="宋体"/>
          <w:color w:val="auto"/>
          <w:szCs w:val="21"/>
          <w:lang w:val="en-US" w:eastAsia="zh-CN"/>
        </w:rPr>
      </w:pPr>
      <w:r>
        <w:rPr>
          <w:rFonts w:hint="eastAsia"/>
          <w:color w:val="auto"/>
          <w:szCs w:val="21"/>
        </w:rPr>
        <w:t>地下一层</w:t>
      </w:r>
      <w:r>
        <w:rPr>
          <w:rFonts w:hint="eastAsia"/>
          <w:color w:val="auto"/>
          <w:szCs w:val="21"/>
          <w:lang w:eastAsia="zh-CN"/>
        </w:rPr>
        <w:t>共设置</w:t>
      </w:r>
      <w:r>
        <w:rPr>
          <w:rFonts w:hint="eastAsia"/>
          <w:color w:val="auto"/>
          <w:szCs w:val="21"/>
          <w:lang w:val="en-US" w:eastAsia="zh-CN"/>
        </w:rPr>
        <w:t>2座10kV高压配电房，共设置8座10/0.4kV变电所（含2座充电桩变配电房），根据根据项目功能定位，按 95VA/m</w:t>
      </w:r>
      <w:r>
        <w:rPr>
          <w:rFonts w:hint="eastAsia"/>
          <w:color w:val="auto"/>
          <w:szCs w:val="21"/>
          <w:vertAlign w:val="superscript"/>
          <w:lang w:val="en-US" w:eastAsia="zh-CN"/>
        </w:rPr>
        <w:t>2</w:t>
      </w:r>
      <w:r>
        <w:rPr>
          <w:rFonts w:hint="eastAsia"/>
          <w:color w:val="auto"/>
          <w:szCs w:val="21"/>
          <w:lang w:val="en-US" w:eastAsia="zh-CN"/>
        </w:rPr>
        <w:t>的用电装机容量指标，本工程变压器总装机容量约33750kVA，拟设6台2000kVA、10台1600kVA、3台1250kVA、2台1000kVA干式节能变压器。</w:t>
      </w:r>
    </w:p>
    <w:p>
      <w:pPr>
        <w:pageBreakBefore w:val="0"/>
        <w:widowControl w:val="0"/>
        <w:kinsoku/>
        <w:wordWrap/>
        <w:overflowPunct/>
        <w:topLinePunct w:val="0"/>
        <w:autoSpaceDE/>
        <w:autoSpaceDN/>
        <w:bidi w:val="0"/>
        <w:adjustRightInd/>
        <w:snapToGrid/>
        <w:spacing w:line="360" w:lineRule="auto"/>
        <w:textAlignment w:val="auto"/>
        <w:rPr>
          <w:rFonts w:hint="eastAsia"/>
          <w:color w:val="auto"/>
          <w:szCs w:val="21"/>
        </w:rPr>
      </w:pPr>
      <w:r>
        <w:rPr>
          <w:rFonts w:hint="eastAsia"/>
          <w:color w:val="auto"/>
          <w:szCs w:val="21"/>
        </w:rPr>
        <w:t>（</w:t>
      </w:r>
      <w:r>
        <w:rPr>
          <w:rFonts w:hint="eastAsia"/>
          <w:color w:val="auto"/>
          <w:szCs w:val="21"/>
          <w:lang w:val="en-US" w:eastAsia="zh-CN"/>
        </w:rPr>
        <w:t>2</w:t>
      </w:r>
      <w:r>
        <w:rPr>
          <w:rFonts w:hint="eastAsia"/>
          <w:color w:val="auto"/>
          <w:szCs w:val="21"/>
        </w:rPr>
        <w:t>）应急电源</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Cs w:val="21"/>
          <w:highlight w:val="none"/>
          <w:lang w:val="en-US" w:eastAsia="zh-CN"/>
        </w:rPr>
      </w:pPr>
      <w:r>
        <w:rPr>
          <w:rFonts w:hint="eastAsia"/>
          <w:color w:val="auto"/>
          <w:szCs w:val="21"/>
          <w:highlight w:val="none"/>
          <w:lang w:val="en-US" w:eastAsia="zh-CN"/>
        </w:rPr>
        <w:t>蓄电池：本工程风机房、变配电房等部分场所应急照明灯具选用自带蓄电池做为应急电源。</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Cs w:val="21"/>
          <w:highlight w:val="none"/>
          <w:lang w:val="en-US" w:eastAsia="zh-CN"/>
        </w:rPr>
      </w:pPr>
      <w:r>
        <w:rPr>
          <w:rFonts w:hint="eastAsia"/>
          <w:color w:val="auto"/>
          <w:szCs w:val="21"/>
          <w:highlight w:val="none"/>
          <w:lang w:val="en-US" w:eastAsia="zh-CN"/>
        </w:rPr>
        <w:t>柴油发电机：本工程共设2座柴油发电机房，共4台主用功率为1400W的柴油发电机组，柴油发电机组总安装容量为5600kW，柴油发电机供电时间应大于24h（室内设置不大于1立方米的储油量，通过设置室外输油管接口及输油管路满足不小于 24h 运行的用油需求）。</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Cs w:val="21"/>
          <w:highlight w:val="none"/>
          <w:lang w:val="en-US" w:eastAsia="zh-CN"/>
        </w:rPr>
      </w:pPr>
      <w:r>
        <w:rPr>
          <w:rFonts w:hint="eastAsia"/>
          <w:color w:val="auto"/>
          <w:szCs w:val="21"/>
          <w:highlight w:val="none"/>
          <w:lang w:val="en-US" w:eastAsia="zh-CN"/>
        </w:rPr>
        <w:t>UPS：为确保部分一级负荷及一级负荷中特别重要负荷的供电可靠性，本工程设置不间断电源装置UPS 作为其备用电源。UPS 确保的负荷有：消防监控中心、电子信息设备及机房、安防监控系统及急诊抢救室、ICU 重症监护室、手术室、术前准备室、术后复苏室、麻醉室、血液病房净化室、心血管造影检查室、检验科大型生化仪器室等场所中涉及患者生命安全的设备及照明用电负荷。</w:t>
      </w:r>
    </w:p>
    <w:p>
      <w:pPr>
        <w:pStyle w:val="2"/>
        <w:numPr>
          <w:ilvl w:val="0"/>
          <w:numId w:val="0"/>
        </w:numPr>
        <w:spacing w:line="360" w:lineRule="auto"/>
        <w:rPr>
          <w:rFonts w:hint="eastAsia"/>
          <w:color w:val="auto"/>
        </w:rPr>
      </w:pPr>
      <w:r>
        <w:rPr>
          <w:rFonts w:hint="eastAsia"/>
          <w:color w:val="auto"/>
          <w:lang w:val="en-US" w:eastAsia="zh-CN"/>
        </w:rPr>
        <w:t>3.1.6.5</w:t>
      </w:r>
      <w:r>
        <w:rPr>
          <w:color w:val="auto"/>
        </w:rPr>
        <w:t>供</w:t>
      </w:r>
      <w:r>
        <w:rPr>
          <w:rFonts w:hint="eastAsia"/>
          <w:color w:val="auto"/>
          <w:lang w:val="en-US" w:eastAsia="zh-CN"/>
        </w:rPr>
        <w:t>暖</w:t>
      </w:r>
      <w:r>
        <w:rPr>
          <w:color w:val="auto"/>
        </w:rPr>
        <w:t>、制冷</w:t>
      </w:r>
      <w:r>
        <w:rPr>
          <w:rFonts w:hint="eastAsia"/>
          <w:color w:val="auto"/>
        </w:rPr>
        <w:t>系统</w:t>
      </w:r>
    </w:p>
    <w:p>
      <w:pPr>
        <w:bidi w:val="0"/>
        <w:spacing w:line="360" w:lineRule="auto"/>
        <w:rPr>
          <w:rFonts w:hint="eastAsia"/>
          <w:color w:val="auto"/>
          <w:lang w:val="en-US" w:eastAsia="zh-CN"/>
        </w:rPr>
      </w:pPr>
      <w:r>
        <w:rPr>
          <w:rFonts w:hint="eastAsia"/>
          <w:color w:val="auto"/>
          <w:lang w:val="en-US" w:eastAsia="zh-CN"/>
        </w:rPr>
        <w:t>项目采用自建空调能源形式，空调冷源采用电制冷机组、空调热源采用燃气热水锅炉。</w:t>
      </w:r>
    </w:p>
    <w:p>
      <w:pPr>
        <w:bidi w:val="0"/>
        <w:spacing w:line="360" w:lineRule="auto"/>
        <w:rPr>
          <w:rFonts w:hint="eastAsia"/>
          <w:color w:val="auto"/>
          <w:lang w:val="en-US" w:eastAsia="zh-CN"/>
        </w:rPr>
      </w:pPr>
      <w:r>
        <w:rPr>
          <w:rFonts w:hint="eastAsia"/>
          <w:color w:val="auto"/>
          <w:lang w:val="en-US" w:eastAsia="zh-CN"/>
        </w:rPr>
        <w:t>总冷负荷估算约为21600 kW（约6140RT），选用5台离心式水冷冷水机组及1台螺杆冷水机组，大小机组搭配，满足不同阶段负荷需求。机组提供7~12℃冷水，设于地下室制冷机房内，冷却塔设于塔楼屋面。</w:t>
      </w:r>
    </w:p>
    <w:p>
      <w:pPr>
        <w:bidi w:val="0"/>
        <w:spacing w:line="360" w:lineRule="auto"/>
        <w:rPr>
          <w:rFonts w:hint="eastAsia"/>
          <w:color w:val="auto"/>
          <w:lang w:val="en-US" w:eastAsia="zh-CN"/>
        </w:rPr>
      </w:pPr>
      <w:r>
        <w:rPr>
          <w:rFonts w:hint="eastAsia"/>
          <w:color w:val="auto"/>
          <w:lang w:val="en-US" w:eastAsia="zh-CN"/>
        </w:rPr>
        <w:t>总热负荷估算约为9750 kW，选用5台燃气热水锅炉，大小机组搭配，提供 55/45℃热水，锅炉设于地下一层独立的锅炉房内。</w:t>
      </w:r>
    </w:p>
    <w:p>
      <w:pPr>
        <w:pStyle w:val="2"/>
        <w:numPr>
          <w:ilvl w:val="0"/>
          <w:numId w:val="0"/>
        </w:numPr>
        <w:spacing w:line="360" w:lineRule="auto"/>
        <w:rPr>
          <w:rFonts w:hint="eastAsia"/>
          <w:color w:val="auto"/>
        </w:rPr>
      </w:pPr>
      <w:r>
        <w:rPr>
          <w:rFonts w:hint="eastAsia"/>
          <w:color w:val="auto"/>
          <w:lang w:val="en-US" w:eastAsia="zh-CN"/>
        </w:rPr>
        <w:t>3.1.7.6</w:t>
      </w:r>
      <w:r>
        <w:rPr>
          <w:rFonts w:hint="eastAsia"/>
          <w:color w:val="auto"/>
        </w:rPr>
        <w:t>通风设计</w:t>
      </w:r>
    </w:p>
    <w:p>
      <w:pPr>
        <w:spacing w:line="360" w:lineRule="auto"/>
        <w:ind w:firstLine="480"/>
        <w:rPr>
          <w:rFonts w:hint="eastAsia"/>
          <w:color w:val="auto"/>
          <w:szCs w:val="21"/>
        </w:rPr>
      </w:pPr>
      <w:r>
        <w:rPr>
          <w:rFonts w:hint="eastAsia"/>
          <w:color w:val="auto"/>
          <w:szCs w:val="21"/>
        </w:rPr>
        <w:t>人员密集的公共空间及各医疗部门设机械排风系统，排风量按维持室内微正压（或相对负压）的空气平衡计算确定。</w:t>
      </w:r>
    </w:p>
    <w:p>
      <w:pPr>
        <w:spacing w:line="360" w:lineRule="auto"/>
        <w:ind w:firstLine="480"/>
        <w:rPr>
          <w:rFonts w:hint="eastAsia"/>
          <w:color w:val="auto"/>
          <w:szCs w:val="21"/>
        </w:rPr>
      </w:pPr>
      <w:r>
        <w:rPr>
          <w:rFonts w:hint="eastAsia"/>
          <w:color w:val="auto"/>
          <w:szCs w:val="21"/>
        </w:rPr>
        <w:t>（1）</w:t>
      </w:r>
      <w:r>
        <w:rPr>
          <w:rFonts w:hint="eastAsia"/>
          <w:color w:val="auto"/>
          <w:szCs w:val="21"/>
          <w:lang w:eastAsia="zh-CN"/>
        </w:rPr>
        <w:t>治疗、配药室、化验等医技用房、抢救室、产房、配餐室、开水间等</w:t>
      </w:r>
      <w:r>
        <w:rPr>
          <w:rFonts w:hint="eastAsia"/>
          <w:color w:val="auto"/>
          <w:szCs w:val="21"/>
        </w:rPr>
        <w:t>设计排风机进行机械排风系统，排风量按10次/时计算。</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2</w:t>
      </w:r>
      <w:r>
        <w:rPr>
          <w:rFonts w:hint="eastAsia"/>
          <w:color w:val="auto"/>
          <w:szCs w:val="21"/>
        </w:rPr>
        <w:t>）手术部每间手术室均设排风系统，洁净辅助区和清洁辅助区根据压力梯度要求设计排风系统</w:t>
      </w:r>
      <w:r>
        <w:rPr>
          <w:rFonts w:hint="eastAsia"/>
          <w:color w:val="auto"/>
          <w:szCs w:val="21"/>
          <w:lang w:eastAsia="zh-CN"/>
        </w:rPr>
        <w:t>，</w:t>
      </w:r>
      <w:r>
        <w:rPr>
          <w:rFonts w:hint="eastAsia"/>
          <w:color w:val="auto"/>
          <w:szCs w:val="21"/>
        </w:rPr>
        <w:t>排风量按</w:t>
      </w:r>
      <w:r>
        <w:rPr>
          <w:rFonts w:hint="eastAsia"/>
          <w:color w:val="auto"/>
          <w:szCs w:val="21"/>
          <w:lang w:val="en-US" w:eastAsia="zh-CN"/>
        </w:rPr>
        <w:t>3</w:t>
      </w:r>
      <w:r>
        <w:rPr>
          <w:rFonts w:hint="eastAsia"/>
          <w:color w:val="auto"/>
          <w:szCs w:val="21"/>
        </w:rPr>
        <w:t>次/时计算。</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3</w:t>
      </w:r>
      <w:r>
        <w:rPr>
          <w:rFonts w:hint="eastAsia"/>
          <w:color w:val="auto"/>
          <w:szCs w:val="21"/>
        </w:rPr>
        <w:t>）中心供应的清洗和器械打包分设排风系统，排风量除满足设备要求排风量外，同时满足压力梯度的要求。</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4</w:t>
      </w:r>
      <w:r>
        <w:rPr>
          <w:rFonts w:hint="eastAsia"/>
          <w:color w:val="auto"/>
          <w:szCs w:val="21"/>
        </w:rPr>
        <w:t>）各护理单元的病房卫生间除设置排气扇排风外，屋面设置机械排风系统统一排至室外。</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5</w:t>
      </w:r>
      <w:r>
        <w:rPr>
          <w:rFonts w:hint="eastAsia"/>
          <w:color w:val="auto"/>
          <w:szCs w:val="21"/>
        </w:rPr>
        <w:t>） 手术室汇流排间设计机械排风系统,平时排风量为6次/时。并设事故通风系统，排风量为12次/时。</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6</w:t>
      </w:r>
      <w:r>
        <w:rPr>
          <w:rFonts w:hint="eastAsia"/>
          <w:color w:val="auto"/>
          <w:szCs w:val="21"/>
        </w:rPr>
        <w:t>）换热机房单独设置平时兼事故排风系统，排风量为10次/h。</w:t>
      </w:r>
    </w:p>
    <w:p>
      <w:pPr>
        <w:spacing w:line="360" w:lineRule="auto"/>
        <w:ind w:firstLine="480"/>
        <w:rPr>
          <w:rFonts w:hint="eastAsia" w:ascii="微软雅黑" w:hAnsi="微软雅黑" w:eastAsia="微软雅黑" w:cs="微软雅黑"/>
          <w:color w:val="auto"/>
        </w:rPr>
      </w:pPr>
      <w:r>
        <w:rPr>
          <w:rFonts w:hint="eastAsia"/>
          <w:color w:val="auto"/>
          <w:szCs w:val="21"/>
        </w:rPr>
        <w:t>（</w:t>
      </w:r>
      <w:r>
        <w:rPr>
          <w:rFonts w:hint="eastAsia"/>
          <w:color w:val="auto"/>
          <w:szCs w:val="21"/>
          <w:lang w:val="en-US" w:eastAsia="zh-CN"/>
        </w:rPr>
        <w:t>7</w:t>
      </w:r>
      <w:r>
        <w:rPr>
          <w:rFonts w:hint="eastAsia"/>
          <w:color w:val="auto"/>
          <w:szCs w:val="21"/>
        </w:rPr>
        <w:t>）制冷机房单独设置平时兼事故排风系统，平时排风量为6次/h，事故排风量为12次/h。事故通风机在室内、外便于操作处均设置电器开关。排风机选用防爆风机。</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8</w:t>
      </w:r>
      <w:r>
        <w:rPr>
          <w:rFonts w:hint="eastAsia"/>
          <w:color w:val="auto"/>
          <w:szCs w:val="21"/>
        </w:rPr>
        <w:t>）地下汽车库按n=6次/小时的换气次数设计机械排风系统，按n=5次/小时的换气次数设计机械送风系统。</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9</w:t>
      </w:r>
      <w:r>
        <w:rPr>
          <w:rFonts w:hint="eastAsia"/>
          <w:color w:val="auto"/>
          <w:szCs w:val="21"/>
        </w:rPr>
        <w:t>）设置气体灭火的房间设置气体灭火后排风风机，换气次数为6次/时。排风口设置在防护区的下部。</w:t>
      </w:r>
    </w:p>
    <w:p>
      <w:pPr>
        <w:spacing w:line="360" w:lineRule="auto"/>
        <w:ind w:firstLine="480"/>
        <w:rPr>
          <w:rFonts w:hint="eastAsia"/>
          <w:color w:val="auto"/>
          <w:szCs w:val="21"/>
        </w:rPr>
      </w:pPr>
      <w:r>
        <w:rPr>
          <w:rFonts w:hint="eastAsia"/>
          <w:color w:val="auto"/>
          <w:szCs w:val="21"/>
        </w:rPr>
        <w:t>（</w:t>
      </w:r>
      <w:r>
        <w:rPr>
          <w:rFonts w:hint="eastAsia"/>
          <w:color w:val="auto"/>
          <w:szCs w:val="21"/>
          <w:lang w:val="en-US" w:eastAsia="zh-CN"/>
        </w:rPr>
        <w:t>10</w:t>
      </w:r>
      <w:r>
        <w:rPr>
          <w:rFonts w:hint="eastAsia"/>
          <w:color w:val="auto"/>
          <w:szCs w:val="21"/>
        </w:rPr>
        <w:t>）污水处理站设平时兼事故排风系统，平时排风量为6次/h，事故排风量为12次/h。排风机选用防爆风机。</w:t>
      </w:r>
    </w:p>
    <w:p>
      <w:pPr>
        <w:spacing w:line="360" w:lineRule="auto"/>
        <w:ind w:firstLine="480"/>
        <w:rPr>
          <w:rFonts w:hint="eastAsia"/>
          <w:color w:val="auto"/>
          <w:szCs w:val="21"/>
        </w:rPr>
      </w:pPr>
      <w:r>
        <w:rPr>
          <w:rFonts w:hint="eastAsia"/>
          <w:color w:val="auto"/>
          <w:szCs w:val="21"/>
        </w:rPr>
        <w:t>（1</w:t>
      </w:r>
      <w:r>
        <w:rPr>
          <w:rFonts w:hint="eastAsia"/>
          <w:color w:val="auto"/>
          <w:szCs w:val="21"/>
          <w:lang w:val="en-US" w:eastAsia="zh-CN"/>
        </w:rPr>
        <w:t>1</w:t>
      </w:r>
      <w:r>
        <w:rPr>
          <w:rFonts w:hint="eastAsia"/>
          <w:color w:val="auto"/>
          <w:szCs w:val="21"/>
        </w:rPr>
        <w:t>）变电所设置机械排风系统，排风量按热平衡计算确定，机械补风量按排风量的80％计算。</w:t>
      </w:r>
    </w:p>
    <w:p>
      <w:pPr>
        <w:spacing w:line="360" w:lineRule="auto"/>
        <w:ind w:firstLine="480"/>
        <w:rPr>
          <w:rFonts w:hint="eastAsia"/>
          <w:color w:val="auto"/>
          <w:szCs w:val="21"/>
        </w:rPr>
      </w:pPr>
      <w:r>
        <w:rPr>
          <w:rFonts w:hint="eastAsia"/>
          <w:color w:val="auto"/>
          <w:szCs w:val="21"/>
        </w:rPr>
        <w:t>（1</w:t>
      </w:r>
      <w:r>
        <w:rPr>
          <w:rFonts w:hint="eastAsia"/>
          <w:color w:val="auto"/>
          <w:szCs w:val="21"/>
          <w:lang w:val="en-US" w:eastAsia="zh-CN"/>
        </w:rPr>
        <w:t>2</w:t>
      </w:r>
      <w:r>
        <w:rPr>
          <w:rFonts w:hint="eastAsia"/>
          <w:color w:val="auto"/>
          <w:szCs w:val="21"/>
        </w:rPr>
        <w:t>）消防水泵房设置机械排风和机械补风系统，机械排风量按6次/h计算。机械补风量按排风量的80％计算。</w:t>
      </w:r>
    </w:p>
    <w:p>
      <w:pPr>
        <w:pStyle w:val="5"/>
        <w:numPr>
          <w:ilvl w:val="0"/>
          <w:numId w:val="0"/>
        </w:numPr>
        <w:bidi w:val="0"/>
        <w:rPr>
          <w:rFonts w:hint="eastAsia"/>
          <w:color w:val="auto"/>
        </w:rPr>
      </w:pPr>
      <w:r>
        <w:rPr>
          <w:rFonts w:hint="eastAsia"/>
          <w:color w:val="auto"/>
          <w:lang w:val="en-US" w:eastAsia="zh-CN"/>
        </w:rPr>
        <w:t>3.1.8</w:t>
      </w:r>
      <w:r>
        <w:rPr>
          <w:rFonts w:hint="eastAsia"/>
          <w:color w:val="auto"/>
        </w:rPr>
        <w:t>项目劳动定员及班制</w:t>
      </w:r>
    </w:p>
    <w:p>
      <w:pPr>
        <w:spacing w:line="360" w:lineRule="auto"/>
        <w:rPr>
          <w:rFonts w:hint="eastAsia"/>
          <w:color w:val="auto"/>
          <w:sz w:val="24"/>
          <w:highlight w:val="none"/>
        </w:rPr>
      </w:pPr>
      <w:r>
        <w:rPr>
          <w:rFonts w:hint="eastAsia"/>
          <w:color w:val="auto"/>
          <w:sz w:val="24"/>
          <w:highlight w:val="none"/>
          <w:lang w:val="en-US" w:eastAsia="zh-CN"/>
        </w:rPr>
        <w:t>劳动定员：本次项目新增</w:t>
      </w:r>
      <w:r>
        <w:rPr>
          <w:rFonts w:hint="eastAsia"/>
          <w:color w:val="auto"/>
          <w:sz w:val="24"/>
          <w:highlight w:val="none"/>
        </w:rPr>
        <w:t>职工人数</w:t>
      </w:r>
      <w:r>
        <w:rPr>
          <w:rFonts w:hint="eastAsia"/>
          <w:color w:val="auto"/>
          <w:sz w:val="24"/>
          <w:highlight w:val="none"/>
          <w:lang w:val="en-US" w:eastAsia="zh-CN"/>
        </w:rPr>
        <w:t>3440</w:t>
      </w:r>
      <w:r>
        <w:rPr>
          <w:rFonts w:hint="eastAsia"/>
          <w:color w:val="auto"/>
          <w:sz w:val="24"/>
          <w:highlight w:val="none"/>
        </w:rPr>
        <w:t>人，</w:t>
      </w:r>
      <w:r>
        <w:rPr>
          <w:rFonts w:hint="eastAsia"/>
          <w:color w:val="auto"/>
          <w:sz w:val="24"/>
          <w:highlight w:val="none"/>
          <w:lang w:eastAsia="zh-CN"/>
        </w:rPr>
        <w:t>其中：</w:t>
      </w:r>
      <w:r>
        <w:rPr>
          <w:rFonts w:hint="eastAsia"/>
          <w:color w:val="auto"/>
          <w:sz w:val="24"/>
          <w:highlight w:val="none"/>
          <w:lang w:val="en-US" w:eastAsia="zh-CN"/>
        </w:rPr>
        <w:t>3000</w:t>
      </w:r>
      <w:r>
        <w:rPr>
          <w:rFonts w:hint="eastAsia"/>
          <w:b w:val="0"/>
          <w:bCs w:val="0"/>
          <w:color w:val="auto"/>
          <w:u w:val="none"/>
          <w:lang w:val="en-US" w:eastAsia="zh-CN"/>
        </w:rPr>
        <w:t>名医务人员，100名行政人员、240名后勤人员。感染门诊设有80名医务人员，10名行政人员、10名后勤人员。</w:t>
      </w:r>
      <w:r>
        <w:rPr>
          <w:rFonts w:hint="eastAsia"/>
          <w:color w:val="auto"/>
          <w:sz w:val="24"/>
          <w:highlight w:val="none"/>
          <w:lang w:eastAsia="zh-CN"/>
        </w:rPr>
        <w:t>工作制度：</w:t>
      </w:r>
      <w:r>
        <w:rPr>
          <w:rFonts w:hint="eastAsia"/>
          <w:color w:val="auto"/>
          <w:sz w:val="24"/>
          <w:highlight w:val="none"/>
        </w:rPr>
        <w:t>年工作365日，每日三班工作制。</w:t>
      </w:r>
    </w:p>
    <w:p>
      <w:pPr>
        <w:pStyle w:val="4"/>
        <w:numPr>
          <w:ilvl w:val="0"/>
          <w:numId w:val="0"/>
        </w:numPr>
        <w:ind w:leftChars="0"/>
        <w:rPr>
          <w:rFonts w:hint="eastAsia"/>
          <w:color w:val="auto"/>
        </w:rPr>
      </w:pPr>
      <w:bookmarkStart w:id="34" w:name="_Toc29977"/>
      <w:r>
        <w:rPr>
          <w:rFonts w:hint="eastAsia"/>
          <w:color w:val="auto"/>
          <w:lang w:val="en-US" w:eastAsia="zh-CN"/>
        </w:rPr>
        <w:t>3.2</w:t>
      </w:r>
      <w:r>
        <w:rPr>
          <w:rFonts w:hint="eastAsia"/>
          <w:color w:val="auto"/>
        </w:rPr>
        <w:t>工程分析</w:t>
      </w:r>
      <w:bookmarkEnd w:id="34"/>
    </w:p>
    <w:p>
      <w:pPr>
        <w:pStyle w:val="5"/>
        <w:numPr>
          <w:ilvl w:val="0"/>
          <w:numId w:val="0"/>
        </w:numPr>
        <w:spacing w:before="120"/>
        <w:ind w:leftChars="0"/>
        <w:rPr>
          <w:color w:val="auto"/>
        </w:rPr>
      </w:pPr>
      <w:r>
        <w:rPr>
          <w:rFonts w:hint="eastAsia"/>
          <w:color w:val="auto"/>
          <w:lang w:val="en-US" w:eastAsia="zh-CN"/>
        </w:rPr>
        <w:t>3.2.1</w:t>
      </w:r>
      <w:r>
        <w:rPr>
          <w:rFonts w:hint="eastAsia"/>
          <w:color w:val="auto"/>
        </w:rPr>
        <w:t>施工期工程分析</w:t>
      </w:r>
    </w:p>
    <w:p>
      <w:pPr>
        <w:spacing w:line="360" w:lineRule="auto"/>
        <w:ind w:firstLine="482"/>
        <w:rPr>
          <w:rFonts w:ascii="Times New Roman" w:hAnsi="Times New Roman"/>
          <w:color w:val="auto"/>
          <w:sz w:val="24"/>
        </w:rPr>
      </w:pPr>
      <w:bookmarkStart w:id="35" w:name="_Toc520212620"/>
      <w:r>
        <w:rPr>
          <w:rFonts w:ascii="Times New Roman" w:hAnsi="Times New Roman"/>
          <w:color w:val="auto"/>
          <w:sz w:val="24"/>
        </w:rPr>
        <w:t>拟建项目施工期流程及排污节点见图</w:t>
      </w:r>
      <w:r>
        <w:rPr>
          <w:rFonts w:hint="eastAsia"/>
          <w:color w:val="auto"/>
          <w:sz w:val="24"/>
          <w:lang w:val="en-US" w:eastAsia="zh-CN"/>
        </w:rPr>
        <w:t>3.</w:t>
      </w:r>
      <w:r>
        <w:rPr>
          <w:rFonts w:hint="eastAsia" w:ascii="Times New Roman" w:hAnsi="Times New Roman"/>
          <w:color w:val="auto"/>
          <w:sz w:val="24"/>
          <w:lang w:val="en-US" w:eastAsia="zh-CN"/>
        </w:rPr>
        <w:t>2</w:t>
      </w:r>
      <w:r>
        <w:rPr>
          <w:rFonts w:ascii="Times New Roman" w:hAnsi="Times New Roman"/>
          <w:color w:val="auto"/>
          <w:sz w:val="24"/>
        </w:rPr>
        <w:t>-1。</w:t>
      </w:r>
      <w:bookmarkEnd w:id="35"/>
    </w:p>
    <w:p>
      <w:pPr>
        <w:pStyle w:val="1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宋体" w:hAnsi="宋体" w:eastAsia="宋体"/>
          <w:b/>
          <w:bCs/>
          <w:color w:val="auto"/>
          <w:lang w:eastAsia="zh-CN"/>
        </w:rPr>
      </w:pPr>
      <w:r>
        <w:rPr>
          <w:rFonts w:hint="eastAsia" w:ascii="宋体" w:hAnsi="宋体" w:eastAsia="宋体"/>
          <w:b/>
          <w:bCs/>
          <w:color w:val="auto"/>
          <w:lang w:eastAsia="zh-CN"/>
        </w:rPr>
        <w:object>
          <v:shape id="_x0000_i1025" o:spt="75" type="#_x0000_t75" style="height:110.25pt;width:328.5pt;" o:ole="t" filled="f" o:preferrelative="t" stroked="f" coordsize="21600,21600">
            <v:path/>
            <v:fill on="f" focussize="0,0"/>
            <v:stroke on="f"/>
            <v:imagedata r:id="rId28" o:title=""/>
            <o:lock v:ext="edit" aspectratio="t"/>
            <w10:wrap type="none"/>
            <w10:anchorlock/>
          </v:shape>
          <o:OLEObject Type="Embed" ProgID="Visio.Drawing.11" ShapeID="_x0000_i1025" DrawAspect="Content" ObjectID="_1468075725" r:id="rId27">
            <o:LockedField>false</o:LockedField>
          </o:OLEObject>
        </w:objec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2"/>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图</w:t>
      </w:r>
      <w:r>
        <w:rPr>
          <w:rFonts w:hint="eastAsia" w:cs="Times New Roman"/>
          <w:b/>
          <w:bCs/>
          <w:color w:val="auto"/>
          <w:sz w:val="21"/>
          <w:szCs w:val="21"/>
          <w:lang w:val="en-US" w:eastAsia="zh-CN"/>
        </w:rPr>
        <w:t>3</w:t>
      </w:r>
      <w:r>
        <w:rPr>
          <w:rFonts w:hint="default" w:ascii="Times New Roman" w:hAnsi="Times New Roman" w:cs="Times New Roman"/>
          <w:b/>
          <w:bCs/>
          <w:color w:val="auto"/>
          <w:sz w:val="21"/>
          <w:szCs w:val="21"/>
          <w:lang w:val="en-US" w:eastAsia="zh-CN"/>
        </w:rPr>
        <w:t>.2-1  施工期工艺流程图</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2"/>
        <w:textAlignment w:val="auto"/>
        <w:rPr>
          <w:rFonts w:hint="eastAsia"/>
          <w:b/>
          <w:color w:val="auto"/>
        </w:rPr>
      </w:pPr>
      <w:r>
        <w:rPr>
          <w:rFonts w:hint="eastAsia" w:ascii="宋体" w:hAnsi="宋体"/>
          <w:b/>
          <w:bCs/>
          <w:color w:val="auto"/>
        </w:rPr>
        <w:t>1、主要污染因子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color w:val="auto"/>
        </w:rPr>
      </w:pPr>
      <w:r>
        <w:rPr>
          <w:rFonts w:hint="eastAsia" w:ascii="宋体" w:hAnsi="宋体"/>
          <w:color w:val="auto"/>
        </w:rPr>
        <w:t>项目施工期主要污染因子如下所示：</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废气：机械废气、施工过程中产生的扬尘、粉尘</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废水：施工人员生活污水和施工废水</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（3）</w:t>
      </w:r>
      <w:r>
        <w:rPr>
          <w:rFonts w:hint="eastAsia"/>
          <w:color w:val="auto"/>
        </w:rPr>
        <w:t>噪声：施工过程中机械噪声</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（4）</w:t>
      </w:r>
      <w:r>
        <w:rPr>
          <w:rFonts w:hint="eastAsia"/>
          <w:color w:val="auto"/>
        </w:rPr>
        <w:t>固体废物：建筑垃圾和生活垃圾</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2"/>
        <w:textAlignment w:val="auto"/>
        <w:rPr>
          <w:rFonts w:hint="eastAsia"/>
          <w:b/>
          <w:color w:val="auto"/>
        </w:rPr>
      </w:pPr>
      <w:r>
        <w:rPr>
          <w:rFonts w:hint="eastAsia"/>
          <w:b/>
          <w:color w:val="auto"/>
        </w:rPr>
        <w:t>2、施工期污染源分析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（1）施工期废气污染源强分析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①机械废气：</w:t>
      </w:r>
      <w:r>
        <w:rPr>
          <w:color w:val="auto"/>
        </w:rPr>
        <w:t>施工期，频繁使用机动车运送原材料、设备和建筑机械设备以及临时采用柴油发电机供电，这些车辆及设备的运行会排放一定量的CO、NO</w:t>
      </w:r>
      <w:r>
        <w:rPr>
          <w:color w:val="auto"/>
          <w:vertAlign w:val="subscript"/>
        </w:rPr>
        <w:t>x</w:t>
      </w:r>
      <w:r>
        <w:rPr>
          <w:color w:val="auto"/>
        </w:rPr>
        <w:t>以及未完全燃烧的碳氢化物HC等，同时产生扬尘污染大气环境。</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②扬尘、粉尘：</w:t>
      </w:r>
      <w:r>
        <w:rPr>
          <w:color w:val="auto"/>
        </w:rPr>
        <w:t>扬尘污染造成大气中TSP值增高，根据类比资料，施工扬尘的起尘量与许多因素有关。影响起尘量的因素包括：基础开挖起尘量、施工渣土堆场起尘量、进出车辆夹带泥砂量、水泥搬运量、弃土外运装载起尘量以及起尘高度、采取的防护措施、空气湿度、风速等因素有关。施工期产生的扬尘均为无组织间歇式排放的低矮面源。污染大小主要决定于作业方式、材料的堆放以及风力因素，其中受风力因素影响最大。一般情况下，大气污染源在施工中只会在近距离内形成局部污染，施工场地在自然风力作用下通常产生的扬尘所影响的范围在100m以内。物料露天堆场和搅拌作业扬尘，主要受风速的影响，影响范围在50</w:t>
      </w:r>
      <w:r>
        <w:rPr>
          <w:rFonts w:hint="eastAsia"/>
          <w:color w:val="auto"/>
          <w:lang w:val="en-US" w:eastAsia="zh-CN"/>
        </w:rPr>
        <w:t>-</w:t>
      </w:r>
      <w:r>
        <w:rPr>
          <w:color w:val="auto"/>
        </w:rPr>
        <w:t>150m之间。</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rFonts w:hAnsi="宋体"/>
          <w:color w:val="auto"/>
        </w:rPr>
        <w:t>（</w:t>
      </w:r>
      <w:r>
        <w:rPr>
          <w:color w:val="auto"/>
        </w:rPr>
        <w:t>2</w:t>
      </w:r>
      <w:r>
        <w:rPr>
          <w:rFonts w:hAnsi="宋体"/>
          <w:color w:val="auto"/>
        </w:rPr>
        <w:t>）施工期水污染源强分析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bookmarkStart w:id="36" w:name="_Hlt532271756"/>
      <w:bookmarkEnd w:id="36"/>
      <w:bookmarkStart w:id="37" w:name="_Hlt532270930"/>
      <w:bookmarkEnd w:id="37"/>
      <w:r>
        <w:rPr>
          <w:color w:val="auto"/>
        </w:rPr>
        <w:t>施工期的水污染主要</w:t>
      </w:r>
      <w:r>
        <w:rPr>
          <w:rFonts w:hint="eastAsia"/>
          <w:color w:val="auto"/>
          <w:lang w:val="en-US" w:eastAsia="zh-CN"/>
        </w:rPr>
        <w:t>来自</w:t>
      </w:r>
      <w:r>
        <w:rPr>
          <w:color w:val="auto"/>
        </w:rPr>
        <w:t>施工人员日常生活，主要</w:t>
      </w:r>
      <w:r>
        <w:rPr>
          <w:rFonts w:hint="eastAsia"/>
          <w:color w:val="auto"/>
          <w:lang w:val="en-US" w:eastAsia="zh-CN"/>
        </w:rPr>
        <w:t>为</w:t>
      </w:r>
      <w:r>
        <w:rPr>
          <w:color w:val="auto"/>
        </w:rPr>
        <w:t>食堂污水、粪便污水、浴室污水，主要污染物是COD、BOD</w:t>
      </w:r>
      <w:r>
        <w:rPr>
          <w:color w:val="auto"/>
          <w:vertAlign w:val="subscript"/>
        </w:rPr>
        <w:t>5</w:t>
      </w:r>
      <w:r>
        <w:rPr>
          <w:color w:val="auto"/>
        </w:rPr>
        <w:t>和</w:t>
      </w:r>
      <w:r>
        <w:rPr>
          <w:rFonts w:hint="eastAsia"/>
          <w:color w:val="auto"/>
        </w:rPr>
        <w:t>SS</w:t>
      </w:r>
      <w:r>
        <w:rPr>
          <w:color w:val="auto"/>
        </w:rPr>
        <w:t>等。本项目共有施工人员约</w:t>
      </w:r>
      <w:r>
        <w:rPr>
          <w:rFonts w:hint="eastAsia"/>
          <w:color w:val="auto"/>
        </w:rPr>
        <w:t>10</w:t>
      </w:r>
      <w:r>
        <w:rPr>
          <w:color w:val="auto"/>
        </w:rPr>
        <w:t>0人，施工人员每天生活用水以100L/人计，生活污水按用水量的8</w:t>
      </w:r>
      <w:r>
        <w:rPr>
          <w:rFonts w:hint="eastAsia"/>
          <w:color w:val="auto"/>
        </w:rPr>
        <w:t>5</w:t>
      </w:r>
      <w:r>
        <w:rPr>
          <w:color w:val="auto"/>
        </w:rPr>
        <w:t>%计，则生活污水的排放量为</w:t>
      </w:r>
      <w:r>
        <w:rPr>
          <w:rFonts w:hint="eastAsia"/>
          <w:color w:val="auto"/>
        </w:rPr>
        <w:t>8.5</w:t>
      </w:r>
      <w:r>
        <w:rPr>
          <w:color w:val="auto"/>
        </w:rPr>
        <w:t>m</w:t>
      </w:r>
      <w:r>
        <w:rPr>
          <w:color w:val="auto"/>
          <w:vertAlign w:val="superscript"/>
        </w:rPr>
        <w:t>3</w:t>
      </w:r>
      <w:r>
        <w:rPr>
          <w:color w:val="auto"/>
        </w:rPr>
        <w:t>/d，施工期为</w:t>
      </w:r>
      <w:r>
        <w:rPr>
          <w:rFonts w:hint="eastAsia"/>
          <w:color w:val="auto"/>
        </w:rPr>
        <w:t>2</w:t>
      </w:r>
      <w:r>
        <w:rPr>
          <w:color w:val="auto"/>
        </w:rPr>
        <w:t>年，一年以330日施工计，则施工期共排放生活</w:t>
      </w:r>
      <w:bookmarkStart w:id="38" w:name="_Hlt8614377"/>
      <w:bookmarkEnd w:id="38"/>
      <w:r>
        <w:rPr>
          <w:color w:val="auto"/>
        </w:rPr>
        <w:t>污水5610m</w:t>
      </w:r>
      <w:r>
        <w:rPr>
          <w:color w:val="auto"/>
          <w:vertAlign w:val="superscript"/>
        </w:rPr>
        <w:t>3</w:t>
      </w:r>
      <w:r>
        <w:rPr>
          <w:color w:val="auto"/>
        </w:rPr>
        <w:t>，</w:t>
      </w:r>
      <w:r>
        <w:rPr>
          <w:rFonts w:hint="eastAsia"/>
          <w:color w:val="auto"/>
          <w:lang w:eastAsia="zh-CN"/>
        </w:rPr>
        <w:t>经化粪池</w:t>
      </w:r>
      <w:r>
        <w:rPr>
          <w:rFonts w:hint="eastAsia"/>
          <w:color w:val="auto"/>
        </w:rPr>
        <w:t>预处理</w:t>
      </w:r>
      <w:r>
        <w:rPr>
          <w:color w:val="auto"/>
        </w:rPr>
        <w:t>后</w:t>
      </w:r>
      <w:r>
        <w:rPr>
          <w:rFonts w:hint="eastAsia"/>
          <w:color w:val="auto"/>
        </w:rPr>
        <w:t>最终进入</w:t>
      </w:r>
      <w:r>
        <w:rPr>
          <w:rFonts w:hint="eastAsia"/>
          <w:color w:val="auto"/>
          <w:szCs w:val="21"/>
          <w:lang w:eastAsia="zh-CN"/>
        </w:rPr>
        <w:t>十五里河污水处理厂</w:t>
      </w:r>
      <w:r>
        <w:rPr>
          <w:rFonts w:hint="eastAsia"/>
          <w:color w:val="auto"/>
        </w:rPr>
        <w:t>处理</w:t>
      </w:r>
      <w:r>
        <w:rPr>
          <w:color w:val="auto"/>
        </w:rPr>
        <w:t>。具体生活污水及其中污染物的产生量详</w:t>
      </w:r>
      <w:r>
        <w:rPr>
          <w:color w:val="auto"/>
          <w:highlight w:val="none"/>
        </w:rPr>
        <w:t>见表</w:t>
      </w:r>
      <w:r>
        <w:rPr>
          <w:rFonts w:hint="eastAsia"/>
          <w:color w:val="auto"/>
          <w:highlight w:val="none"/>
          <w:lang w:val="en-US" w:eastAsia="zh-CN"/>
        </w:rPr>
        <w:t>3</w:t>
      </w:r>
      <w:r>
        <w:rPr>
          <w:color w:val="auto"/>
          <w:highlight w:val="none"/>
        </w:rPr>
        <w:t>.2-</w:t>
      </w:r>
      <w:r>
        <w:rPr>
          <w:rFonts w:hint="eastAsia"/>
          <w:color w:val="auto"/>
          <w:highlight w:val="none"/>
        </w:rPr>
        <w:t>1</w:t>
      </w:r>
      <w:r>
        <w:rPr>
          <w:color w:val="auto"/>
          <w:highlight w:val="none"/>
        </w:rPr>
        <w:t>。</w:t>
      </w:r>
    </w:p>
    <w:p>
      <w:pPr>
        <w:spacing w:line="240" w:lineRule="auto"/>
        <w:ind w:firstLine="422"/>
        <w:jc w:val="center"/>
        <w:rPr>
          <w:color w:val="auto"/>
          <w:highlight w:val="none"/>
        </w:rPr>
      </w:pPr>
      <w:r>
        <w:rPr>
          <w:rFonts w:hAnsi="宋体"/>
          <w:b/>
          <w:color w:val="auto"/>
          <w:sz w:val="21"/>
          <w:szCs w:val="21"/>
          <w:highlight w:val="none"/>
        </w:rPr>
        <w:t>表</w:t>
      </w:r>
      <w:r>
        <w:rPr>
          <w:rFonts w:hint="eastAsia" w:hAnsi="宋体"/>
          <w:b/>
          <w:color w:val="auto"/>
          <w:sz w:val="21"/>
          <w:szCs w:val="21"/>
          <w:highlight w:val="none"/>
          <w:lang w:val="en-US" w:eastAsia="zh-CN"/>
        </w:rPr>
        <w:t>3</w:t>
      </w:r>
      <w:r>
        <w:rPr>
          <w:b/>
          <w:color w:val="auto"/>
          <w:sz w:val="21"/>
          <w:szCs w:val="21"/>
          <w:highlight w:val="none"/>
        </w:rPr>
        <w:t>.2-</w:t>
      </w:r>
      <w:r>
        <w:rPr>
          <w:rFonts w:hint="eastAsia"/>
          <w:b/>
          <w:color w:val="auto"/>
          <w:sz w:val="21"/>
          <w:szCs w:val="21"/>
          <w:highlight w:val="none"/>
        </w:rPr>
        <w:t>1</w:t>
      </w:r>
      <w:r>
        <w:rPr>
          <w:b/>
          <w:color w:val="auto"/>
          <w:sz w:val="21"/>
          <w:szCs w:val="21"/>
          <w:highlight w:val="none"/>
        </w:rPr>
        <w:t xml:space="preserve">  </w:t>
      </w:r>
      <w:r>
        <w:rPr>
          <w:rFonts w:hAnsi="宋体"/>
          <w:b/>
          <w:color w:val="auto"/>
          <w:sz w:val="21"/>
          <w:szCs w:val="21"/>
          <w:highlight w:val="none"/>
        </w:rPr>
        <w:t>施工期生活污水及污染物产生情况</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107"/>
        <w:gridCol w:w="2107"/>
        <w:gridCol w:w="2107"/>
        <w:gridCol w:w="2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107"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bookmarkStart w:id="39" w:name="_Hlt532223050"/>
            <w:r>
              <w:rPr>
                <w:rFonts w:hint="eastAsia" w:eastAsia="宋体"/>
                <w:color w:val="auto"/>
                <w:szCs w:val="21"/>
              </w:rPr>
              <w:t>项目</w:t>
            </w:r>
          </w:p>
        </w:tc>
        <w:tc>
          <w:tcPr>
            <w:tcW w:w="2107" w:type="dxa"/>
            <w:tcBorders>
              <w:tl2br w:val="nil"/>
              <w:tr2bl w:val="nil"/>
            </w:tcBorders>
            <w:noWrap w:val="0"/>
            <w:vAlign w:val="center"/>
          </w:tcPr>
          <w:p>
            <w:pPr>
              <w:pStyle w:val="89"/>
              <w:adjustRightInd/>
              <w:snapToGrid/>
              <w:spacing w:line="360" w:lineRule="exact"/>
              <w:jc w:val="center"/>
              <w:rPr>
                <w:rFonts w:eastAsia="宋体"/>
                <w:color w:val="auto"/>
                <w:szCs w:val="21"/>
              </w:rPr>
            </w:pPr>
            <w:r>
              <w:rPr>
                <w:rFonts w:hAnsi="宋体" w:eastAsia="宋体"/>
                <w:color w:val="auto"/>
                <w:szCs w:val="21"/>
              </w:rPr>
              <w:t>污水量（</w:t>
            </w:r>
            <w:r>
              <w:rPr>
                <w:rFonts w:eastAsia="宋体"/>
                <w:color w:val="auto"/>
                <w:szCs w:val="21"/>
              </w:rPr>
              <w:t>m</w:t>
            </w:r>
            <w:r>
              <w:rPr>
                <w:rFonts w:eastAsia="宋体"/>
                <w:color w:val="auto"/>
                <w:szCs w:val="21"/>
                <w:vertAlign w:val="superscript"/>
              </w:rPr>
              <w:t>3</w:t>
            </w:r>
            <w:r>
              <w:rPr>
                <w:rFonts w:hAnsi="宋体" w:eastAsia="宋体"/>
                <w:color w:val="auto"/>
                <w:szCs w:val="21"/>
              </w:rPr>
              <w:t>）</w:t>
            </w:r>
          </w:p>
        </w:tc>
        <w:tc>
          <w:tcPr>
            <w:tcW w:w="2107" w:type="dxa"/>
            <w:tcBorders>
              <w:tl2br w:val="nil"/>
              <w:tr2bl w:val="nil"/>
            </w:tcBorders>
            <w:noWrap w:val="0"/>
            <w:vAlign w:val="center"/>
          </w:tcPr>
          <w:p>
            <w:pPr>
              <w:pStyle w:val="89"/>
              <w:adjustRightInd/>
              <w:snapToGrid/>
              <w:spacing w:line="360" w:lineRule="exact"/>
              <w:jc w:val="center"/>
              <w:rPr>
                <w:rFonts w:eastAsia="宋体"/>
                <w:color w:val="auto"/>
                <w:szCs w:val="21"/>
              </w:rPr>
            </w:pPr>
            <w:r>
              <w:rPr>
                <w:rFonts w:eastAsia="宋体"/>
                <w:color w:val="auto"/>
                <w:szCs w:val="21"/>
              </w:rPr>
              <w:t>COD</w:t>
            </w:r>
            <w:r>
              <w:rPr>
                <w:rFonts w:eastAsia="宋体"/>
                <w:color w:val="auto"/>
                <w:szCs w:val="21"/>
                <w:vertAlign w:val="subscript"/>
              </w:rPr>
              <w:t>Cr</w:t>
            </w:r>
            <w:r>
              <w:rPr>
                <w:rFonts w:hAnsi="宋体" w:eastAsia="宋体"/>
                <w:color w:val="auto"/>
                <w:szCs w:val="21"/>
              </w:rPr>
              <w:t>（</w:t>
            </w:r>
            <w:r>
              <w:rPr>
                <w:rFonts w:eastAsia="宋体"/>
                <w:color w:val="auto"/>
                <w:szCs w:val="21"/>
              </w:rPr>
              <w:t>kg</w:t>
            </w:r>
            <w:r>
              <w:rPr>
                <w:rFonts w:hAnsi="宋体" w:eastAsia="宋体"/>
                <w:color w:val="auto"/>
                <w:szCs w:val="21"/>
              </w:rPr>
              <w:t>）</w:t>
            </w:r>
          </w:p>
        </w:tc>
        <w:tc>
          <w:tcPr>
            <w:tcW w:w="2105" w:type="dxa"/>
            <w:tcBorders>
              <w:tl2br w:val="nil"/>
              <w:tr2bl w:val="nil"/>
            </w:tcBorders>
            <w:noWrap w:val="0"/>
            <w:vAlign w:val="center"/>
          </w:tcPr>
          <w:p>
            <w:pPr>
              <w:pStyle w:val="89"/>
              <w:adjustRightInd/>
              <w:snapToGrid/>
              <w:spacing w:line="360" w:lineRule="exact"/>
              <w:jc w:val="center"/>
              <w:rPr>
                <w:rFonts w:eastAsia="宋体"/>
                <w:color w:val="auto"/>
                <w:szCs w:val="21"/>
              </w:rPr>
            </w:pPr>
            <w:r>
              <w:rPr>
                <w:rFonts w:eastAsia="宋体"/>
                <w:color w:val="auto"/>
                <w:szCs w:val="21"/>
              </w:rPr>
              <w:t>BOD</w:t>
            </w:r>
            <w:r>
              <w:rPr>
                <w:rFonts w:eastAsia="宋体"/>
                <w:color w:val="auto"/>
                <w:szCs w:val="21"/>
                <w:vertAlign w:val="subscript"/>
              </w:rPr>
              <w:t>5</w:t>
            </w:r>
            <w:r>
              <w:rPr>
                <w:rFonts w:hAnsi="宋体" w:eastAsia="宋体"/>
                <w:color w:val="auto"/>
                <w:szCs w:val="21"/>
              </w:rPr>
              <w:t>（</w:t>
            </w:r>
            <w:r>
              <w:rPr>
                <w:rFonts w:eastAsia="宋体"/>
                <w:color w:val="auto"/>
                <w:szCs w:val="21"/>
              </w:rPr>
              <w:t>kg</w:t>
            </w:r>
            <w:r>
              <w:rPr>
                <w:rFonts w:hAnsi="宋体" w:eastAsia="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45" w:hRule="atLeast"/>
          <w:jc w:val="center"/>
        </w:trPr>
        <w:tc>
          <w:tcPr>
            <w:tcW w:w="2107" w:type="dxa"/>
            <w:tcBorders>
              <w:tl2br w:val="nil"/>
              <w:tr2bl w:val="nil"/>
            </w:tcBorders>
            <w:noWrap w:val="0"/>
            <w:vAlign w:val="center"/>
          </w:tcPr>
          <w:p>
            <w:pPr>
              <w:pStyle w:val="89"/>
              <w:adjustRightInd/>
              <w:snapToGrid/>
              <w:spacing w:line="360" w:lineRule="exact"/>
              <w:jc w:val="center"/>
              <w:rPr>
                <w:rFonts w:eastAsia="宋体"/>
                <w:color w:val="auto"/>
                <w:szCs w:val="21"/>
              </w:rPr>
            </w:pPr>
            <w:r>
              <w:rPr>
                <w:rFonts w:hAnsi="宋体" w:eastAsia="宋体"/>
                <w:color w:val="auto"/>
                <w:szCs w:val="21"/>
              </w:rPr>
              <w:t>日排放量</w:t>
            </w:r>
          </w:p>
        </w:tc>
        <w:tc>
          <w:tcPr>
            <w:tcW w:w="2107"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hint="eastAsia" w:eastAsia="宋体"/>
                <w:color w:val="auto"/>
                <w:szCs w:val="21"/>
              </w:rPr>
              <w:t>8.5</w:t>
            </w:r>
          </w:p>
        </w:tc>
        <w:tc>
          <w:tcPr>
            <w:tcW w:w="2107"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hint="eastAsia" w:eastAsia="宋体"/>
                <w:color w:val="auto"/>
                <w:szCs w:val="21"/>
              </w:rPr>
              <w:t>2.55</w:t>
            </w:r>
          </w:p>
        </w:tc>
        <w:tc>
          <w:tcPr>
            <w:tcW w:w="2105"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hint="eastAsia" w:eastAsia="宋体"/>
                <w:color w:val="auto"/>
                <w:szCs w:val="21"/>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107" w:type="dxa"/>
            <w:tcBorders>
              <w:tl2br w:val="nil"/>
              <w:tr2bl w:val="nil"/>
            </w:tcBorders>
            <w:noWrap w:val="0"/>
            <w:vAlign w:val="center"/>
          </w:tcPr>
          <w:p>
            <w:pPr>
              <w:pStyle w:val="89"/>
              <w:adjustRightInd/>
              <w:snapToGrid/>
              <w:spacing w:line="360" w:lineRule="exact"/>
              <w:jc w:val="center"/>
              <w:rPr>
                <w:rFonts w:eastAsia="宋体"/>
                <w:color w:val="auto"/>
                <w:szCs w:val="21"/>
              </w:rPr>
            </w:pPr>
            <w:r>
              <w:rPr>
                <w:rFonts w:hAnsi="宋体" w:eastAsia="宋体"/>
                <w:color w:val="auto"/>
                <w:szCs w:val="21"/>
              </w:rPr>
              <w:t>施工期排放量</w:t>
            </w:r>
          </w:p>
        </w:tc>
        <w:tc>
          <w:tcPr>
            <w:tcW w:w="2107"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hint="eastAsia" w:eastAsia="宋体"/>
                <w:color w:val="auto"/>
                <w:szCs w:val="21"/>
              </w:rPr>
              <w:t>5610</w:t>
            </w:r>
          </w:p>
        </w:tc>
        <w:tc>
          <w:tcPr>
            <w:tcW w:w="2107"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eastAsia="宋体"/>
                <w:color w:val="auto"/>
                <w:szCs w:val="21"/>
              </w:rPr>
              <w:t>1683</w:t>
            </w:r>
          </w:p>
        </w:tc>
        <w:tc>
          <w:tcPr>
            <w:tcW w:w="2105" w:type="dxa"/>
            <w:tcBorders>
              <w:tl2br w:val="nil"/>
              <w:tr2bl w:val="nil"/>
            </w:tcBorders>
            <w:noWrap w:val="0"/>
            <w:vAlign w:val="center"/>
          </w:tcPr>
          <w:p>
            <w:pPr>
              <w:pStyle w:val="89"/>
              <w:adjustRightInd/>
              <w:snapToGrid/>
              <w:spacing w:line="360" w:lineRule="exact"/>
              <w:jc w:val="center"/>
              <w:rPr>
                <w:rFonts w:hint="eastAsia" w:eastAsia="宋体"/>
                <w:color w:val="auto"/>
                <w:szCs w:val="21"/>
              </w:rPr>
            </w:pPr>
            <w:r>
              <w:rPr>
                <w:rFonts w:eastAsia="宋体"/>
                <w:color w:val="auto"/>
                <w:szCs w:val="21"/>
              </w:rPr>
              <w:t>844.8</w:t>
            </w:r>
          </w:p>
        </w:tc>
      </w:tr>
      <w:bookmarkEnd w:id="39"/>
    </w:tbl>
    <w:p>
      <w:pPr>
        <w:spacing w:line="360" w:lineRule="auto"/>
        <w:ind w:firstLine="480"/>
        <w:rPr>
          <w:color w:val="auto"/>
        </w:rPr>
      </w:pPr>
      <w:r>
        <w:rPr>
          <w:rFonts w:hAnsi="宋体"/>
          <w:color w:val="auto"/>
        </w:rPr>
        <w:t>此外，在施工期的注基阶段会产生一定量的</w:t>
      </w:r>
      <w:r>
        <w:rPr>
          <w:rFonts w:hint="eastAsia" w:hAnsi="宋体"/>
          <w:color w:val="auto"/>
        </w:rPr>
        <w:t>施工废水</w:t>
      </w:r>
      <w:r>
        <w:rPr>
          <w:rFonts w:hAnsi="宋体"/>
          <w:color w:val="auto"/>
        </w:rPr>
        <w:t>，根据类比监测调查</w:t>
      </w:r>
      <w:r>
        <w:rPr>
          <w:color w:val="auto"/>
        </w:rPr>
        <w:t>SS</w:t>
      </w:r>
      <w:r>
        <w:rPr>
          <w:rFonts w:hAnsi="宋体"/>
          <w:color w:val="auto"/>
        </w:rPr>
        <w:t>为</w:t>
      </w:r>
      <w:r>
        <w:rPr>
          <w:color w:val="auto"/>
        </w:rPr>
        <w:t>1000-3000mg/</w:t>
      </w:r>
      <w:r>
        <w:rPr>
          <w:rFonts w:hint="eastAsia"/>
          <w:color w:val="auto"/>
        </w:rPr>
        <w:t>L</w:t>
      </w:r>
      <w:r>
        <w:rPr>
          <w:rFonts w:hAnsi="宋体"/>
          <w:color w:val="auto"/>
        </w:rPr>
        <w:t>，肆意排放会造成市政管道的堵塞，必须排入沉淀池进行沉淀澄清处理后回用，不得随意排放。施工用水在城市用水中是用水大户，主要用于生活用水和工程用水。工程用水主要用于工程养护，工程养护中约有</w:t>
      </w:r>
      <w:r>
        <w:rPr>
          <w:color w:val="auto"/>
        </w:rPr>
        <w:t>70%</w:t>
      </w:r>
      <w:r>
        <w:rPr>
          <w:rFonts w:hAnsi="宋体"/>
          <w:color w:val="auto"/>
        </w:rPr>
        <w:t>的水流失，流失时同时夹带泥沙、杂物，处理不当会污染环境，必须经沉淀池处理后回用，以免对环境造成污染，堵塞污水管道。</w:t>
      </w:r>
      <w:bookmarkStart w:id="40" w:name="_Toc17361639"/>
      <w:r>
        <w:rPr>
          <w:color w:val="auto"/>
        </w:rPr>
        <w:t>项目施工期主要道路将采用砼硬化路面，场地四周将敷设排水沟（管）</w:t>
      </w:r>
      <w:r>
        <w:rPr>
          <w:rFonts w:hAnsi="宋体"/>
          <w:color w:val="auto"/>
        </w:rPr>
        <w:t>，并修建临时沉淀池，含</w:t>
      </w:r>
      <w:r>
        <w:rPr>
          <w:color w:val="auto"/>
        </w:rPr>
        <w:t>SS</w:t>
      </w:r>
      <w:r>
        <w:rPr>
          <w:rFonts w:hAnsi="宋体"/>
          <w:color w:val="auto"/>
        </w:rPr>
        <w:t>、微量机油的雨水以及进出施工场地的车辆清洗废水排入沉淀池进行沉淀澄清处理后回用。</w:t>
      </w:r>
    </w:p>
    <w:p>
      <w:pPr>
        <w:spacing w:line="360" w:lineRule="auto"/>
        <w:ind w:firstLine="480"/>
        <w:rPr>
          <w:color w:val="auto"/>
        </w:rPr>
      </w:pPr>
      <w:r>
        <w:rPr>
          <w:rFonts w:hAnsi="宋体"/>
          <w:color w:val="auto"/>
        </w:rPr>
        <w:t>（</w:t>
      </w:r>
      <w:r>
        <w:rPr>
          <w:color w:val="auto"/>
        </w:rPr>
        <w:t>3</w:t>
      </w:r>
      <w:r>
        <w:rPr>
          <w:rFonts w:hAnsi="宋体"/>
          <w:color w:val="auto"/>
        </w:rPr>
        <w:t>）施工期噪声污染源强分析</w:t>
      </w:r>
      <w:bookmarkEnd w:id="40"/>
    </w:p>
    <w:p>
      <w:pPr>
        <w:spacing w:line="360" w:lineRule="auto"/>
        <w:ind w:firstLine="480"/>
        <w:rPr>
          <w:color w:val="auto"/>
        </w:rPr>
      </w:pPr>
      <w:r>
        <w:rPr>
          <w:rFonts w:hAnsi="宋体"/>
          <w:color w:val="auto"/>
        </w:rPr>
        <w:t>建设期噪声主要来自施工机械噪声、施工作业噪声和运输车辆噪声。施工机械噪声由施工机械所造成，如挖土机械、混泥土搅拌机、升降机等，多为点声源</w:t>
      </w:r>
      <w:r>
        <w:rPr>
          <w:rFonts w:hint="eastAsia" w:hAnsi="宋体" w:cs="宋体"/>
          <w:color w:val="auto"/>
          <w:lang w:eastAsia="zh-CN"/>
        </w:rPr>
        <w:t>；</w:t>
      </w:r>
      <w:r>
        <w:rPr>
          <w:rFonts w:hAnsi="宋体"/>
          <w:color w:val="auto"/>
        </w:rPr>
        <w:t>施工作业噪声主要指一些零星的敲打声、装卸建材的撞击声、施工人员的吆喝声、拆装模板的撞击声等，多为瞬间噪声</w:t>
      </w:r>
      <w:r>
        <w:rPr>
          <w:rFonts w:hint="eastAsia" w:hAnsi="宋体" w:cs="宋体"/>
          <w:color w:val="auto"/>
          <w:lang w:eastAsia="zh-CN"/>
        </w:rPr>
        <w:t>；</w:t>
      </w:r>
      <w:r>
        <w:rPr>
          <w:rFonts w:hAnsi="宋体"/>
          <w:color w:val="auto"/>
        </w:rPr>
        <w:t>运输车辆的噪声属于交通噪声。在这些施工噪声中对声环境影响最大的是施工机械噪声。</w:t>
      </w:r>
    </w:p>
    <w:p>
      <w:pPr>
        <w:spacing w:line="360" w:lineRule="auto"/>
        <w:ind w:firstLine="480"/>
        <w:rPr>
          <w:rFonts w:hint="eastAsia"/>
          <w:color w:val="auto"/>
          <w:highlight w:val="none"/>
        </w:rPr>
      </w:pPr>
      <w:r>
        <w:rPr>
          <w:rFonts w:hint="eastAsia" w:hAnsi="宋体"/>
          <w:color w:val="auto"/>
          <w:highlight w:val="none"/>
        </w:rPr>
        <w:t>参照《环境噪声与振动控制工程技术导则》（HJ2034-2013），施工</w:t>
      </w:r>
      <w:r>
        <w:rPr>
          <w:rFonts w:hAnsi="宋体"/>
          <w:color w:val="auto"/>
          <w:highlight w:val="none"/>
        </w:rPr>
        <w:t>期主要施工机械设备的噪声源强见表</w:t>
      </w:r>
      <w:r>
        <w:rPr>
          <w:rFonts w:hint="eastAsia" w:hAnsi="宋体"/>
          <w:color w:val="auto"/>
          <w:highlight w:val="none"/>
          <w:lang w:val="en-US" w:eastAsia="zh-CN"/>
        </w:rPr>
        <w:t>3</w:t>
      </w:r>
      <w:r>
        <w:rPr>
          <w:color w:val="auto"/>
          <w:highlight w:val="none"/>
        </w:rPr>
        <w:t>.2-</w:t>
      </w:r>
      <w:r>
        <w:rPr>
          <w:rFonts w:hint="eastAsia"/>
          <w:color w:val="auto"/>
          <w:highlight w:val="none"/>
        </w:rPr>
        <w:t>2</w:t>
      </w:r>
      <w:r>
        <w:rPr>
          <w:color w:val="auto"/>
          <w:highlight w:val="none"/>
        </w:rPr>
        <w:t>，当多台机械设备同时作业时，产生噪声叠加，根据类比调查，叠加后的噪声增加3-8dB（A），一般不会超过10dB（A）。</w:t>
      </w:r>
    </w:p>
    <w:p>
      <w:pPr>
        <w:spacing w:line="240" w:lineRule="auto"/>
        <w:ind w:firstLine="422"/>
        <w:jc w:val="center"/>
        <w:rPr>
          <w:rFonts w:hAnsi="宋体"/>
          <w:b/>
          <w:color w:val="auto"/>
          <w:sz w:val="21"/>
          <w:szCs w:val="21"/>
          <w:highlight w:val="none"/>
        </w:rPr>
      </w:pPr>
      <w:r>
        <w:rPr>
          <w:rFonts w:hAnsi="宋体"/>
          <w:b/>
          <w:color w:val="auto"/>
          <w:sz w:val="21"/>
          <w:szCs w:val="21"/>
          <w:highlight w:val="none"/>
        </w:rPr>
        <w:t>表</w:t>
      </w:r>
      <w:r>
        <w:rPr>
          <w:rFonts w:hint="eastAsia" w:hAnsi="宋体"/>
          <w:b/>
          <w:color w:val="auto"/>
          <w:sz w:val="21"/>
          <w:szCs w:val="21"/>
          <w:highlight w:val="none"/>
          <w:lang w:val="en-US" w:eastAsia="zh-CN"/>
        </w:rPr>
        <w:t>3</w:t>
      </w:r>
      <w:r>
        <w:rPr>
          <w:b/>
          <w:color w:val="auto"/>
          <w:sz w:val="21"/>
          <w:szCs w:val="21"/>
          <w:highlight w:val="none"/>
        </w:rPr>
        <w:t>.</w:t>
      </w:r>
      <w:r>
        <w:rPr>
          <w:rFonts w:hint="eastAsia"/>
          <w:b/>
          <w:color w:val="auto"/>
          <w:sz w:val="21"/>
          <w:szCs w:val="21"/>
          <w:highlight w:val="none"/>
        </w:rPr>
        <w:t>2</w:t>
      </w:r>
      <w:r>
        <w:rPr>
          <w:b/>
          <w:color w:val="auto"/>
          <w:sz w:val="21"/>
          <w:szCs w:val="21"/>
          <w:highlight w:val="none"/>
        </w:rPr>
        <w:t>-</w:t>
      </w:r>
      <w:r>
        <w:rPr>
          <w:rFonts w:hint="eastAsia"/>
          <w:b/>
          <w:color w:val="auto"/>
          <w:sz w:val="21"/>
          <w:szCs w:val="21"/>
          <w:highlight w:val="none"/>
        </w:rPr>
        <w:t>2</w:t>
      </w:r>
      <w:r>
        <w:rPr>
          <w:b/>
          <w:color w:val="auto"/>
          <w:sz w:val="21"/>
          <w:szCs w:val="21"/>
          <w:highlight w:val="none"/>
        </w:rPr>
        <w:t xml:space="preserve">  </w:t>
      </w:r>
      <w:r>
        <w:rPr>
          <w:rFonts w:hAnsi="宋体"/>
          <w:b/>
          <w:color w:val="auto"/>
          <w:sz w:val="21"/>
          <w:szCs w:val="21"/>
          <w:highlight w:val="none"/>
        </w:rPr>
        <w:t>施工期噪声声源强度表</w:t>
      </w:r>
      <w:r>
        <w:rPr>
          <w:rFonts w:hint="eastAsia" w:hAnsi="宋体"/>
          <w:b/>
          <w:color w:val="auto"/>
          <w:sz w:val="21"/>
          <w:szCs w:val="21"/>
          <w:highlight w:val="none"/>
        </w:rPr>
        <w:t xml:space="preserve">  单位：dB（A）</w:t>
      </w:r>
    </w:p>
    <w:tbl>
      <w:tblPr>
        <w:tblStyle w:val="4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3"/>
        <w:gridCol w:w="4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声  源</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距声源10m声源强度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挖掘机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装载机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推土机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移动式发电机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90~98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重型运输车</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振动夯锤</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打桩机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95~105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混凝土输送泵</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混凝土振捣器</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75~84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商砼搅拌车</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木工电锯</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90~95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电锤</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95~99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风镐</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云石机、角磨机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9"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空压机</w:t>
            </w:r>
          </w:p>
        </w:tc>
        <w:tc>
          <w:tcPr>
            <w:tcW w:w="2810" w:type="pc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eastAsia="宋体"/>
                <w:color w:val="auto"/>
                <w:sz w:val="21"/>
                <w:szCs w:val="21"/>
              </w:rPr>
            </w:pPr>
            <w:r>
              <w:rPr>
                <w:rFonts w:hAnsi="宋体" w:eastAsia="宋体"/>
                <w:color w:val="auto"/>
                <w:sz w:val="21"/>
                <w:szCs w:val="21"/>
              </w:rPr>
              <w:t>83~88</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spacing w:val="-6"/>
        </w:rPr>
      </w:pPr>
      <w:r>
        <w:rPr>
          <w:rFonts w:hint="default" w:ascii="Times New Roman" w:hAnsi="Times New Roman" w:cs="Times New Roman"/>
          <w:color w:val="auto"/>
        </w:rPr>
        <w:t>对此，在建筑施工期间向周围排放噪声必须按照《中华人民共和国环境噪声污染防治法》规定，严格按《</w:t>
      </w:r>
      <w:r>
        <w:rPr>
          <w:rFonts w:hint="default" w:ascii="Times New Roman" w:hAnsi="Times New Roman" w:cs="Times New Roman"/>
          <w:bCs/>
          <w:color w:val="auto"/>
        </w:rPr>
        <w:t>建筑施工场界环境噪声排放标准</w:t>
      </w:r>
      <w:r>
        <w:rPr>
          <w:rFonts w:hint="default" w:ascii="Times New Roman" w:hAnsi="Times New Roman" w:cs="Times New Roman"/>
          <w:color w:val="auto"/>
        </w:rPr>
        <w:t>》（GB12523-2011）进行控制。施工期高噪声设备合理安排施工时间，夜间禁止使用高噪声机械设备，杜绝深夜施工噪声扰民</w:t>
      </w:r>
      <w:r>
        <w:rPr>
          <w:rFonts w:hint="eastAsia" w:ascii="Times New Roman" w:hAnsi="Times New Roman" w:cs="宋体"/>
          <w:color w:val="auto"/>
          <w:lang w:eastAsia="zh-CN"/>
        </w:rPr>
        <w:t>；</w:t>
      </w:r>
      <w:r>
        <w:rPr>
          <w:rFonts w:hint="default" w:ascii="Times New Roman" w:hAnsi="Times New Roman" w:cs="Times New Roman"/>
          <w:color w:val="auto"/>
        </w:rPr>
        <w:t>另外，对施工场地平面布局时将施工机械产噪设备进行合理布设，</w:t>
      </w:r>
      <w:r>
        <w:rPr>
          <w:rFonts w:hint="eastAsia"/>
          <w:color w:val="auto"/>
          <w:lang w:val="en-US" w:eastAsia="zh-CN"/>
        </w:rPr>
        <w:t>尽量远离东侧现有医院，通过设置移动式隔声屏障等措施尽量减少对现有医院及附近敏感点的影响</w:t>
      </w:r>
      <w:r>
        <w:rPr>
          <w:rFonts w:hint="default" w:ascii="Times New Roman" w:hAnsi="Times New Roman" w:cs="Times New Roman"/>
          <w:color w:val="auto"/>
          <w:spacing w:val="-6"/>
        </w:rPr>
        <w:t>。</w:t>
      </w:r>
      <w:bookmarkStart w:id="41" w:name="_Hlt8612798"/>
      <w:bookmarkEnd w:id="41"/>
      <w:r>
        <w:rPr>
          <w:rFonts w:hint="default" w:ascii="Times New Roman" w:hAnsi="Times New Roman" w:cs="Times New Roman"/>
          <w:color w:val="auto"/>
        </w:rPr>
        <w:t>对因生产工艺要求和其它特殊需要，确需在夜间进行超过噪声标准施工的，施工前建设单位向有关部门申请，经批准后方可进行夜间施工。</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6" w:firstLineChars="200"/>
        <w:textAlignment w:val="auto"/>
        <w:outlineLvl w:val="9"/>
        <w:rPr>
          <w:rFonts w:hint="default" w:ascii="Times New Roman" w:hAnsi="Times New Roman" w:cs="Times New Roman"/>
          <w:color w:val="auto"/>
        </w:rPr>
      </w:pPr>
      <w:r>
        <w:rPr>
          <w:rFonts w:hint="default" w:ascii="Times New Roman" w:hAnsi="Times New Roman" w:cs="Times New Roman"/>
          <w:color w:val="auto"/>
          <w:spacing w:val="-6"/>
        </w:rPr>
        <w:t>（4）</w:t>
      </w:r>
      <w:r>
        <w:rPr>
          <w:rFonts w:hint="default" w:ascii="Times New Roman" w:hAnsi="Times New Roman" w:cs="Times New Roman"/>
          <w:color w:val="auto"/>
        </w:rPr>
        <w:t>施工期固废污染源强分析</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rPr>
        <w:t>施工期固体废物主要由</w:t>
      </w:r>
      <w:r>
        <w:rPr>
          <w:rFonts w:hint="default" w:ascii="Times New Roman" w:hAnsi="Times New Roman" w:cs="Times New Roman"/>
          <w:color w:val="auto"/>
          <w:szCs w:val="21"/>
        </w:rPr>
        <w:t>向市容环境卫生主管部门申请，</w:t>
      </w:r>
      <w:r>
        <w:rPr>
          <w:rFonts w:hint="default" w:ascii="Times New Roman" w:hAnsi="Times New Roman" w:cs="Times New Roman"/>
          <w:color w:val="auto"/>
        </w:rPr>
        <w:t>堆放至其指定的履行相关手续的合法弃土场</w:t>
      </w:r>
      <w:r>
        <w:rPr>
          <w:rFonts w:hint="eastAsia" w:cs="宋体"/>
          <w:color w:val="auto"/>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rPr>
      </w:pPr>
      <w:r>
        <w:rPr>
          <w:rFonts w:hint="default" w:ascii="Times New Roman" w:hAnsi="Times New Roman" w:cs="Times New Roman"/>
          <w:color w:val="auto"/>
        </w:rPr>
        <w:t>施工建筑垃圾、废弃土方和施工人员生活垃圾组成。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highlight w:val="none"/>
        </w:rPr>
      </w:pPr>
      <w:r>
        <w:rPr>
          <w:rFonts w:hint="eastAsia" w:cs="Times New Roman"/>
          <w:color w:val="auto"/>
          <w:highlight w:val="none"/>
          <w:lang w:val="en-US" w:eastAsia="zh-CN"/>
        </w:rPr>
        <w:t>a</w:t>
      </w:r>
      <w:r>
        <w:rPr>
          <w:rFonts w:hint="default" w:ascii="Times New Roman" w:hAnsi="Times New Roman" w:cs="Times New Roman"/>
          <w:color w:val="auto"/>
          <w:highlight w:val="none"/>
        </w:rPr>
        <w:t>、施工建筑垃圾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在建设过程中产生的建筑垃圾主要有开挖土地产生的土方、建材损耗产生的垃圾等，包括砂土、石块、水泥、碎木料、锯木屑、废金属、钢筋、铁丝等杂物。土建施工垃圾按照万分五生产率计，即新建1万平方米建筑，通常建筑材料总用量为1万吨，按照百分之五建筑垃圾率，约产生建筑垃圾500吨，项目共计建筑面积</w:t>
      </w:r>
      <w:r>
        <w:rPr>
          <w:rFonts w:hint="eastAsia" w:cs="Times New Roman"/>
          <w:color w:val="auto"/>
          <w:szCs w:val="21"/>
          <w:highlight w:val="none"/>
          <w:lang w:val="en-US" w:eastAsia="zh-CN"/>
        </w:rPr>
        <w:t>92100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，则产生建筑垃圾</w:t>
      </w:r>
      <w:r>
        <w:rPr>
          <w:rFonts w:hint="eastAsia" w:cs="Times New Roman"/>
          <w:color w:val="auto"/>
          <w:highlight w:val="none"/>
          <w:lang w:val="en-US" w:eastAsia="zh-CN"/>
        </w:rPr>
        <w:t>4605</w:t>
      </w:r>
      <w:r>
        <w:rPr>
          <w:rFonts w:hint="default" w:ascii="Times New Roman" w:hAnsi="Times New Roman" w:cs="Times New Roman"/>
          <w:color w:val="auto"/>
          <w:highlight w:val="none"/>
        </w:rPr>
        <w:t>吨。其中</w:t>
      </w:r>
      <w:r>
        <w:rPr>
          <w:rFonts w:hint="default" w:ascii="Times New Roman" w:hAnsi="Times New Roman" w:cs="Times New Roman"/>
          <w:color w:val="auto"/>
          <w:szCs w:val="21"/>
          <w:highlight w:val="none"/>
        </w:rPr>
        <w:t>钢筋头、废木料占20%（</w:t>
      </w:r>
      <w:r>
        <w:rPr>
          <w:rFonts w:hint="eastAsia" w:cs="Times New Roman"/>
          <w:color w:val="auto"/>
          <w:szCs w:val="21"/>
          <w:highlight w:val="none"/>
          <w:lang w:val="en-US" w:eastAsia="zh-CN"/>
        </w:rPr>
        <w:t>921</w:t>
      </w:r>
      <w:r>
        <w:rPr>
          <w:rFonts w:hint="default" w:ascii="Times New Roman" w:hAnsi="Times New Roman" w:cs="Times New Roman"/>
          <w:color w:val="auto"/>
          <w:szCs w:val="21"/>
          <w:highlight w:val="none"/>
        </w:rPr>
        <w:t>吨），全部回收利用</w:t>
      </w:r>
      <w:r>
        <w:rPr>
          <w:rFonts w:hint="eastAsia" w:cs="宋体"/>
          <w:color w:val="auto"/>
          <w:szCs w:val="21"/>
          <w:highlight w:val="none"/>
          <w:lang w:eastAsia="zh-CN"/>
        </w:rPr>
        <w:t>；</w:t>
      </w:r>
      <w:r>
        <w:rPr>
          <w:rFonts w:hint="default" w:ascii="Times New Roman" w:hAnsi="Times New Roman" w:cs="Times New Roman"/>
          <w:color w:val="auto"/>
          <w:szCs w:val="21"/>
          <w:highlight w:val="none"/>
        </w:rPr>
        <w:t>部分建筑垃圾（约</w:t>
      </w:r>
      <w:r>
        <w:rPr>
          <w:rFonts w:hint="eastAsia" w:cs="Times New Roman"/>
          <w:color w:val="auto"/>
          <w:szCs w:val="21"/>
          <w:highlight w:val="none"/>
          <w:lang w:val="en-US" w:eastAsia="zh-CN"/>
        </w:rPr>
        <w:t>1842</w:t>
      </w:r>
      <w:r>
        <w:rPr>
          <w:rFonts w:hint="default" w:ascii="Times New Roman" w:hAnsi="Times New Roman" w:cs="Times New Roman"/>
          <w:color w:val="auto"/>
          <w:szCs w:val="21"/>
          <w:highlight w:val="none"/>
        </w:rPr>
        <w:t>吨）回收利用作土方，剩余建筑垃圾（</w:t>
      </w:r>
      <w:r>
        <w:rPr>
          <w:rFonts w:hint="eastAsia" w:cs="Times New Roman"/>
          <w:color w:val="auto"/>
          <w:szCs w:val="21"/>
          <w:highlight w:val="none"/>
          <w:lang w:val="en-US" w:eastAsia="zh-CN"/>
        </w:rPr>
        <w:t>1842</w:t>
      </w:r>
      <w:r>
        <w:rPr>
          <w:rFonts w:hint="default" w:ascii="Times New Roman" w:hAnsi="Times New Roman" w:cs="Times New Roman"/>
          <w:color w:val="auto"/>
          <w:szCs w:val="21"/>
          <w:highlight w:val="none"/>
        </w:rPr>
        <w:t>吨）向市容环境卫生主管部门申请，</w:t>
      </w:r>
      <w:r>
        <w:rPr>
          <w:rFonts w:hint="default" w:ascii="Times New Roman" w:hAnsi="Times New Roman" w:cs="Times New Roman"/>
          <w:color w:val="auto"/>
          <w:highlight w:val="none"/>
        </w:rPr>
        <w:t>堆放至其指定的履行相关手续的合法弃土场</w:t>
      </w:r>
      <w:r>
        <w:rPr>
          <w:rFonts w:hint="default" w:ascii="Times New Roman" w:hAnsi="Times New Roman" w:cs="Times New Roman"/>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rPr>
      </w:pPr>
      <w:r>
        <w:rPr>
          <w:rFonts w:hint="eastAsia" w:cs="Times New Roman"/>
          <w:color w:val="auto"/>
          <w:lang w:val="en-US" w:eastAsia="zh-CN"/>
        </w:rPr>
        <w:t>b</w:t>
      </w:r>
      <w:r>
        <w:rPr>
          <w:rFonts w:hint="default" w:ascii="Times New Roman" w:hAnsi="Times New Roman" w:cs="Times New Roman"/>
          <w:color w:val="auto"/>
        </w:rPr>
        <w:t>、施工人员生活垃圾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rPr>
      </w:pPr>
      <w:r>
        <w:rPr>
          <w:rFonts w:hint="default" w:ascii="Times New Roman" w:hAnsi="Times New Roman" w:cs="Times New Roman"/>
          <w:color w:val="auto"/>
        </w:rPr>
        <w:t>生活垃圾以人均每天产生1kg计算，施工人数100人，则</w:t>
      </w:r>
      <w:bookmarkStart w:id="42" w:name="_Hlt532271731"/>
      <w:r>
        <w:rPr>
          <w:rFonts w:hint="default" w:ascii="Times New Roman" w:hAnsi="Times New Roman" w:cs="Times New Roman"/>
          <w:color w:val="auto"/>
        </w:rPr>
        <w:t>施工期间产生的生活垃圾总计约66t</w:t>
      </w:r>
      <w:bookmarkEnd w:id="42"/>
      <w:r>
        <w:rPr>
          <w:rFonts w:hint="default" w:ascii="Times New Roman" w:hAnsi="Times New Roman" w:cs="Times New Roman"/>
          <w:color w:val="auto"/>
        </w:rPr>
        <w:t>，统一收集后由环卫部门统一清运。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cs="Times New Roman"/>
          <w:color w:val="auto"/>
        </w:rPr>
      </w:pPr>
      <w:r>
        <w:rPr>
          <w:rFonts w:hint="default" w:ascii="Times New Roman" w:hAnsi="Times New Roman" w:cs="Times New Roman"/>
          <w:color w:val="auto"/>
        </w:rPr>
        <w:t>垃圾产生情况见下表：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宋体" w:hAnsi="宋体"/>
          <w:color w:val="auto"/>
          <w:highlight w:val="none"/>
        </w:rPr>
      </w:pPr>
      <w:r>
        <w:rPr>
          <w:rFonts w:hAnsi="宋体"/>
          <w:b/>
          <w:color w:val="auto"/>
          <w:sz w:val="21"/>
          <w:szCs w:val="21"/>
          <w:highlight w:val="none"/>
        </w:rPr>
        <w:t>表</w:t>
      </w:r>
      <w:r>
        <w:rPr>
          <w:rFonts w:hint="eastAsia" w:hAnsi="宋体"/>
          <w:b/>
          <w:color w:val="auto"/>
          <w:sz w:val="21"/>
          <w:szCs w:val="21"/>
          <w:highlight w:val="none"/>
          <w:lang w:val="en-US" w:eastAsia="zh-CN"/>
        </w:rPr>
        <w:t>3</w:t>
      </w:r>
      <w:r>
        <w:rPr>
          <w:b/>
          <w:color w:val="auto"/>
          <w:sz w:val="21"/>
          <w:szCs w:val="21"/>
          <w:highlight w:val="none"/>
        </w:rPr>
        <w:t>.2-</w:t>
      </w:r>
      <w:r>
        <w:rPr>
          <w:rFonts w:hint="eastAsia"/>
          <w:b/>
          <w:color w:val="auto"/>
          <w:sz w:val="21"/>
          <w:szCs w:val="21"/>
          <w:highlight w:val="none"/>
        </w:rPr>
        <w:t>3</w:t>
      </w:r>
      <w:r>
        <w:rPr>
          <w:b/>
          <w:color w:val="auto"/>
          <w:sz w:val="21"/>
          <w:szCs w:val="21"/>
          <w:highlight w:val="none"/>
        </w:rPr>
        <w:t xml:space="preserve">  </w:t>
      </w:r>
      <w:r>
        <w:rPr>
          <w:rFonts w:hAnsi="宋体"/>
          <w:b/>
          <w:color w:val="auto"/>
          <w:sz w:val="21"/>
          <w:szCs w:val="21"/>
          <w:highlight w:val="none"/>
        </w:rPr>
        <w:t>施工期固废产生量分析</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235"/>
        <w:gridCol w:w="1600"/>
        <w:gridCol w:w="1487"/>
        <w:gridCol w:w="3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235"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固废种类</w:t>
            </w:r>
          </w:p>
        </w:tc>
        <w:tc>
          <w:tcPr>
            <w:tcW w:w="160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固废组成</w:t>
            </w:r>
          </w:p>
        </w:tc>
        <w:tc>
          <w:tcPr>
            <w:tcW w:w="148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w:t>
            </w:r>
          </w:p>
        </w:tc>
        <w:tc>
          <w:tcPr>
            <w:tcW w:w="356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35"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土建施工</w:t>
            </w:r>
          </w:p>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建筑垃圾</w:t>
            </w:r>
          </w:p>
        </w:tc>
        <w:tc>
          <w:tcPr>
            <w:tcW w:w="160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80%废混凝土和砖石，20%钢筋头、废木料</w:t>
            </w:r>
          </w:p>
        </w:tc>
        <w:tc>
          <w:tcPr>
            <w:tcW w:w="148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4605</w:t>
            </w:r>
          </w:p>
        </w:tc>
        <w:tc>
          <w:tcPr>
            <w:tcW w:w="356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钢筋头、废木料占20%（</w:t>
            </w:r>
            <w:r>
              <w:rPr>
                <w:rFonts w:hint="eastAsia" w:cs="Times New Roman"/>
                <w:color w:val="auto"/>
                <w:szCs w:val="21"/>
                <w:highlight w:val="none"/>
                <w:lang w:val="en-US" w:eastAsia="zh-CN"/>
              </w:rPr>
              <w:t>921</w:t>
            </w:r>
            <w:r>
              <w:rPr>
                <w:rFonts w:hint="default" w:ascii="Times New Roman" w:hAnsi="Times New Roman" w:eastAsia="宋体" w:cs="Times New Roman"/>
                <w:color w:val="auto"/>
                <w:sz w:val="21"/>
                <w:szCs w:val="21"/>
                <w:highlight w:val="none"/>
              </w:rPr>
              <w:t>吨），全部回收利用，剩余建筑垃圾部分（约</w:t>
            </w:r>
            <w:r>
              <w:rPr>
                <w:rFonts w:hint="eastAsia" w:cs="Times New Roman"/>
                <w:color w:val="auto"/>
                <w:szCs w:val="21"/>
                <w:highlight w:val="none"/>
                <w:lang w:val="en-US" w:eastAsia="zh-CN"/>
              </w:rPr>
              <w:t>1842</w:t>
            </w:r>
            <w:r>
              <w:rPr>
                <w:rFonts w:hint="default" w:ascii="Times New Roman" w:hAnsi="Times New Roman" w:eastAsia="宋体" w:cs="Times New Roman"/>
                <w:color w:val="auto"/>
                <w:sz w:val="21"/>
                <w:szCs w:val="21"/>
                <w:highlight w:val="none"/>
              </w:rPr>
              <w:t>吨）回收利用作土方，剩下部分弃土（</w:t>
            </w:r>
            <w:r>
              <w:rPr>
                <w:rFonts w:hint="eastAsia" w:cs="Times New Roman"/>
                <w:color w:val="auto"/>
                <w:szCs w:val="21"/>
                <w:highlight w:val="none"/>
                <w:lang w:val="en-US" w:eastAsia="zh-CN"/>
              </w:rPr>
              <w:t>1842</w:t>
            </w:r>
            <w:r>
              <w:rPr>
                <w:rFonts w:hint="default" w:ascii="Times New Roman" w:hAnsi="Times New Roman" w:eastAsia="宋体" w:cs="Times New Roman"/>
                <w:color w:val="auto"/>
                <w:sz w:val="21"/>
                <w:szCs w:val="21"/>
                <w:highlight w:val="none"/>
              </w:rPr>
              <w:t>吨）向市容环境卫生主管部门申请指定位置堆放。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235"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施工生活垃圾</w:t>
            </w:r>
          </w:p>
        </w:tc>
        <w:tc>
          <w:tcPr>
            <w:tcW w:w="160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主要为厨余物</w:t>
            </w:r>
          </w:p>
        </w:tc>
        <w:tc>
          <w:tcPr>
            <w:tcW w:w="1487"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66</w:t>
            </w:r>
          </w:p>
        </w:tc>
        <w:tc>
          <w:tcPr>
            <w:tcW w:w="3560"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委托环卫部门统一处理</w:t>
            </w:r>
          </w:p>
        </w:tc>
      </w:tr>
    </w:tbl>
    <w:p>
      <w:pPr>
        <w:pStyle w:val="5"/>
        <w:pageBreakBefore w:val="0"/>
        <w:widowControl w:val="0"/>
        <w:numPr>
          <w:ilvl w:val="0"/>
          <w:numId w:val="0"/>
        </w:numPr>
        <w:kinsoku/>
        <w:wordWrap/>
        <w:overflowPunct/>
        <w:topLinePunct w:val="0"/>
        <w:autoSpaceDE/>
        <w:autoSpaceDN/>
        <w:bidi w:val="0"/>
        <w:adjustRightInd/>
        <w:snapToGrid/>
        <w:spacing w:before="0" w:beforeLines="0" w:line="240" w:lineRule="auto"/>
        <w:ind w:leftChars="0" w:right="0"/>
        <w:textAlignment w:val="auto"/>
        <w:rPr>
          <w:rFonts w:hint="eastAsia"/>
          <w:color w:val="auto"/>
        </w:rPr>
      </w:pPr>
      <w:r>
        <w:rPr>
          <w:rFonts w:hint="eastAsia"/>
          <w:color w:val="auto"/>
          <w:lang w:val="en-US" w:eastAsia="zh-CN"/>
        </w:rPr>
        <w:t>3.2.2</w:t>
      </w:r>
      <w:r>
        <w:rPr>
          <w:rFonts w:hint="eastAsia"/>
          <w:color w:val="auto"/>
        </w:rPr>
        <w:t>营运期工程分析</w:t>
      </w:r>
    </w:p>
    <w:p>
      <w:pPr>
        <w:pStyle w:val="5"/>
        <w:keepNext/>
        <w:keepLines/>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textAlignment w:val="auto"/>
        <w:rPr>
          <w:rFonts w:hint="eastAsia"/>
          <w:color w:val="auto"/>
          <w:lang w:eastAsia="zh-CN"/>
        </w:rPr>
      </w:pPr>
      <w:r>
        <w:rPr>
          <w:rFonts w:hint="eastAsia"/>
          <w:color w:val="auto"/>
          <w:lang w:eastAsia="zh-CN"/>
        </w:rPr>
        <w:drawing>
          <wp:inline distT="0" distB="0" distL="114300" distR="114300">
            <wp:extent cx="5276850" cy="4514850"/>
            <wp:effectExtent l="0" t="0" r="0" b="0"/>
            <wp:docPr id="481" name="图片 481" descr="2023010309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20230103092931"/>
                    <pic:cNvPicPr>
                      <a:picLocks noChangeAspect="1"/>
                    </pic:cNvPicPr>
                  </pic:nvPicPr>
                  <pic:blipFill>
                    <a:blip r:embed="rId29"/>
                    <a:stretch>
                      <a:fillRect/>
                    </a:stretch>
                  </pic:blipFill>
                  <pic:spPr>
                    <a:xfrm>
                      <a:off x="0" y="0"/>
                      <a:ext cx="5276850" cy="4514850"/>
                    </a:xfrm>
                    <a:prstGeom prst="rect">
                      <a:avLst/>
                    </a:prstGeom>
                  </pic:spPr>
                </pic:pic>
              </a:graphicData>
            </a:graphic>
          </wp:inline>
        </w:drawing>
      </w:r>
    </w:p>
    <w:p>
      <w:pPr>
        <w:pStyle w:val="5"/>
        <w:keepNext/>
        <w:keepLines/>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jc w:val="center"/>
        <w:textAlignment w:val="auto"/>
        <w:rPr>
          <w:rFonts w:hint="eastAsia"/>
          <w:color w:val="auto"/>
          <w:lang w:eastAsia="zh-CN"/>
        </w:rPr>
      </w:pPr>
      <w:r>
        <w:rPr>
          <w:rFonts w:hint="eastAsia"/>
          <w:b/>
          <w:bCs/>
          <w:color w:val="auto"/>
          <w:sz w:val="21"/>
          <w:szCs w:val="21"/>
          <w:lang w:val="en-US" w:eastAsia="zh-CN"/>
        </w:rPr>
        <w:t>图3.2-2  营运期病人就诊流程及产污环节图</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宋体" w:cs="Times New Roman"/>
          <w:b/>
          <w:bCs/>
          <w:color w:val="auto"/>
          <w:spacing w:val="0"/>
          <w:w w:val="100"/>
          <w:kern w:val="2"/>
          <w:sz w:val="24"/>
          <w:szCs w:val="24"/>
          <w:highlight w:val="none"/>
          <w:lang w:val="en-US" w:eastAsia="zh-CN" w:bidi="ar-SA"/>
        </w:rPr>
      </w:pPr>
      <w:bookmarkStart w:id="43" w:name="_Toc1969"/>
      <w:bookmarkStart w:id="44" w:name="_Toc453837799"/>
      <w:r>
        <w:rPr>
          <w:rFonts w:hint="eastAsia" w:ascii="Times New Roman" w:hAnsi="Times New Roman" w:eastAsia="宋体" w:cs="Times New Roman"/>
          <w:b/>
          <w:bCs/>
          <w:color w:val="auto"/>
          <w:spacing w:val="0"/>
          <w:w w:val="100"/>
          <w:kern w:val="2"/>
          <w:sz w:val="24"/>
          <w:szCs w:val="24"/>
          <w:highlight w:val="none"/>
          <w:lang w:val="en-US" w:eastAsia="zh-CN" w:bidi="ar-SA"/>
        </w:rPr>
        <w:t>工艺流程简述：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lang w:eastAsia="zh-CN"/>
        </w:rPr>
      </w:pPr>
      <w:r>
        <w:rPr>
          <w:rFonts w:hint="eastAsia" w:ascii="Times New Roman" w:hAnsi="Times New Roman" w:eastAsia="宋体" w:cs="Times New Roman"/>
          <w:color w:val="auto"/>
          <w:spacing w:val="0"/>
          <w:w w:val="100"/>
          <w:kern w:val="2"/>
          <w:sz w:val="24"/>
          <w:szCs w:val="24"/>
          <w:highlight w:val="none"/>
          <w:lang w:val="en-US" w:eastAsia="zh-CN" w:bidi="ar-SA"/>
        </w:rPr>
        <w:t>就诊患者一般需先进行挂号缴费，或现场前台进行咨询。医生对就诊患者在诊室内（检查室）进行初步诊断，根据初诊结果对患者进行血压、心电图、血型等简单的检查、检验来进一步确诊，过程中无含重金属等试剂、材料的使用。根据检查结果进行对症治疗，需住院治疗的患者转至病房区观察、休息，无需住院的患者诊断后或拿药后离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auto"/>
          <w:lang w:eastAsia="zh-CN"/>
        </w:rPr>
      </w:pPr>
      <w:r>
        <w:rPr>
          <w:rFonts w:hint="eastAsia"/>
          <w:color w:val="auto"/>
          <w:lang w:eastAsia="zh-CN"/>
        </w:rPr>
        <w:t>本项目建设了一座感染楼（特殊门诊），专门用于</w:t>
      </w:r>
      <w:r>
        <w:rPr>
          <w:rFonts w:hint="eastAsia"/>
          <w:color w:val="auto"/>
          <w:sz w:val="24"/>
          <w:szCs w:val="24"/>
          <w:lang w:eastAsia="zh-CN"/>
        </w:rPr>
        <w:t>肝炎、发热患者，细菌、真菌感染等传染性患者的接诊，就诊流程与综合门诊类似，产生的传染性废水经预消毒处理后排入综合污水处理站。</w:t>
      </w:r>
    </w:p>
    <w:bookmarkEnd w:id="43"/>
    <w:bookmarkEnd w:id="44"/>
    <w:p>
      <w:pPr>
        <w:pStyle w:val="2"/>
        <w:pageBreakBefore w:val="0"/>
        <w:widowControl w:val="0"/>
        <w:numPr>
          <w:ilvl w:val="0"/>
          <w:numId w:val="0"/>
        </w:numPr>
        <w:kinsoku/>
        <w:wordWrap/>
        <w:overflowPunct/>
        <w:topLinePunct w:val="0"/>
        <w:autoSpaceDE/>
        <w:autoSpaceDN/>
        <w:bidi w:val="0"/>
        <w:adjustRightInd/>
        <w:snapToGrid/>
        <w:spacing w:before="0" w:after="0" w:line="360" w:lineRule="auto"/>
        <w:ind w:right="0"/>
        <w:textAlignment w:val="auto"/>
        <w:rPr>
          <w:color w:val="auto"/>
        </w:rPr>
      </w:pPr>
      <w:r>
        <w:rPr>
          <w:rFonts w:hint="eastAsia"/>
          <w:color w:val="auto"/>
          <w:lang w:val="en-US" w:eastAsia="zh-CN"/>
        </w:rPr>
        <w:t>3</w:t>
      </w:r>
      <w:r>
        <w:rPr>
          <w:color w:val="auto"/>
        </w:rPr>
        <w:t>.2.</w:t>
      </w:r>
      <w:r>
        <w:rPr>
          <w:rFonts w:hint="eastAsia"/>
          <w:color w:val="auto"/>
          <w:lang w:val="en-US" w:eastAsia="zh-CN"/>
        </w:rPr>
        <w:t>2.</w:t>
      </w:r>
      <w:r>
        <w:rPr>
          <w:color w:val="auto"/>
        </w:rPr>
        <w:t>1水污染源分析</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textAlignment w:val="auto"/>
        <w:rPr>
          <w:rFonts w:hint="eastAsia" w:ascii="Times New Roman" w:hAnsi="Times New Roman" w:eastAsia="宋体" w:cs="Times New Roman"/>
          <w:color w:val="auto"/>
          <w:spacing w:val="0"/>
          <w:w w:val="100"/>
          <w:highlight w:val="none"/>
          <w:lang w:eastAsia="zh-CN"/>
        </w:rPr>
      </w:pPr>
      <w:r>
        <w:rPr>
          <w:rFonts w:hint="eastAsia" w:ascii="Times New Roman" w:hAnsi="Times New Roman" w:eastAsia="宋体" w:cs="Times New Roman"/>
          <w:color w:val="auto"/>
          <w:spacing w:val="0"/>
          <w:w w:val="100"/>
          <w:highlight w:val="none"/>
          <w:lang w:eastAsia="zh-CN"/>
        </w:rPr>
        <w:t>感染楼</w:t>
      </w:r>
      <w:r>
        <w:rPr>
          <w:rFonts w:hint="eastAsia" w:cs="Times New Roman"/>
          <w:color w:val="auto"/>
          <w:spacing w:val="0"/>
          <w:w w:val="100"/>
          <w:highlight w:val="none"/>
          <w:lang w:eastAsia="zh-CN"/>
        </w:rPr>
        <w:t>（特殊门诊楼）</w:t>
      </w:r>
      <w:r>
        <w:rPr>
          <w:rFonts w:hint="eastAsia" w:ascii="Times New Roman" w:hAnsi="Times New Roman" w:eastAsia="宋体" w:cs="Times New Roman"/>
          <w:color w:val="auto"/>
          <w:spacing w:val="0"/>
          <w:w w:val="100"/>
          <w:highlight w:val="none"/>
          <w:lang w:eastAsia="zh-CN"/>
        </w:rPr>
        <w:t>共</w:t>
      </w:r>
      <w:r>
        <w:rPr>
          <w:rFonts w:hint="eastAsia" w:cs="Times New Roman"/>
          <w:color w:val="auto"/>
          <w:spacing w:val="0"/>
          <w:w w:val="100"/>
          <w:highlight w:val="none"/>
          <w:lang w:val="en-US" w:eastAsia="zh-CN"/>
        </w:rPr>
        <w:t>3</w:t>
      </w:r>
      <w:r>
        <w:rPr>
          <w:rFonts w:hint="eastAsia" w:ascii="Times New Roman" w:hAnsi="Times New Roman" w:eastAsia="宋体" w:cs="Times New Roman"/>
          <w:color w:val="auto"/>
          <w:spacing w:val="0"/>
          <w:w w:val="100"/>
          <w:highlight w:val="none"/>
          <w:lang w:val="en-US" w:eastAsia="zh-CN"/>
        </w:rPr>
        <w:t>层，</w:t>
      </w:r>
      <w:r>
        <w:rPr>
          <w:rFonts w:hint="eastAsia" w:ascii="Times New Roman" w:hAnsi="Times New Roman" w:eastAsia="宋体" w:cs="Times New Roman"/>
          <w:color w:val="auto"/>
          <w:spacing w:val="0"/>
          <w:w w:val="100"/>
          <w:highlight w:val="none"/>
          <w:lang w:eastAsia="zh-CN"/>
        </w:rPr>
        <w:t>其中</w:t>
      </w:r>
      <w:r>
        <w:rPr>
          <w:rFonts w:hint="eastAsia" w:cs="Times New Roman"/>
          <w:color w:val="auto"/>
          <w:spacing w:val="0"/>
          <w:w w:val="100"/>
          <w:highlight w:val="none"/>
          <w:lang w:eastAsia="zh-CN"/>
        </w:rPr>
        <w:t>一层为特殊门诊，二层为留观用房，三层为预留发展用房。</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2" w:firstLineChars="200"/>
        <w:textAlignment w:val="auto"/>
        <w:rPr>
          <w:rFonts w:hint="eastAsia" w:ascii="Times New Roman" w:hAnsi="Times New Roman" w:eastAsia="宋体" w:cs="Times New Roman"/>
          <w:b w:val="0"/>
          <w:bCs w:val="0"/>
          <w:color w:val="auto"/>
          <w:spacing w:val="0"/>
          <w:w w:val="100"/>
          <w:highlight w:val="none"/>
          <w:lang w:eastAsia="zh-CN"/>
        </w:rPr>
      </w:pPr>
      <w:r>
        <w:rPr>
          <w:rFonts w:hint="eastAsia" w:ascii="Times New Roman" w:hAnsi="Times New Roman" w:eastAsia="宋体" w:cs="Times New Roman"/>
          <w:b/>
          <w:bCs/>
          <w:color w:val="auto"/>
          <w:spacing w:val="0"/>
          <w:w w:val="100"/>
          <w:highlight w:val="none"/>
          <w:lang w:eastAsia="zh-CN"/>
        </w:rPr>
        <w:t>感染楼</w:t>
      </w:r>
      <w:r>
        <w:rPr>
          <w:rFonts w:hint="eastAsia" w:cs="Times New Roman"/>
          <w:b/>
          <w:bCs/>
          <w:color w:val="auto"/>
          <w:spacing w:val="0"/>
          <w:w w:val="100"/>
          <w:highlight w:val="none"/>
          <w:lang w:eastAsia="zh-CN"/>
        </w:rPr>
        <w:t>（特殊门诊楼）</w:t>
      </w:r>
      <w:r>
        <w:rPr>
          <w:rFonts w:hint="eastAsia" w:ascii="Times New Roman" w:hAnsi="Times New Roman" w:eastAsia="宋体" w:cs="Times New Roman"/>
          <w:b/>
          <w:bCs/>
          <w:color w:val="auto"/>
          <w:spacing w:val="0"/>
          <w:w w:val="100"/>
          <w:highlight w:val="none"/>
          <w:lang w:eastAsia="zh-CN"/>
        </w:rPr>
        <w:t>设有门诊</w:t>
      </w:r>
      <w:r>
        <w:rPr>
          <w:rFonts w:hint="eastAsia" w:cs="Times New Roman"/>
          <w:b/>
          <w:bCs/>
          <w:color w:val="auto"/>
          <w:spacing w:val="0"/>
          <w:w w:val="100"/>
          <w:highlight w:val="none"/>
          <w:lang w:eastAsia="zh-CN"/>
        </w:rPr>
        <w:t>，不设置感染病床</w:t>
      </w:r>
      <w:r>
        <w:rPr>
          <w:rFonts w:hint="eastAsia" w:cs="Times New Roman"/>
          <w:b w:val="0"/>
          <w:bCs w:val="0"/>
          <w:color w:val="auto"/>
          <w:spacing w:val="0"/>
          <w:w w:val="100"/>
          <w:highlight w:val="none"/>
          <w:lang w:eastAsia="zh-CN"/>
        </w:rPr>
        <w:t>，</w:t>
      </w:r>
      <w:r>
        <w:rPr>
          <w:rFonts w:hint="eastAsia" w:ascii="Times New Roman" w:hAnsi="Times New Roman" w:eastAsia="宋体" w:cs="Times New Roman"/>
          <w:b w:val="0"/>
          <w:bCs w:val="0"/>
          <w:color w:val="auto"/>
          <w:spacing w:val="0"/>
          <w:w w:val="100"/>
          <w:highlight w:val="none"/>
          <w:lang w:eastAsia="zh-CN"/>
        </w:rPr>
        <w:t>产生的废水主要分为</w:t>
      </w:r>
      <w:r>
        <w:rPr>
          <w:rFonts w:hint="eastAsia" w:cs="Times New Roman"/>
          <w:b w:val="0"/>
          <w:bCs w:val="0"/>
          <w:color w:val="auto"/>
          <w:spacing w:val="0"/>
          <w:w w:val="100"/>
          <w:highlight w:val="none"/>
          <w:lang w:eastAsia="zh-CN"/>
        </w:rPr>
        <w:t>感染病人的生活污水</w:t>
      </w:r>
      <w:r>
        <w:rPr>
          <w:rFonts w:hint="eastAsia"/>
          <w:b w:val="0"/>
          <w:bCs w:val="0"/>
          <w:color w:val="auto"/>
          <w:sz w:val="24"/>
          <w:lang w:eastAsia="zh-CN"/>
        </w:rPr>
        <w:t>、</w:t>
      </w:r>
      <w:r>
        <w:rPr>
          <w:rFonts w:hint="eastAsia" w:ascii="Times New Roman" w:hAnsi="Times New Roman" w:eastAsia="宋体" w:cs="Times New Roman"/>
          <w:b w:val="0"/>
          <w:bCs w:val="0"/>
          <w:color w:val="auto"/>
          <w:spacing w:val="0"/>
          <w:w w:val="100"/>
          <w:highlight w:val="none"/>
          <w:lang w:eastAsia="zh-CN"/>
        </w:rPr>
        <w:t>医护人员</w:t>
      </w:r>
      <w:r>
        <w:rPr>
          <w:rFonts w:hint="eastAsia"/>
          <w:b w:val="0"/>
          <w:bCs w:val="0"/>
          <w:color w:val="auto"/>
          <w:sz w:val="24"/>
          <w:lang w:eastAsia="zh-CN"/>
        </w:rPr>
        <w:t>办公生活污水、</w:t>
      </w:r>
      <w:r>
        <w:rPr>
          <w:rFonts w:hint="eastAsia" w:ascii="Times New Roman" w:hAnsi="Times New Roman" w:eastAsia="宋体" w:cs="Times New Roman"/>
          <w:b w:val="0"/>
          <w:bCs w:val="0"/>
          <w:color w:val="auto"/>
          <w:spacing w:val="0"/>
          <w:w w:val="100"/>
          <w:highlight w:val="none"/>
          <w:lang w:eastAsia="zh-CN"/>
        </w:rPr>
        <w:t>行政及后勤人员</w:t>
      </w:r>
      <w:r>
        <w:rPr>
          <w:rFonts w:hint="eastAsia"/>
          <w:b w:val="0"/>
          <w:bCs w:val="0"/>
          <w:color w:val="auto"/>
          <w:sz w:val="24"/>
          <w:lang w:eastAsia="zh-CN"/>
        </w:rPr>
        <w:t>生活污水、</w:t>
      </w:r>
      <w:r>
        <w:rPr>
          <w:rFonts w:hint="eastAsia" w:ascii="Times New Roman" w:hAnsi="Times New Roman" w:eastAsia="宋体" w:cs="Times New Roman"/>
          <w:b w:val="0"/>
          <w:bCs w:val="0"/>
          <w:color w:val="auto"/>
          <w:spacing w:val="0"/>
          <w:w w:val="100"/>
          <w:highlight w:val="none"/>
          <w:lang w:eastAsia="zh-CN"/>
        </w:rPr>
        <w:t>门急诊废水</w:t>
      </w:r>
      <w:r>
        <w:rPr>
          <w:rFonts w:hint="eastAsia" w:cs="Times New Roman"/>
          <w:b w:val="0"/>
          <w:bCs w:val="0"/>
          <w:color w:val="auto"/>
          <w:spacing w:val="0"/>
          <w:w w:val="100"/>
          <w:highlight w:val="none"/>
          <w:lang w:eastAsia="zh-CN"/>
        </w:rPr>
        <w:t>，</w:t>
      </w:r>
      <w:r>
        <w:rPr>
          <w:rFonts w:hint="eastAsia" w:ascii="Times New Roman" w:hAnsi="Times New Roman" w:eastAsia="宋体" w:cs="Times New Roman"/>
          <w:b w:val="0"/>
          <w:bCs w:val="0"/>
          <w:color w:val="auto"/>
          <w:spacing w:val="0"/>
          <w:w w:val="100"/>
          <w:highlight w:val="none"/>
          <w:lang w:eastAsia="zh-CN"/>
        </w:rPr>
        <w:t>经感染楼污水管道收集后汇入感染楼下方的消毒池预处理，然后经院区污水管道</w:t>
      </w:r>
      <w:r>
        <w:rPr>
          <w:rFonts w:hint="eastAsia"/>
          <w:b w:val="0"/>
          <w:bCs w:val="0"/>
          <w:color w:val="auto"/>
          <w:sz w:val="24"/>
          <w:lang w:eastAsia="zh-CN"/>
        </w:rPr>
        <w:t>进入院区污水处理站进一步处理。</w:t>
      </w:r>
    </w:p>
    <w:p>
      <w:pPr>
        <w:pStyle w:val="19"/>
        <w:pageBreakBefore w:val="0"/>
        <w:widowControl w:val="0"/>
        <w:kinsoku/>
        <w:wordWrap/>
        <w:overflowPunct/>
        <w:topLinePunct w:val="0"/>
        <w:autoSpaceDE/>
        <w:autoSpaceDN/>
        <w:bidi w:val="0"/>
        <w:adjustRightInd/>
        <w:snapToGrid/>
        <w:spacing w:after="0" w:line="360" w:lineRule="auto"/>
        <w:ind w:left="0" w:leftChars="0" w:right="0" w:firstLine="482" w:firstLineChars="200"/>
        <w:textAlignment w:val="auto"/>
        <w:rPr>
          <w:color w:val="auto"/>
        </w:rPr>
      </w:pPr>
      <w:r>
        <w:rPr>
          <w:rFonts w:hint="eastAsia" w:ascii="Times New Roman" w:hAnsi="Times New Roman" w:eastAsia="宋体" w:cs="Times New Roman"/>
          <w:b/>
          <w:bCs/>
          <w:color w:val="auto"/>
          <w:spacing w:val="0"/>
          <w:w w:val="100"/>
          <w:highlight w:val="none"/>
          <w:lang w:eastAsia="zh-CN"/>
        </w:rPr>
        <w:t>说明：</w:t>
      </w:r>
      <w:r>
        <w:rPr>
          <w:rFonts w:hint="default" w:ascii="Times New Roman" w:hAnsi="Times New Roman" w:eastAsia="宋体" w:cs="Times New Roman"/>
          <w:color w:val="auto"/>
          <w:spacing w:val="0"/>
          <w:w w:val="100"/>
          <w:highlight w:val="none"/>
        </w:rPr>
        <w:t>项目医院放射科影像采用激光成像，在做X光、CT、B超、彩超等检查过程中均采用电脑打印图片，</w:t>
      </w:r>
      <w:r>
        <w:rPr>
          <w:rFonts w:hint="default" w:ascii="Times New Roman" w:hAnsi="Times New Roman" w:eastAsia="宋体" w:cs="Times New Roman"/>
          <w:color w:val="auto"/>
          <w:spacing w:val="0"/>
          <w:w w:val="100"/>
          <w:highlight w:val="none"/>
          <w:lang w:val="en-US" w:eastAsia="zh-CN"/>
        </w:rPr>
        <w:t>不产生</w:t>
      </w:r>
      <w:r>
        <w:rPr>
          <w:rFonts w:hint="default" w:ascii="Times New Roman" w:hAnsi="Times New Roman" w:eastAsia="宋体" w:cs="Times New Roman"/>
          <w:color w:val="auto"/>
          <w:spacing w:val="0"/>
          <w:w w:val="100"/>
          <w:highlight w:val="none"/>
        </w:rPr>
        <w:t>洗印废水</w:t>
      </w:r>
      <w:r>
        <w:rPr>
          <w:rFonts w:hint="eastAsia" w:ascii="Times New Roman" w:hAnsi="Times New Roman" w:eastAsia="宋体" w:cs="宋体"/>
          <w:color w:val="auto"/>
          <w:spacing w:val="0"/>
          <w:w w:val="100"/>
          <w:highlight w:val="none"/>
          <w:lang w:eastAsia="zh-CN"/>
        </w:rPr>
        <w:t>；</w:t>
      </w:r>
      <w:r>
        <w:rPr>
          <w:rFonts w:hint="default" w:ascii="Times New Roman" w:hAnsi="Times New Roman" w:eastAsia="宋体" w:cs="Times New Roman"/>
          <w:color w:val="auto"/>
          <w:spacing w:val="0"/>
          <w:w w:val="100"/>
          <w:highlight w:val="none"/>
        </w:rPr>
        <w:t>项目无含铬、汞、银等废水产生。</w:t>
      </w:r>
    </w:p>
    <w:p>
      <w:pPr>
        <w:pStyle w:val="19"/>
        <w:pageBreakBefore w:val="0"/>
        <w:widowControl w:val="0"/>
        <w:kinsoku/>
        <w:wordWrap/>
        <w:overflowPunct/>
        <w:topLinePunct w:val="0"/>
        <w:autoSpaceDE/>
        <w:autoSpaceDN/>
        <w:bidi w:val="0"/>
        <w:adjustRightInd/>
        <w:snapToGrid/>
        <w:spacing w:after="0" w:line="360" w:lineRule="auto"/>
        <w:ind w:left="0" w:leftChars="0" w:right="0" w:firstLine="480" w:firstLineChars="200"/>
        <w:textAlignment w:val="auto"/>
        <w:rPr>
          <w:color w:val="auto"/>
        </w:rPr>
      </w:pPr>
      <w:r>
        <w:rPr>
          <w:rFonts w:hint="default" w:ascii="Times New Roman" w:hAnsi="Times New Roman" w:eastAsia="宋体" w:cs="Times New Roman"/>
          <w:color w:val="auto"/>
          <w:spacing w:val="0"/>
          <w:w w:val="100"/>
          <w:highlight w:val="none"/>
        </w:rPr>
        <w:t>院区检验</w:t>
      </w:r>
      <w:r>
        <w:rPr>
          <w:rFonts w:hint="default" w:ascii="Times New Roman" w:hAnsi="Times New Roman" w:eastAsia="宋体" w:cs="Times New Roman"/>
          <w:color w:val="auto"/>
          <w:spacing w:val="0"/>
          <w:w w:val="100"/>
          <w:highlight w:val="none"/>
          <w:lang w:eastAsia="zh-CN"/>
        </w:rPr>
        <w:t>科主要检测项目有</w:t>
      </w:r>
      <w:r>
        <w:rPr>
          <w:rFonts w:hint="eastAsia" w:ascii="Times New Roman" w:hAnsi="Times New Roman" w:cs="Times New Roman"/>
          <w:color w:val="auto"/>
          <w:spacing w:val="0"/>
          <w:w w:val="100"/>
          <w:highlight w:val="none"/>
          <w:lang w:val="en-US" w:eastAsia="zh-CN"/>
        </w:rPr>
        <w:t>生化检验，临床检验（血常规、尿常规），免疫类检验（乙肝，性激素类）</w:t>
      </w:r>
      <w:r>
        <w:rPr>
          <w:rFonts w:hint="default" w:ascii="Times New Roman" w:hAnsi="Times New Roman" w:eastAsia="宋体" w:cs="Times New Roman"/>
          <w:color w:val="auto"/>
          <w:spacing w:val="0"/>
          <w:w w:val="100"/>
          <w:highlight w:val="none"/>
          <w:lang w:val="en-US" w:eastAsia="zh-CN"/>
        </w:rPr>
        <w:t>，</w:t>
      </w:r>
      <w:r>
        <w:rPr>
          <w:rFonts w:hint="default" w:ascii="Times New Roman" w:hAnsi="Times New Roman" w:eastAsia="宋体" w:cs="Times New Roman"/>
          <w:color w:val="auto"/>
          <w:spacing w:val="0"/>
          <w:w w:val="100"/>
          <w:highlight w:val="none"/>
        </w:rPr>
        <w:t>使用</w:t>
      </w:r>
      <w:r>
        <w:rPr>
          <w:rFonts w:hint="eastAsia" w:ascii="Times New Roman" w:hAnsi="Times New Roman" w:cs="Times New Roman"/>
          <w:color w:val="auto"/>
          <w:spacing w:val="0"/>
          <w:w w:val="100"/>
          <w:highlight w:val="none"/>
          <w:lang w:val="en-US" w:eastAsia="zh-CN"/>
        </w:rPr>
        <w:t>成品试剂盒进行检测，产生的</w:t>
      </w:r>
      <w:r>
        <w:rPr>
          <w:rFonts w:hint="eastAsia" w:cs="Times New Roman"/>
          <w:color w:val="auto"/>
          <w:spacing w:val="0"/>
          <w:w w:val="100"/>
          <w:highlight w:val="none"/>
          <w:lang w:val="en-US" w:eastAsia="zh-CN"/>
        </w:rPr>
        <w:t>化学试剂</w:t>
      </w:r>
      <w:r>
        <w:rPr>
          <w:rFonts w:hint="eastAsia" w:ascii="Times New Roman" w:hAnsi="Times New Roman" w:cs="Times New Roman"/>
          <w:color w:val="auto"/>
          <w:spacing w:val="0"/>
          <w:w w:val="100"/>
          <w:highlight w:val="none"/>
          <w:lang w:val="en-US" w:eastAsia="zh-CN"/>
        </w:rPr>
        <w:t>作为危险废物处置，因此不产生检测废水</w:t>
      </w:r>
      <w:r>
        <w:rPr>
          <w:rFonts w:hint="default" w:ascii="Times New Roman" w:hAnsi="Times New Roman" w:eastAsia="宋体" w:cs="Times New Roman"/>
          <w:color w:val="auto"/>
          <w:spacing w:val="0"/>
          <w:w w:val="100"/>
          <w:highlight w:val="none"/>
        </w:rPr>
        <w:t>。</w:t>
      </w:r>
    </w:p>
    <w:p>
      <w:pPr>
        <w:pStyle w:val="19"/>
        <w:pageBreakBefore w:val="0"/>
        <w:widowControl w:val="0"/>
        <w:kinsoku/>
        <w:wordWrap/>
        <w:overflowPunct/>
        <w:topLinePunct w:val="0"/>
        <w:autoSpaceDE/>
        <w:autoSpaceDN/>
        <w:bidi w:val="0"/>
        <w:adjustRightInd/>
        <w:snapToGrid/>
        <w:spacing w:after="0" w:line="360" w:lineRule="auto"/>
        <w:ind w:left="0" w:leftChars="0" w:right="0" w:firstLine="480" w:firstLineChars="200"/>
        <w:textAlignment w:val="auto"/>
        <w:rPr>
          <w:rFonts w:hint="default" w:ascii="Times New Roman" w:hAnsi="Times New Roman" w:eastAsia="宋体" w:cs="Times New Roman"/>
          <w:color w:val="auto"/>
          <w:spacing w:val="0"/>
          <w:w w:val="100"/>
          <w:highlight w:val="none"/>
        </w:rPr>
      </w:pPr>
      <w:r>
        <w:rPr>
          <w:rFonts w:hint="default" w:ascii="Times New Roman" w:hAnsi="Times New Roman" w:eastAsia="宋体" w:cs="Times New Roman"/>
          <w:color w:val="auto"/>
          <w:spacing w:val="0"/>
          <w:w w:val="100"/>
          <w:highlight w:val="none"/>
        </w:rPr>
        <w:t>根据</w:t>
      </w:r>
      <w:r>
        <w:rPr>
          <w:rFonts w:hint="default" w:ascii="Times New Roman" w:hAnsi="Times New Roman" w:eastAsia="宋体" w:cs="Times New Roman"/>
          <w:color w:val="auto"/>
          <w:spacing w:val="0"/>
          <w:w w:val="100"/>
          <w:highlight w:val="none"/>
          <w:lang w:eastAsia="zh-CN"/>
        </w:rPr>
        <w:t>设计方案，</w:t>
      </w:r>
      <w:r>
        <w:rPr>
          <w:rFonts w:hint="default" w:ascii="Times New Roman" w:hAnsi="Times New Roman" w:eastAsia="宋体" w:cs="Times New Roman"/>
          <w:color w:val="auto"/>
          <w:spacing w:val="0"/>
          <w:w w:val="100"/>
          <w:highlight w:val="none"/>
        </w:rPr>
        <w:t>项目</w:t>
      </w:r>
      <w:r>
        <w:rPr>
          <w:rFonts w:hint="eastAsia" w:cs="Times New Roman"/>
          <w:color w:val="auto"/>
          <w:spacing w:val="0"/>
          <w:w w:val="100"/>
          <w:highlight w:val="none"/>
          <w:lang w:eastAsia="zh-CN"/>
        </w:rPr>
        <w:t>总计</w:t>
      </w:r>
      <w:r>
        <w:rPr>
          <w:rFonts w:hint="default" w:ascii="Times New Roman" w:hAnsi="Times New Roman" w:eastAsia="宋体" w:cs="Times New Roman"/>
          <w:color w:val="auto"/>
          <w:spacing w:val="0"/>
          <w:w w:val="100"/>
          <w:highlight w:val="none"/>
          <w:lang w:val="en-US" w:eastAsia="zh-CN"/>
        </w:rPr>
        <w:t>新增</w:t>
      </w:r>
      <w:r>
        <w:rPr>
          <w:rFonts w:hint="default" w:ascii="Times New Roman" w:hAnsi="Times New Roman" w:eastAsia="宋体" w:cs="Times New Roman"/>
          <w:color w:val="auto"/>
          <w:spacing w:val="0"/>
          <w:w w:val="100"/>
          <w:highlight w:val="none"/>
        </w:rPr>
        <w:t>病床</w:t>
      </w:r>
      <w:r>
        <w:rPr>
          <w:rFonts w:hint="eastAsia" w:cs="Times New Roman"/>
          <w:color w:val="auto"/>
          <w:spacing w:val="0"/>
          <w:w w:val="100"/>
          <w:highlight w:val="none"/>
          <w:lang w:val="en-US" w:eastAsia="zh-CN"/>
        </w:rPr>
        <w:t>1500</w:t>
      </w:r>
      <w:r>
        <w:rPr>
          <w:rFonts w:hint="default" w:ascii="Times New Roman" w:hAnsi="Times New Roman" w:eastAsia="宋体" w:cs="Times New Roman"/>
          <w:color w:val="auto"/>
          <w:spacing w:val="0"/>
          <w:w w:val="100"/>
          <w:highlight w:val="none"/>
        </w:rPr>
        <w:t>张</w:t>
      </w:r>
      <w:r>
        <w:rPr>
          <w:rFonts w:hint="eastAsia" w:cs="Times New Roman"/>
          <w:color w:val="auto"/>
          <w:spacing w:val="0"/>
          <w:w w:val="100"/>
          <w:highlight w:val="none"/>
          <w:lang w:eastAsia="zh-CN"/>
        </w:rPr>
        <w:t>，项目不涉及</w:t>
      </w:r>
      <w:r>
        <w:rPr>
          <w:rFonts w:hint="eastAsia"/>
          <w:b w:val="0"/>
          <w:bCs w:val="0"/>
          <w:color w:val="auto"/>
          <w:lang w:val="en-US" w:eastAsia="zh-CN"/>
        </w:rPr>
        <w:t>感染病病床</w:t>
      </w:r>
      <w:r>
        <w:rPr>
          <w:rFonts w:hint="default" w:ascii="Times New Roman" w:hAnsi="Times New Roman" w:eastAsia="宋体" w:cs="Times New Roman"/>
          <w:color w:val="auto"/>
          <w:spacing w:val="0"/>
          <w:w w:val="100"/>
          <w:highlight w:val="none"/>
          <w:u w:val="none"/>
        </w:rPr>
        <w:t>。</w:t>
      </w:r>
      <w:r>
        <w:rPr>
          <w:rFonts w:hint="default" w:ascii="Times New Roman" w:hAnsi="Times New Roman" w:eastAsia="宋体" w:cs="Times New Roman"/>
          <w:color w:val="auto"/>
          <w:spacing w:val="0"/>
          <w:w w:val="100"/>
          <w:highlight w:val="none"/>
        </w:rPr>
        <w:t>根据项目规模和相关技术规范，对项目用水和排水情况进行如下</w:t>
      </w:r>
      <w:r>
        <w:rPr>
          <w:rFonts w:hint="default" w:ascii="Times New Roman" w:hAnsi="Times New Roman" w:eastAsia="宋体" w:cs="Times New Roman"/>
          <w:color w:val="auto"/>
          <w:spacing w:val="0"/>
          <w:w w:val="100"/>
          <w:highlight w:val="none"/>
          <w:lang w:val="en-US" w:eastAsia="zh-CN"/>
        </w:rPr>
        <w:t>分析测算</w:t>
      </w:r>
      <w:r>
        <w:rPr>
          <w:rFonts w:hint="default" w:ascii="Times New Roman" w:hAnsi="Times New Roman" w:eastAsia="宋体" w:cs="Times New Roman"/>
          <w:color w:val="auto"/>
          <w:spacing w:val="0"/>
          <w:w w:val="100"/>
          <w:highlight w:val="none"/>
        </w:rPr>
        <w:t>：</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）住院（</w:t>
      </w:r>
      <w:r>
        <w:rPr>
          <w:rFonts w:hint="eastAsia"/>
          <w:color w:val="auto"/>
          <w:sz w:val="24"/>
          <w:lang w:val="en-US" w:eastAsia="zh-CN"/>
        </w:rPr>
        <w:t>病床</w:t>
      </w:r>
      <w:r>
        <w:rPr>
          <w:rFonts w:hint="eastAsia"/>
          <w:color w:val="auto"/>
          <w:sz w:val="24"/>
          <w:lang w:eastAsia="zh-CN"/>
        </w:rPr>
        <w:t>）废水</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val="en-US" w:eastAsia="zh-CN"/>
        </w:rPr>
      </w:pPr>
      <w:r>
        <w:rPr>
          <w:rFonts w:hint="eastAsia" w:cs="Times New Roman"/>
          <w:color w:val="auto"/>
          <w:sz w:val="24"/>
          <w:highlight w:val="none"/>
          <w:lang w:eastAsia="zh-CN"/>
        </w:rPr>
        <w:t>项目设有</w:t>
      </w:r>
      <w:r>
        <w:rPr>
          <w:rFonts w:hint="eastAsia" w:cs="Times New Roman"/>
          <w:color w:val="auto"/>
          <w:sz w:val="24"/>
          <w:highlight w:val="none"/>
          <w:lang w:val="en-US" w:eastAsia="zh-CN"/>
        </w:rPr>
        <w:t>1500张病床，无传染性病床。</w:t>
      </w:r>
      <w:r>
        <w:rPr>
          <w:rFonts w:hint="eastAsia" w:ascii="Times New Roman" w:hAnsi="Times New Roman" w:cs="Times New Roman"/>
          <w:color w:val="auto"/>
          <w:sz w:val="24"/>
          <w:lang w:eastAsia="zh-CN"/>
        </w:rPr>
        <w:t>参考</w:t>
      </w:r>
      <w:r>
        <w:rPr>
          <w:rFonts w:hint="default" w:ascii="Times New Roman" w:hAnsi="Times New Roman" w:cs="Times New Roman"/>
          <w:color w:val="auto"/>
          <w:sz w:val="24"/>
          <w:lang w:eastAsia="zh-CN"/>
        </w:rPr>
        <w:t>《医院污水处理工程技术规范》(HJ2029-2013)</w:t>
      </w:r>
      <w:r>
        <w:rPr>
          <w:rFonts w:hint="eastAsia" w:ascii="Times New Roman" w:hAnsi="Times New Roman" w:cs="Times New Roman"/>
          <w:color w:val="auto"/>
          <w:sz w:val="24"/>
          <w:lang w:eastAsia="zh-CN"/>
        </w:rPr>
        <w:t>，</w:t>
      </w:r>
      <w:r>
        <w:rPr>
          <w:rFonts w:hint="eastAsia" w:cs="Times New Roman"/>
          <w:color w:val="auto"/>
          <w:sz w:val="24"/>
          <w:lang w:eastAsia="zh-CN"/>
        </w:rPr>
        <w:t>项目</w:t>
      </w:r>
      <w:r>
        <w:rPr>
          <w:rFonts w:hint="eastAsia"/>
          <w:color w:val="auto"/>
          <w:sz w:val="24"/>
          <w:lang w:eastAsia="zh-CN"/>
        </w:rPr>
        <w:t>（</w:t>
      </w:r>
      <w:r>
        <w:rPr>
          <w:rFonts w:hint="eastAsia"/>
          <w:color w:val="auto"/>
          <w:sz w:val="24"/>
          <w:lang w:val="en-US" w:eastAsia="zh-CN"/>
        </w:rPr>
        <w:t>病床</w:t>
      </w:r>
      <w:r>
        <w:rPr>
          <w:rFonts w:hint="eastAsia"/>
          <w:color w:val="auto"/>
          <w:sz w:val="24"/>
          <w:lang w:eastAsia="zh-CN"/>
        </w:rPr>
        <w:t>）废水</w:t>
      </w:r>
      <w:r>
        <w:rPr>
          <w:rFonts w:hint="default" w:ascii="Times New Roman" w:hAnsi="Times New Roman" w:cs="Times New Roman"/>
          <w:color w:val="auto"/>
          <w:sz w:val="24"/>
          <w:lang w:eastAsia="zh-CN"/>
        </w:rPr>
        <w:t>排放标准</w:t>
      </w:r>
      <w:r>
        <w:rPr>
          <w:rFonts w:hint="eastAsia" w:ascii="Times New Roman" w:hAnsi="Times New Roman" w:cs="Times New Roman"/>
          <w:color w:val="auto"/>
          <w:sz w:val="24"/>
          <w:lang w:eastAsia="zh-CN"/>
        </w:rPr>
        <w:t>取</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eastAsia="zh-CN"/>
        </w:rPr>
        <w:t>00L/（床·d），排污系数取0.8</w:t>
      </w:r>
      <w:r>
        <w:rPr>
          <w:rFonts w:hint="eastAsia" w:ascii="Times New Roman" w:hAnsi="Times New Roman" w:cs="Times New Roman"/>
          <w:color w:val="auto"/>
          <w:sz w:val="24"/>
          <w:highlight w:val="none"/>
          <w:lang w:val="en-US" w:eastAsia="zh-CN"/>
        </w:rPr>
        <w:t>5</w:t>
      </w:r>
      <w:r>
        <w:rPr>
          <w:rFonts w:hint="eastAsia" w:cs="Times New Roman"/>
          <w:color w:val="auto"/>
          <w:sz w:val="24"/>
          <w:highlight w:val="none"/>
          <w:lang w:eastAsia="zh-CN"/>
        </w:rPr>
        <w:t>。</w:t>
      </w:r>
    </w:p>
    <w:p>
      <w:pPr>
        <w:pStyle w:val="30"/>
        <w:spacing w:line="240" w:lineRule="auto"/>
        <w:ind w:left="0" w:leftChars="0" w:firstLine="0" w:firstLineChars="0"/>
        <w:jc w:val="center"/>
        <w:rPr>
          <w:rFonts w:hint="default"/>
          <w:b/>
          <w:bCs/>
          <w:color w:val="auto"/>
          <w:sz w:val="21"/>
          <w:szCs w:val="21"/>
          <w:lang w:val="en-US"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3.2-4 建设项目</w:t>
      </w:r>
      <w:r>
        <w:rPr>
          <w:rFonts w:hint="eastAsia"/>
          <w:b/>
          <w:bCs/>
          <w:color w:val="auto"/>
          <w:sz w:val="21"/>
          <w:szCs w:val="21"/>
          <w:lang w:eastAsia="zh-CN"/>
        </w:rPr>
        <w:t>住院（</w:t>
      </w:r>
      <w:r>
        <w:rPr>
          <w:rFonts w:hint="eastAsia"/>
          <w:b/>
          <w:bCs/>
          <w:color w:val="auto"/>
          <w:sz w:val="21"/>
          <w:szCs w:val="21"/>
          <w:lang w:val="en-US" w:eastAsia="zh-CN"/>
        </w:rPr>
        <w:t>病床</w:t>
      </w:r>
      <w:r>
        <w:rPr>
          <w:rFonts w:hint="eastAsia"/>
          <w:b/>
          <w:bCs/>
          <w:color w:val="auto"/>
          <w:sz w:val="21"/>
          <w:szCs w:val="21"/>
          <w:lang w:eastAsia="zh-CN"/>
        </w:rPr>
        <w:t>）废水产生情况一览表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131"/>
        <w:gridCol w:w="1364"/>
        <w:gridCol w:w="102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9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13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床位数（床）</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产污系数</w:t>
            </w:r>
          </w:p>
        </w:tc>
        <w:tc>
          <w:tcPr>
            <w:tcW w:w="201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9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3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6</w:t>
            </w:r>
            <w:r>
              <w:rPr>
                <w:rFonts w:hint="default" w:ascii="Times New Roman" w:hAnsi="Times New Roman" w:eastAsia="宋体" w:cs="Times New Roman"/>
                <w:i w:val="0"/>
                <w:color w:val="auto"/>
                <w:sz w:val="21"/>
                <w:szCs w:val="21"/>
                <w:u w:val="none"/>
                <w:lang w:val="en-US" w:eastAsia="zh-CN"/>
              </w:rPr>
              <w:t>00L/（床·d）</w:t>
            </w: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非</w:t>
            </w: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1500</w:t>
            </w: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900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765</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328500</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279225</w:t>
            </w:r>
          </w:p>
        </w:tc>
      </w:tr>
    </w:tbl>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）医护人员办公生活污水</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本项目医护人员</w:t>
      </w:r>
      <w:r>
        <w:rPr>
          <w:rFonts w:hint="eastAsia" w:cs="Times New Roman"/>
          <w:color w:val="auto"/>
          <w:sz w:val="24"/>
          <w:highlight w:val="none"/>
          <w:lang w:eastAsia="zh-CN"/>
        </w:rPr>
        <w:t>总计</w:t>
      </w:r>
      <w:r>
        <w:rPr>
          <w:rFonts w:hint="eastAsia" w:cs="Times New Roman"/>
          <w:color w:val="auto"/>
          <w:sz w:val="24"/>
          <w:highlight w:val="none"/>
          <w:lang w:val="en-US" w:eastAsia="zh-CN"/>
        </w:rPr>
        <w:t>3080</w:t>
      </w:r>
      <w:r>
        <w:rPr>
          <w:rFonts w:hint="default" w:ascii="Times New Roman" w:hAnsi="Times New Roman" w:cs="Times New Roman"/>
          <w:color w:val="auto"/>
          <w:sz w:val="24"/>
          <w:highlight w:val="none"/>
          <w:lang w:eastAsia="zh-CN"/>
        </w:rPr>
        <w:t>人，</w:t>
      </w:r>
      <w:r>
        <w:rPr>
          <w:rFonts w:hint="eastAsia" w:cs="Times New Roman"/>
          <w:color w:val="auto"/>
          <w:sz w:val="24"/>
          <w:highlight w:val="none"/>
          <w:lang w:eastAsia="zh-CN"/>
        </w:rPr>
        <w:t>其中：感染楼设有</w:t>
      </w:r>
      <w:r>
        <w:rPr>
          <w:rFonts w:hint="eastAsia" w:cs="Times New Roman"/>
          <w:color w:val="auto"/>
          <w:sz w:val="24"/>
          <w:highlight w:val="none"/>
          <w:lang w:val="en-US" w:eastAsia="zh-CN"/>
        </w:rPr>
        <w:t>80</w:t>
      </w:r>
      <w:r>
        <w:rPr>
          <w:rFonts w:hint="eastAsia"/>
          <w:b w:val="0"/>
          <w:bCs w:val="0"/>
          <w:color w:val="auto"/>
          <w:u w:val="none"/>
          <w:lang w:val="en-US" w:eastAsia="zh-CN"/>
        </w:rPr>
        <w:t>名医务人员，非感染楼设有3000名医务人员，</w:t>
      </w:r>
      <w:r>
        <w:rPr>
          <w:rFonts w:hint="default" w:ascii="Times New Roman" w:hAnsi="Times New Roman" w:cs="Times New Roman"/>
          <w:color w:val="auto"/>
          <w:sz w:val="24"/>
          <w:highlight w:val="none"/>
          <w:lang w:eastAsia="zh-CN"/>
        </w:rPr>
        <w:t>病房采用</w:t>
      </w:r>
      <w:r>
        <w:rPr>
          <w:rFonts w:hint="eastAsia" w:cs="Times New Roman"/>
          <w:color w:val="auto"/>
          <w:sz w:val="24"/>
          <w:highlight w:val="none"/>
          <w:lang w:eastAsia="zh-CN"/>
        </w:rPr>
        <w:t>三班</w:t>
      </w:r>
      <w:r>
        <w:rPr>
          <w:rFonts w:hint="default" w:ascii="Times New Roman" w:hAnsi="Times New Roman" w:cs="Times New Roman"/>
          <w:color w:val="auto"/>
          <w:sz w:val="24"/>
          <w:highlight w:val="none"/>
          <w:lang w:eastAsia="zh-CN"/>
        </w:rPr>
        <w:t>工作制</w:t>
      </w:r>
      <w:r>
        <w:rPr>
          <w:rFonts w:hint="eastAsia" w:cs="Times New Roman"/>
          <w:color w:val="auto"/>
          <w:sz w:val="24"/>
          <w:highlight w:val="none"/>
          <w:lang w:eastAsia="zh-CN"/>
        </w:rPr>
        <w:t>，</w:t>
      </w:r>
      <w:r>
        <w:rPr>
          <w:rFonts w:hint="default" w:ascii="Times New Roman" w:hAnsi="Times New Roman" w:cs="Times New Roman"/>
          <w:color w:val="auto"/>
          <w:sz w:val="24"/>
          <w:highlight w:val="none"/>
          <w:lang w:eastAsia="zh-CN"/>
        </w:rPr>
        <w:t>每班工作8小时，每天工作24小时。医院医护人员生活用水按</w:t>
      </w:r>
      <w:r>
        <w:rPr>
          <w:rFonts w:hint="default"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eastAsia="zh-CN"/>
        </w:rPr>
        <w:t>L/人·d计，排放系数取0.85。</w:t>
      </w:r>
    </w:p>
    <w:p>
      <w:pPr>
        <w:pStyle w:val="30"/>
        <w:spacing w:line="240" w:lineRule="auto"/>
        <w:ind w:left="0" w:leftChars="0" w:firstLine="0" w:firstLineChars="0"/>
        <w:jc w:val="center"/>
        <w:rPr>
          <w:rFonts w:hint="eastAsia"/>
          <w:b/>
          <w:bCs/>
          <w:color w:val="auto"/>
          <w:sz w:val="21"/>
          <w:szCs w:val="21"/>
          <w:lang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3.2-5 建设项目医护人员办公生活污水</w:t>
      </w:r>
      <w:r>
        <w:rPr>
          <w:rFonts w:hint="eastAsia"/>
          <w:b/>
          <w:bCs/>
          <w:color w:val="auto"/>
          <w:sz w:val="21"/>
          <w:szCs w:val="21"/>
          <w:lang w:eastAsia="zh-CN"/>
        </w:rPr>
        <w:t>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131"/>
        <w:gridCol w:w="1364"/>
        <w:gridCol w:w="102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9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13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职工数（人）</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用水系数</w:t>
            </w:r>
          </w:p>
        </w:tc>
        <w:tc>
          <w:tcPr>
            <w:tcW w:w="201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9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3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80</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L/人·d</w:t>
            </w: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12</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4380</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10.2</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3723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非感染楼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3000</w:t>
            </w: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450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164250</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382.5</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139612.5</w:t>
            </w:r>
          </w:p>
        </w:tc>
      </w:tr>
    </w:tbl>
    <w:p>
      <w:pPr>
        <w:pageBreakBefore w:val="0"/>
        <w:widowControl w:val="0"/>
        <w:numPr>
          <w:ilvl w:val="0"/>
          <w:numId w:val="9"/>
        </w:numPr>
        <w:kinsoku/>
        <w:wordWrap/>
        <w:overflowPunct/>
        <w:topLinePunct w:val="0"/>
        <w:autoSpaceDE/>
        <w:autoSpaceDN/>
        <w:bidi w:val="0"/>
        <w:adjustRightInd/>
        <w:snapToGrid/>
        <w:spacing w:line="360" w:lineRule="auto"/>
        <w:ind w:right="0"/>
        <w:textAlignment w:val="auto"/>
        <w:rPr>
          <w:rFonts w:hint="default"/>
          <w:color w:val="auto"/>
          <w:highlight w:val="none"/>
          <w:lang w:eastAsia="zh-CN"/>
        </w:rPr>
      </w:pPr>
      <w:r>
        <w:rPr>
          <w:rFonts w:hint="eastAsia"/>
          <w:color w:val="auto"/>
          <w:highlight w:val="none"/>
          <w:lang w:eastAsia="zh-CN"/>
        </w:rPr>
        <w:t>行政及后勤人员生活污水</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本项目</w:t>
      </w:r>
      <w:r>
        <w:rPr>
          <w:rFonts w:hint="eastAsia" w:ascii="Times New Roman" w:hAnsi="Times New Roman" w:cs="Times New Roman"/>
          <w:color w:val="auto"/>
          <w:sz w:val="24"/>
          <w:highlight w:val="none"/>
          <w:lang w:eastAsia="zh-CN"/>
        </w:rPr>
        <w:t>行政及后勤</w:t>
      </w:r>
      <w:r>
        <w:rPr>
          <w:rFonts w:hint="eastAsia" w:cs="Times New Roman"/>
          <w:color w:val="auto"/>
          <w:sz w:val="24"/>
          <w:highlight w:val="none"/>
          <w:lang w:eastAsia="zh-CN"/>
        </w:rPr>
        <w:t>总计</w:t>
      </w:r>
      <w:r>
        <w:rPr>
          <w:rFonts w:hint="eastAsia" w:cs="Times New Roman"/>
          <w:color w:val="auto"/>
          <w:sz w:val="24"/>
          <w:highlight w:val="none"/>
          <w:lang w:val="en-US" w:eastAsia="zh-CN"/>
        </w:rPr>
        <w:t>360</w:t>
      </w:r>
      <w:r>
        <w:rPr>
          <w:rFonts w:hint="default" w:ascii="Times New Roman" w:hAnsi="Times New Roman" w:cs="Times New Roman"/>
          <w:color w:val="auto"/>
          <w:sz w:val="24"/>
          <w:highlight w:val="none"/>
          <w:lang w:eastAsia="zh-CN"/>
        </w:rPr>
        <w:t>人，</w:t>
      </w:r>
      <w:r>
        <w:rPr>
          <w:rFonts w:hint="eastAsia" w:cs="Times New Roman"/>
          <w:color w:val="auto"/>
          <w:sz w:val="24"/>
          <w:highlight w:val="none"/>
          <w:lang w:eastAsia="zh-CN"/>
        </w:rPr>
        <w:t>其中：感染楼行政后勤人员约为</w:t>
      </w:r>
      <w:r>
        <w:rPr>
          <w:rFonts w:hint="eastAsia" w:cs="Times New Roman"/>
          <w:color w:val="auto"/>
          <w:sz w:val="24"/>
          <w:highlight w:val="none"/>
          <w:lang w:val="en-US" w:eastAsia="zh-CN"/>
        </w:rPr>
        <w:t>20人，非感染楼行政后勤人员约为340人，</w:t>
      </w:r>
      <w:r>
        <w:rPr>
          <w:rFonts w:hint="eastAsia" w:ascii="Times New Roman" w:hAnsi="Times New Roman" w:cs="Times New Roman"/>
          <w:color w:val="auto"/>
          <w:sz w:val="24"/>
          <w:highlight w:val="none"/>
          <w:lang w:eastAsia="zh-CN"/>
        </w:rPr>
        <w:t>行政及后勤</w:t>
      </w:r>
      <w:r>
        <w:rPr>
          <w:rFonts w:hint="default" w:ascii="Times New Roman" w:hAnsi="Times New Roman" w:cs="Times New Roman"/>
          <w:color w:val="auto"/>
          <w:sz w:val="24"/>
          <w:highlight w:val="none"/>
          <w:lang w:eastAsia="zh-CN"/>
        </w:rPr>
        <w:t>人员生活用水按</w:t>
      </w:r>
      <w:r>
        <w:rPr>
          <w:rFonts w:hint="eastAsia"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eastAsia="zh-CN"/>
        </w:rPr>
        <w:t>L/人·d计，排放系数取0.85。</w:t>
      </w:r>
    </w:p>
    <w:p>
      <w:pPr>
        <w:pStyle w:val="30"/>
        <w:spacing w:line="240" w:lineRule="auto"/>
        <w:ind w:left="0" w:leftChars="0" w:firstLine="0" w:firstLineChars="0"/>
        <w:jc w:val="center"/>
        <w:rPr>
          <w:rFonts w:hint="eastAsia"/>
          <w:b/>
          <w:bCs/>
          <w:color w:val="auto"/>
          <w:sz w:val="21"/>
          <w:szCs w:val="21"/>
          <w:lang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3.2-6 建设项目行政及后勤人员生活污水</w:t>
      </w:r>
      <w:r>
        <w:rPr>
          <w:rFonts w:hint="eastAsia"/>
          <w:b/>
          <w:bCs/>
          <w:color w:val="auto"/>
          <w:sz w:val="21"/>
          <w:szCs w:val="21"/>
          <w:lang w:eastAsia="zh-CN"/>
        </w:rPr>
        <w:t>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131"/>
        <w:gridCol w:w="1364"/>
        <w:gridCol w:w="102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9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13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职工数（人）</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用水系数</w:t>
            </w:r>
          </w:p>
        </w:tc>
        <w:tc>
          <w:tcPr>
            <w:tcW w:w="201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9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3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20</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L/人·d</w:t>
            </w: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1.6</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584</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1.36</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非感染楼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340</w:t>
            </w: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27.2</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9928</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23.12</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8438.8</w:t>
            </w:r>
          </w:p>
        </w:tc>
      </w:tr>
    </w:tbl>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）陪护人员生活</w:t>
      </w:r>
      <w:r>
        <w:rPr>
          <w:rFonts w:hint="eastAsia" w:ascii="Times New Roman" w:hAnsi="Times New Roman" w:eastAsia="宋体" w:cs="Times New Roman"/>
          <w:b w:val="0"/>
          <w:bCs w:val="0"/>
          <w:color w:val="auto"/>
          <w:sz w:val="24"/>
          <w:highlight w:val="none"/>
          <w:lang w:eastAsia="zh-CN"/>
        </w:rPr>
        <w:t>污</w:t>
      </w:r>
      <w:r>
        <w:rPr>
          <w:rFonts w:hint="eastAsia" w:ascii="Times New Roman" w:hAnsi="Times New Roman" w:eastAsia="宋体" w:cs="Times New Roman"/>
          <w:color w:val="auto"/>
          <w:sz w:val="24"/>
          <w:highlight w:val="none"/>
          <w:lang w:eastAsia="zh-CN"/>
        </w:rPr>
        <w:t>水</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本项目</w:t>
      </w:r>
      <w:r>
        <w:rPr>
          <w:rFonts w:hint="eastAsia" w:ascii="Times New Roman" w:hAnsi="Times New Roman" w:cs="Times New Roman"/>
          <w:color w:val="auto"/>
          <w:sz w:val="24"/>
          <w:highlight w:val="none"/>
          <w:lang w:eastAsia="zh-CN"/>
        </w:rPr>
        <w:t>建成后</w:t>
      </w:r>
      <w:r>
        <w:rPr>
          <w:rFonts w:hint="eastAsia" w:ascii="Times New Roman" w:hAnsi="Times New Roman" w:cs="Times New Roman"/>
          <w:color w:val="auto"/>
          <w:sz w:val="24"/>
          <w:highlight w:val="none"/>
          <w:lang w:val="en-US" w:eastAsia="zh-CN"/>
        </w:rPr>
        <w:t>按每张床位1位陪护人员计，</w:t>
      </w:r>
      <w:r>
        <w:rPr>
          <w:rFonts w:hint="eastAsia" w:cs="Times New Roman"/>
          <w:color w:val="auto"/>
          <w:sz w:val="24"/>
          <w:highlight w:val="none"/>
          <w:lang w:val="en-US" w:eastAsia="zh-CN"/>
        </w:rPr>
        <w:t>项目共有1500张床位，不涉及感染病床位</w:t>
      </w:r>
      <w:r>
        <w:rPr>
          <w:rFonts w:hint="eastAsia"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eastAsia="zh-CN"/>
        </w:rPr>
        <w:t>陪护人员</w:t>
      </w:r>
      <w:r>
        <w:rPr>
          <w:rFonts w:hint="default" w:ascii="Times New Roman" w:hAnsi="Times New Roman" w:cs="Times New Roman"/>
          <w:color w:val="auto"/>
          <w:sz w:val="24"/>
          <w:highlight w:val="none"/>
          <w:lang w:eastAsia="zh-CN"/>
        </w:rPr>
        <w:t>生活用水按</w:t>
      </w:r>
      <w:r>
        <w:rPr>
          <w:rFonts w:hint="eastAsia" w:ascii="Times New Roman" w:hAnsi="Times New Roman" w:cs="Times New Roman"/>
          <w:color w:val="auto"/>
          <w:sz w:val="24"/>
          <w:highlight w:val="none"/>
          <w:lang w:val="en-US" w:eastAsia="zh-CN"/>
        </w:rPr>
        <w:t>80</w:t>
      </w:r>
      <w:r>
        <w:rPr>
          <w:rFonts w:hint="default" w:ascii="Times New Roman" w:hAnsi="Times New Roman" w:cs="Times New Roman"/>
          <w:color w:val="auto"/>
          <w:sz w:val="24"/>
          <w:highlight w:val="none"/>
          <w:lang w:eastAsia="zh-CN"/>
        </w:rPr>
        <w:t>L/人·d计，排放系数取0.85。</w:t>
      </w:r>
    </w:p>
    <w:p>
      <w:pPr>
        <w:pStyle w:val="30"/>
        <w:spacing w:line="240" w:lineRule="auto"/>
        <w:ind w:left="0" w:leftChars="0" w:firstLine="0" w:firstLineChars="0"/>
        <w:jc w:val="center"/>
        <w:rPr>
          <w:rFonts w:hint="eastAsia"/>
          <w:b/>
          <w:bCs/>
          <w:color w:val="auto"/>
          <w:sz w:val="21"/>
          <w:szCs w:val="21"/>
          <w:lang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3.2-7 建设项目</w:t>
      </w:r>
      <w:r>
        <w:rPr>
          <w:rFonts w:hint="eastAsia" w:ascii="Times New Roman" w:hAnsi="Times New Roman" w:eastAsia="宋体" w:cs="Times New Roman"/>
          <w:b/>
          <w:bCs/>
          <w:color w:val="auto"/>
          <w:sz w:val="21"/>
          <w:szCs w:val="21"/>
          <w:highlight w:val="none"/>
          <w:lang w:eastAsia="zh-CN"/>
        </w:rPr>
        <w:t>陪护人员生活污水</w:t>
      </w:r>
      <w:r>
        <w:rPr>
          <w:rFonts w:hint="eastAsia"/>
          <w:b/>
          <w:bCs/>
          <w:color w:val="auto"/>
          <w:sz w:val="21"/>
          <w:szCs w:val="21"/>
          <w:lang w:eastAsia="zh-CN"/>
        </w:rPr>
        <w:t>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131"/>
        <w:gridCol w:w="1364"/>
        <w:gridCol w:w="102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9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13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床位数（床）</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用水系数</w:t>
            </w:r>
          </w:p>
        </w:tc>
        <w:tc>
          <w:tcPr>
            <w:tcW w:w="201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9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3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L/人·d</w:t>
            </w: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非感染楼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1500</w:t>
            </w: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120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43800</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102</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37230</w:t>
            </w:r>
          </w:p>
        </w:tc>
      </w:tr>
    </w:tbl>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highlight w:val="none"/>
          <w:lang w:eastAsia="zh-CN"/>
        </w:rPr>
      </w:pPr>
      <w:r>
        <w:rPr>
          <w:rFonts w:hint="eastAsia" w:eastAsia="宋体"/>
          <w:color w:val="auto"/>
          <w:sz w:val="24"/>
          <w:highlight w:val="none"/>
          <w:lang w:eastAsia="zh-CN"/>
        </w:rPr>
        <w:t>（</w:t>
      </w:r>
      <w:r>
        <w:rPr>
          <w:rFonts w:hint="eastAsia" w:eastAsia="宋体"/>
          <w:color w:val="auto"/>
          <w:sz w:val="24"/>
          <w:highlight w:val="none"/>
          <w:lang w:val="en-US" w:eastAsia="zh-CN"/>
        </w:rPr>
        <w:t>5</w:t>
      </w:r>
      <w:r>
        <w:rPr>
          <w:rFonts w:hint="eastAsia" w:eastAsia="宋体"/>
          <w:color w:val="auto"/>
          <w:sz w:val="24"/>
          <w:highlight w:val="none"/>
          <w:lang w:eastAsia="zh-CN"/>
        </w:rPr>
        <w:t>）</w:t>
      </w:r>
      <w:r>
        <w:rPr>
          <w:rFonts w:hint="eastAsia"/>
          <w:color w:val="auto"/>
          <w:sz w:val="24"/>
          <w:highlight w:val="none"/>
          <w:lang w:eastAsia="zh-CN"/>
        </w:rPr>
        <w:t>门急诊废水</w:t>
      </w:r>
    </w:p>
    <w:p>
      <w:pPr>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highlight w:val="none"/>
          <w:lang w:eastAsia="zh-CN"/>
        </w:rPr>
      </w:pPr>
      <w:r>
        <w:rPr>
          <w:rFonts w:hint="eastAsia"/>
          <w:color w:val="auto"/>
          <w:sz w:val="24"/>
          <w:highlight w:val="none"/>
          <w:lang w:eastAsia="zh-CN"/>
        </w:rPr>
        <w:t>本项目感染楼设置有门急诊服务，</w:t>
      </w:r>
      <w:r>
        <w:rPr>
          <w:rFonts w:hint="eastAsia" w:ascii="Times New Roman" w:hAnsi="Times New Roman" w:eastAsia="宋体" w:cs="Times New Roman"/>
          <w:b w:val="0"/>
          <w:bCs w:val="0"/>
          <w:color w:val="auto"/>
          <w:sz w:val="24"/>
          <w:szCs w:val="24"/>
          <w:lang w:val="en-US" w:eastAsia="zh-CN"/>
        </w:rPr>
        <w:t>门急诊量约</w:t>
      </w:r>
      <w:r>
        <w:rPr>
          <w:rFonts w:hint="eastAsia"/>
          <w:color w:val="auto"/>
          <w:sz w:val="24"/>
          <w:highlight w:val="none"/>
          <w:lang w:val="en-US" w:eastAsia="zh-CN"/>
        </w:rPr>
        <w:t>200人次/d</w:t>
      </w:r>
      <w:r>
        <w:rPr>
          <w:rFonts w:hint="eastAsia" w:cs="宋体"/>
          <w:color w:val="auto"/>
          <w:sz w:val="24"/>
          <w:highlight w:val="none"/>
          <w:lang w:val="en-US" w:eastAsia="zh-CN"/>
        </w:rPr>
        <w:t>；门急诊医技楼门急诊</w:t>
      </w:r>
      <w:r>
        <w:rPr>
          <w:rFonts w:hint="eastAsia"/>
          <w:color w:val="auto"/>
          <w:sz w:val="24"/>
          <w:highlight w:val="none"/>
          <w:lang w:eastAsia="zh-CN"/>
        </w:rPr>
        <w:t>约</w:t>
      </w:r>
      <w:r>
        <w:rPr>
          <w:rFonts w:hint="eastAsia"/>
          <w:color w:val="auto"/>
          <w:sz w:val="24"/>
          <w:highlight w:val="none"/>
          <w:lang w:val="en-US" w:eastAsia="zh-CN"/>
        </w:rPr>
        <w:t>4500</w:t>
      </w:r>
      <w:r>
        <w:rPr>
          <w:rFonts w:hint="eastAsia"/>
          <w:color w:val="auto"/>
          <w:sz w:val="24"/>
          <w:highlight w:val="none"/>
          <w:lang w:eastAsia="zh-CN"/>
        </w:rPr>
        <w:t>人次</w:t>
      </w:r>
      <w:r>
        <w:rPr>
          <w:rFonts w:hint="eastAsia"/>
          <w:color w:val="auto"/>
          <w:sz w:val="24"/>
          <w:highlight w:val="none"/>
          <w:lang w:val="en-US" w:eastAsia="zh-CN"/>
        </w:rPr>
        <w:t>/d</w:t>
      </w:r>
      <w:r>
        <w:rPr>
          <w:rFonts w:hint="eastAsia"/>
          <w:color w:val="auto"/>
          <w:sz w:val="24"/>
          <w:highlight w:val="none"/>
          <w:lang w:eastAsia="zh-CN"/>
        </w:rPr>
        <w:t>，</w:t>
      </w:r>
      <w:r>
        <w:rPr>
          <w:rFonts w:hint="eastAsia"/>
          <w:color w:val="auto"/>
          <w:sz w:val="24"/>
          <w:highlight w:val="none"/>
          <w:lang w:val="en-US" w:eastAsia="zh-CN"/>
        </w:rPr>
        <w:t>门</w:t>
      </w:r>
      <w:r>
        <w:rPr>
          <w:rFonts w:hint="eastAsia"/>
          <w:color w:val="auto"/>
          <w:sz w:val="24"/>
          <w:highlight w:val="none"/>
          <w:lang w:eastAsia="zh-CN"/>
        </w:rPr>
        <w:t>急诊用水量按20L/(人·次)计，排污系数取0.85。</w:t>
      </w:r>
    </w:p>
    <w:p>
      <w:pPr>
        <w:pStyle w:val="30"/>
        <w:spacing w:line="240" w:lineRule="auto"/>
        <w:ind w:left="0" w:leftChars="0" w:firstLine="0" w:firstLineChars="0"/>
        <w:jc w:val="center"/>
        <w:rPr>
          <w:rFonts w:hint="eastAsia"/>
          <w:b/>
          <w:bCs/>
          <w:color w:val="auto"/>
          <w:sz w:val="21"/>
          <w:szCs w:val="21"/>
          <w:lang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3.2-8 建设项目门急诊废水</w:t>
      </w:r>
      <w:r>
        <w:rPr>
          <w:rFonts w:hint="eastAsia"/>
          <w:b/>
          <w:bCs/>
          <w:color w:val="auto"/>
          <w:sz w:val="21"/>
          <w:szCs w:val="21"/>
          <w:lang w:eastAsia="zh-CN"/>
        </w:rPr>
        <w:t>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131"/>
        <w:gridCol w:w="1364"/>
        <w:gridCol w:w="102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9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13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门急诊量</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用水系数</w:t>
            </w:r>
          </w:p>
        </w:tc>
        <w:tc>
          <w:tcPr>
            <w:tcW w:w="201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9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3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感染楼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2</w:t>
            </w:r>
            <w:r>
              <w:rPr>
                <w:rFonts w:hint="default" w:ascii="Times New Roman" w:hAnsi="Times New Roman" w:eastAsia="宋体" w:cs="Times New Roman"/>
                <w:i w:val="0"/>
                <w:color w:val="auto"/>
                <w:sz w:val="21"/>
                <w:szCs w:val="21"/>
                <w:u w:val="none"/>
                <w:lang w:val="en-US" w:eastAsia="zh-CN"/>
              </w:rPr>
              <w:t>00人次</w:t>
            </w:r>
          </w:p>
        </w:tc>
        <w:tc>
          <w:tcPr>
            <w:tcW w:w="136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L/人·d</w:t>
            </w: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4</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1460</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3.4</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1241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门急诊医技楼</w:t>
            </w:r>
          </w:p>
        </w:tc>
        <w:tc>
          <w:tcPr>
            <w:tcW w:w="11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4500</w:t>
            </w:r>
            <w:r>
              <w:rPr>
                <w:rFonts w:hint="default" w:ascii="Times New Roman" w:hAnsi="Times New Roman" w:eastAsia="宋体" w:cs="Times New Roman"/>
                <w:i w:val="0"/>
                <w:color w:val="auto"/>
                <w:sz w:val="21"/>
                <w:szCs w:val="21"/>
                <w:u w:val="none"/>
                <w:lang w:val="en-US" w:eastAsia="zh-CN"/>
              </w:rPr>
              <w:t>人次</w:t>
            </w:r>
          </w:p>
        </w:tc>
        <w:tc>
          <w:tcPr>
            <w:tcW w:w="136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color w:val="auto"/>
                <w:sz w:val="21"/>
                <w:szCs w:val="21"/>
                <w:highlight w:val="none"/>
                <w:lang w:val="en-US" w:eastAsia="zh-CN"/>
              </w:rPr>
            </w:pPr>
          </w:p>
        </w:tc>
        <w:tc>
          <w:tcPr>
            <w:tcW w:w="10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90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32850</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76.5</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27922.5</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lang w:eastAsia="zh-CN"/>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）食堂废水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olor w:val="auto"/>
          <w:sz w:val="24"/>
          <w:highlight w:val="none"/>
          <w:lang w:eastAsia="zh-CN"/>
        </w:rPr>
      </w:pPr>
      <w:r>
        <w:rPr>
          <w:rFonts w:hint="eastAsia"/>
          <w:color w:val="auto"/>
          <w:sz w:val="24"/>
          <w:highlight w:val="none"/>
          <w:lang w:eastAsia="zh-CN"/>
        </w:rPr>
        <w:t>项目共设有</w:t>
      </w:r>
      <w:r>
        <w:rPr>
          <w:rFonts w:hint="eastAsia"/>
          <w:color w:val="auto"/>
          <w:sz w:val="24"/>
          <w:highlight w:val="none"/>
          <w:lang w:val="en-US" w:eastAsia="zh-CN"/>
        </w:rPr>
        <w:t>2个食堂，其中职工食堂位于综合管理中心二层，建筑面积约为2100m</w:t>
      </w:r>
      <w:r>
        <w:rPr>
          <w:rFonts w:hint="eastAsia"/>
          <w:color w:val="auto"/>
          <w:sz w:val="24"/>
          <w:highlight w:val="none"/>
          <w:vertAlign w:val="superscript"/>
          <w:lang w:val="en-US" w:eastAsia="zh-CN"/>
        </w:rPr>
        <w:t>2</w:t>
      </w:r>
      <w:r>
        <w:rPr>
          <w:rFonts w:hint="eastAsia"/>
          <w:color w:val="auto"/>
          <w:sz w:val="24"/>
          <w:highlight w:val="none"/>
          <w:lang w:val="en-US" w:eastAsia="zh-CN"/>
        </w:rPr>
        <w:t>，另在门急诊医技楼设有营养餐厅，建筑面积约为1500m</w:t>
      </w:r>
      <w:r>
        <w:rPr>
          <w:rFonts w:hint="eastAsia"/>
          <w:color w:val="auto"/>
          <w:sz w:val="24"/>
          <w:highlight w:val="none"/>
          <w:vertAlign w:val="superscript"/>
          <w:lang w:val="en-US" w:eastAsia="zh-CN"/>
        </w:rPr>
        <w:t>2</w:t>
      </w:r>
      <w:r>
        <w:rPr>
          <w:rFonts w:hint="eastAsia"/>
          <w:color w:val="auto"/>
          <w:sz w:val="24"/>
          <w:highlight w:val="none"/>
          <w:lang w:val="en-US" w:eastAsia="zh-CN"/>
        </w:rPr>
        <w:t>。预计新增</w:t>
      </w:r>
      <w:r>
        <w:rPr>
          <w:rFonts w:hint="eastAsia"/>
          <w:color w:val="auto"/>
          <w:sz w:val="24"/>
          <w:highlight w:val="none"/>
          <w:lang w:eastAsia="zh-CN"/>
        </w:rPr>
        <w:t>就餐人数约为</w:t>
      </w:r>
      <w:r>
        <w:rPr>
          <w:rFonts w:hint="eastAsia"/>
          <w:color w:val="auto"/>
          <w:sz w:val="24"/>
          <w:highlight w:val="none"/>
          <w:lang w:val="en-US" w:eastAsia="zh-CN"/>
        </w:rPr>
        <w:t>6000人次</w:t>
      </w:r>
      <w:r>
        <w:rPr>
          <w:rFonts w:hint="eastAsia" w:eastAsia="宋体"/>
          <w:color w:val="auto"/>
          <w:sz w:val="24"/>
          <w:highlight w:val="none"/>
          <w:lang w:val="en-US" w:eastAsia="zh-CN"/>
        </w:rPr>
        <w:t>/d，用水量每天</w:t>
      </w:r>
      <w:r>
        <w:rPr>
          <w:rFonts w:hint="eastAsia"/>
          <w:color w:val="auto"/>
          <w:sz w:val="24"/>
          <w:highlight w:val="none"/>
          <w:lang w:eastAsia="zh-CN"/>
        </w:rPr>
        <w:t>按</w:t>
      </w:r>
      <w:r>
        <w:rPr>
          <w:rFonts w:hint="eastAsia"/>
          <w:color w:val="auto"/>
          <w:sz w:val="24"/>
          <w:highlight w:val="none"/>
          <w:lang w:val="en-US" w:eastAsia="zh-CN"/>
        </w:rPr>
        <w:t>2</w:t>
      </w:r>
      <w:r>
        <w:rPr>
          <w:rFonts w:hint="eastAsia"/>
          <w:color w:val="auto"/>
          <w:sz w:val="24"/>
          <w:highlight w:val="none"/>
          <w:lang w:eastAsia="zh-CN"/>
        </w:rPr>
        <w:t>0L/（人·次）计，排水系数按0.85计。食堂废水经隔油池预处理后，进入院区污水处理站处理。</w:t>
      </w:r>
    </w:p>
    <w:p>
      <w:pPr>
        <w:pStyle w:val="30"/>
        <w:spacing w:line="240" w:lineRule="auto"/>
        <w:ind w:left="0" w:leftChars="0" w:firstLine="0" w:firstLineChars="0"/>
        <w:jc w:val="center"/>
        <w:rPr>
          <w:rFonts w:hint="eastAsia"/>
          <w:b/>
          <w:bCs/>
          <w:color w:val="auto"/>
          <w:sz w:val="21"/>
          <w:szCs w:val="21"/>
          <w:lang w:eastAsia="zh-CN"/>
        </w:rPr>
      </w:pPr>
      <w:r>
        <w:rPr>
          <w:rFonts w:hint="eastAsia" w:ascii="Times New Roman" w:cs="Times New Roman"/>
          <w:b/>
          <w:bCs/>
          <w:color w:val="auto"/>
          <w:sz w:val="21"/>
          <w:szCs w:val="21"/>
          <w:highlight w:val="none"/>
          <w:lang w:eastAsia="zh-CN"/>
        </w:rPr>
        <w:t>表</w:t>
      </w:r>
      <w:r>
        <w:rPr>
          <w:rFonts w:hint="eastAsia" w:ascii="Times New Roman" w:cs="Times New Roman"/>
          <w:b/>
          <w:bCs/>
          <w:color w:val="auto"/>
          <w:sz w:val="21"/>
          <w:szCs w:val="21"/>
          <w:highlight w:val="none"/>
          <w:lang w:val="en-US" w:eastAsia="zh-CN"/>
        </w:rPr>
        <w:t>3.2-9 建设项目食堂废水</w:t>
      </w:r>
      <w:r>
        <w:rPr>
          <w:rFonts w:hint="eastAsia"/>
          <w:b/>
          <w:bCs/>
          <w:color w:val="auto"/>
          <w:sz w:val="21"/>
          <w:szCs w:val="21"/>
          <w:lang w:eastAsia="zh-CN"/>
        </w:rPr>
        <w:t>产生情况一览表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8"/>
        <w:gridCol w:w="1388"/>
        <w:gridCol w:w="1113"/>
        <w:gridCol w:w="968"/>
        <w:gridCol w:w="990"/>
        <w:gridCol w:w="723"/>
        <w:gridCol w:w="10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148"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产生源</w:t>
            </w:r>
          </w:p>
        </w:tc>
        <w:tc>
          <w:tcPr>
            <w:tcW w:w="1388"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olor w:val="auto"/>
                <w:sz w:val="21"/>
                <w:szCs w:val="21"/>
                <w:highlight w:val="none"/>
                <w:lang w:eastAsia="zh-CN"/>
              </w:rPr>
              <w:t>就餐人数</w:t>
            </w:r>
          </w:p>
        </w:tc>
        <w:tc>
          <w:tcPr>
            <w:tcW w:w="111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产污系数</w:t>
            </w:r>
          </w:p>
        </w:tc>
        <w:tc>
          <w:tcPr>
            <w:tcW w:w="195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用水量</w:t>
            </w:r>
          </w:p>
        </w:tc>
        <w:tc>
          <w:tcPr>
            <w:tcW w:w="72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排污系数</w:t>
            </w:r>
          </w:p>
        </w:tc>
        <w:tc>
          <w:tcPr>
            <w:tcW w:w="2198"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废水产生量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48"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388"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111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96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c>
          <w:tcPr>
            <w:tcW w:w="72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/d</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食堂</w:t>
            </w:r>
          </w:p>
        </w:tc>
        <w:tc>
          <w:tcPr>
            <w:tcW w:w="138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olor w:val="auto"/>
                <w:sz w:val="21"/>
                <w:szCs w:val="21"/>
                <w:highlight w:val="none"/>
                <w:lang w:val="en-US" w:eastAsia="zh-CN"/>
              </w:rPr>
              <w:t>6000人次</w:t>
            </w:r>
            <w:r>
              <w:rPr>
                <w:rFonts w:hint="eastAsia" w:eastAsia="宋体"/>
                <w:color w:val="auto"/>
                <w:sz w:val="21"/>
                <w:szCs w:val="21"/>
                <w:highlight w:val="none"/>
                <w:lang w:val="en-US" w:eastAsia="zh-CN"/>
              </w:rPr>
              <w:t>/d</w:t>
            </w:r>
          </w:p>
        </w:tc>
        <w:tc>
          <w:tcPr>
            <w:tcW w:w="111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2</w:t>
            </w:r>
            <w:r>
              <w:rPr>
                <w:rFonts w:hint="default" w:ascii="Times New Roman" w:hAnsi="Times New Roman" w:eastAsia="宋体" w:cs="Times New Roman"/>
                <w:i w:val="0"/>
                <w:color w:val="auto"/>
                <w:sz w:val="21"/>
                <w:szCs w:val="21"/>
                <w:u w:val="none"/>
                <w:lang w:val="en-US" w:eastAsia="zh-CN"/>
              </w:rPr>
              <w:t>0L/（人·次）</w:t>
            </w:r>
          </w:p>
        </w:tc>
        <w:tc>
          <w:tcPr>
            <w:tcW w:w="96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120</w:t>
            </w:r>
          </w:p>
        </w:tc>
        <w:tc>
          <w:tcPr>
            <w:tcW w:w="9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43800</w:t>
            </w:r>
          </w:p>
        </w:tc>
        <w:tc>
          <w:tcPr>
            <w:tcW w:w="7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eastAsia="宋体" w:cs="Times New Roman"/>
                <w:i w:val="0"/>
                <w:color w:val="auto"/>
                <w:sz w:val="21"/>
                <w:szCs w:val="21"/>
                <w:u w:val="none"/>
                <w:lang w:val="en-US" w:eastAsia="zh-CN"/>
              </w:rPr>
              <w:t>0.85</w:t>
            </w:r>
          </w:p>
        </w:tc>
        <w:tc>
          <w:tcPr>
            <w:tcW w:w="10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102</w:t>
            </w:r>
          </w:p>
        </w:tc>
        <w:tc>
          <w:tcPr>
            <w:tcW w:w="11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37230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（7）器具清洗用水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highlight w:val="none"/>
          <w:lang w:val="en-US" w:eastAsia="zh-CN"/>
        </w:rPr>
      </w:pPr>
      <w:r>
        <w:rPr>
          <w:rFonts w:hint="eastAsia"/>
          <w:color w:val="auto"/>
          <w:sz w:val="24"/>
          <w:highlight w:val="none"/>
          <w:lang w:val="en-US" w:eastAsia="zh-CN"/>
        </w:rPr>
        <w:t>项目医技综合楼的中心供应、腔镜中心需要使用洁净水对沾染污物的器具进行清洗，用水量约10</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lang w:eastAsia="zh-CN"/>
        </w:rPr>
        <w:t>，</w:t>
      </w:r>
      <w:r>
        <w:rPr>
          <w:rFonts w:hint="eastAsia"/>
          <w:color w:val="auto"/>
          <w:sz w:val="24"/>
          <w:highlight w:val="none"/>
          <w:lang w:eastAsia="zh-CN"/>
        </w:rPr>
        <w:t>排污系数取0.85，则</w:t>
      </w:r>
      <w:r>
        <w:rPr>
          <w:rFonts w:hint="eastAsia"/>
          <w:color w:val="auto"/>
          <w:sz w:val="24"/>
          <w:highlight w:val="none"/>
          <w:lang w:val="en-US" w:eastAsia="zh-CN"/>
        </w:rPr>
        <w:t>器具清洗废水产生量为8.5</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color w:val="auto"/>
          <w:lang w:val="en-US" w:eastAsia="zh-CN"/>
        </w:rPr>
      </w:pPr>
      <w:r>
        <w:rPr>
          <w:rFonts w:hint="eastAsia"/>
          <w:color w:val="auto"/>
          <w:lang w:val="en-US" w:eastAsia="zh-CN"/>
        </w:rPr>
        <w:t>（8）保洁</w:t>
      </w:r>
      <w:r>
        <w:rPr>
          <w:rFonts w:hint="eastAsia"/>
          <w:color w:val="auto"/>
          <w:sz w:val="24"/>
          <w:highlight w:val="none"/>
          <w:lang w:val="en-US" w:eastAsia="zh-CN"/>
        </w:rPr>
        <w:t>用水</w:t>
      </w:r>
    </w:p>
    <w:p>
      <w:pPr>
        <w:spacing w:line="360" w:lineRule="auto"/>
        <w:ind w:firstLine="480" w:firstLineChars="200"/>
        <w:rPr>
          <w:rFonts w:hint="eastAsia" w:ascii="Times New Roman" w:hAnsi="Times New Roman"/>
          <w:color w:val="auto"/>
          <w:sz w:val="24"/>
          <w:szCs w:val="24"/>
          <w:highlight w:val="none"/>
        </w:rPr>
      </w:pPr>
      <w:r>
        <w:rPr>
          <w:rFonts w:hint="default" w:ascii="Times New Roman" w:hAnsi="Times New Roman" w:eastAsia="宋体" w:cs="Times New Roman"/>
          <w:color w:val="auto"/>
        </w:rPr>
        <w:t>项目需要保洁的建筑面积约为50000m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，地面每天保洁一次，用水标准为0.2L/m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·d，则用水量为10t/d，3650t/a，排放系数按80%计，地面保洁废水产生量为8t/d，2920t/a</w:t>
      </w:r>
      <w:r>
        <w:rPr>
          <w:rFonts w:hint="eastAsia" w:ascii="Times New Roman" w:hAnsi="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color w:val="auto"/>
          <w:sz w:val="24"/>
          <w:szCs w:val="24"/>
          <w:highlight w:val="none"/>
          <w:lang w:eastAsia="zh-CN"/>
        </w:rPr>
      </w:pPr>
      <w:r>
        <w:rPr>
          <w:rFonts w:hint="eastAsia" w:ascii="Times New Roman" w:hAnsi="Times New Roman"/>
          <w:color w:val="auto"/>
          <w:sz w:val="24"/>
          <w:szCs w:val="24"/>
          <w:highlight w:val="none"/>
          <w:lang w:eastAsia="zh-CN"/>
        </w:rPr>
        <w:t>（</w:t>
      </w:r>
      <w:r>
        <w:rPr>
          <w:rFonts w:hint="eastAsia"/>
          <w:color w:val="auto"/>
          <w:sz w:val="24"/>
          <w:szCs w:val="24"/>
          <w:highlight w:val="none"/>
          <w:lang w:val="en-US" w:eastAsia="zh-CN"/>
        </w:rPr>
        <w:t>9</w:t>
      </w:r>
      <w:r>
        <w:rPr>
          <w:rFonts w:hint="eastAsia" w:ascii="Times New Roman" w:hAnsi="Times New Roman"/>
          <w:color w:val="auto"/>
          <w:sz w:val="24"/>
          <w:szCs w:val="24"/>
          <w:highlight w:val="none"/>
          <w:lang w:eastAsia="zh-CN"/>
        </w:rPr>
        <w:t>）</w:t>
      </w:r>
      <w:r>
        <w:rPr>
          <w:rFonts w:hint="eastAsia"/>
          <w:color w:val="auto"/>
          <w:sz w:val="24"/>
          <w:highlight w:val="none"/>
          <w:lang w:val="en-US" w:eastAsia="zh-CN"/>
        </w:rPr>
        <w:t>软水制备用水</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color w:val="auto"/>
          <w:lang w:val="en-US" w:eastAsia="zh-CN"/>
        </w:rPr>
      </w:pPr>
      <w:r>
        <w:rPr>
          <w:rFonts w:hint="eastAsia"/>
          <w:color w:val="auto"/>
          <w:lang w:eastAsia="zh-CN"/>
        </w:rPr>
        <w:t>项目共配置</w:t>
      </w:r>
      <w:r>
        <w:rPr>
          <w:rFonts w:hint="eastAsia"/>
          <w:color w:val="auto"/>
          <w:lang w:val="en-US" w:eastAsia="zh-CN"/>
        </w:rPr>
        <w:t>5台3t/h的热水锅炉（1备4用），提供温度在45~55℃。单台锅炉的循环用水量为180m</w:t>
      </w:r>
      <w:r>
        <w:rPr>
          <w:rFonts w:hint="eastAsia"/>
          <w:color w:val="auto"/>
          <w:vertAlign w:val="superscript"/>
          <w:lang w:val="en-US" w:eastAsia="zh-CN"/>
        </w:rPr>
        <w:t>3</w:t>
      </w:r>
      <w:r>
        <w:rPr>
          <w:rFonts w:hint="eastAsia"/>
          <w:color w:val="auto"/>
          <w:vertAlign w:val="superscript"/>
          <w:lang w:val="en-US" w:eastAsia="zh-CN"/>
        </w:rPr>
        <w:tab/>
      </w:r>
      <w:r>
        <w:rPr>
          <w:rFonts w:hint="eastAsia"/>
          <w:color w:val="auto"/>
          <w:lang w:val="en-US" w:eastAsia="zh-CN"/>
        </w:rPr>
        <w:t>/h。按空调供暖和生活热水分别设置换热机组，冷水经换热器换热后成为热水。热水锅炉的补水量按循环数量的3%计，则热水锅炉的补水量为21.6t/h，锅炉运行时间每天按12h计，则补水量为259.2t/d。锅炉用水为软水，项目设置一台软水制备设备，采用离子交换工艺。软水设备的出水率在90%左右，软化废水和锅炉排污水的产生量约为10%。项目所需的锅炉软化水量为259.2t/d，计算得出本项目制备软水需要的自来水用量为288t/d，105120t/a。则软水制备废水的产生量为28.8t/d，10512t/a。</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color w:val="auto"/>
          <w:lang w:val="en-US" w:eastAsia="zh-CN"/>
        </w:rPr>
      </w:pPr>
      <w:r>
        <w:rPr>
          <w:rFonts w:hint="eastAsia"/>
          <w:color w:val="auto"/>
          <w:lang w:val="en-US" w:eastAsia="zh-CN"/>
        </w:rPr>
        <w:t>（10）冷区塔补水</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color w:val="auto"/>
          <w:lang w:val="en-US" w:eastAsia="zh-CN"/>
        </w:rPr>
      </w:pPr>
      <w:r>
        <w:rPr>
          <w:rFonts w:hint="eastAsia"/>
          <w:color w:val="auto"/>
          <w:lang w:val="en-US" w:eastAsia="zh-CN"/>
        </w:rPr>
        <w:t>项目共设有16台冷却塔，位于综合住院部楼顶，单台冷却塔的循环水量为350m</w:t>
      </w:r>
      <w:r>
        <w:rPr>
          <w:rFonts w:hint="eastAsia"/>
          <w:color w:val="auto"/>
          <w:vertAlign w:val="superscript"/>
          <w:lang w:val="en-US" w:eastAsia="zh-CN"/>
        </w:rPr>
        <w:t>3</w:t>
      </w:r>
      <w:r>
        <w:rPr>
          <w:rFonts w:hint="eastAsia"/>
          <w:color w:val="auto"/>
          <w:lang w:val="en-US" w:eastAsia="zh-CN"/>
        </w:rPr>
        <w:t>/h，故项目的冷区塔的循环水量为5600m</w:t>
      </w:r>
      <w:r>
        <w:rPr>
          <w:rFonts w:hint="eastAsia"/>
          <w:color w:val="auto"/>
          <w:vertAlign w:val="superscript"/>
          <w:lang w:val="en-US" w:eastAsia="zh-CN"/>
        </w:rPr>
        <w:t>3</w:t>
      </w:r>
      <w:r>
        <w:rPr>
          <w:rFonts w:hint="eastAsia"/>
          <w:color w:val="auto"/>
          <w:lang w:val="en-US" w:eastAsia="zh-CN"/>
        </w:rPr>
        <w:t>/h。项目冷却塔的补充水量按照冷却循环水量的1.5%计，冷却塔运行时间按每天24h，年运行5个月，合计150天。则冷区塔的补充水量为2016t/d，302400t/a。</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cs="Times New Roman"/>
          <w:color w:val="auto"/>
          <w:szCs w:val="24"/>
          <w:lang w:eastAsia="zh-CN"/>
        </w:rPr>
      </w:pPr>
      <w:r>
        <w:rPr>
          <w:rFonts w:hint="eastAsia" w:cs="Times New Roman"/>
          <w:color w:val="auto"/>
          <w:szCs w:val="24"/>
          <w:lang w:eastAsia="zh-CN"/>
        </w:rPr>
        <w:t>（</w:t>
      </w:r>
      <w:r>
        <w:rPr>
          <w:rFonts w:hint="eastAsia" w:cs="Times New Roman"/>
          <w:color w:val="auto"/>
          <w:szCs w:val="24"/>
          <w:lang w:val="en-US" w:eastAsia="zh-CN"/>
        </w:rPr>
        <w:t>11</w:t>
      </w:r>
      <w:r>
        <w:rPr>
          <w:rFonts w:hint="eastAsia" w:cs="Times New Roman"/>
          <w:color w:val="auto"/>
          <w:szCs w:val="24"/>
          <w:lang w:eastAsia="zh-CN"/>
        </w:rPr>
        <w:t>）绿化用水</w:t>
      </w:r>
    </w:p>
    <w:p>
      <w:pPr>
        <w:spacing w:line="360" w:lineRule="auto"/>
        <w:ind w:firstLine="480" w:firstLineChars="200"/>
        <w:rPr>
          <w:rFonts w:hint="default" w:ascii="Times New Roman" w:hAnsi="Times New Roman" w:eastAsia="宋体" w:cs="Times New Roman"/>
          <w:color w:val="auto"/>
          <w:sz w:val="24"/>
          <w:szCs w:val="24"/>
        </w:rPr>
      </w:pPr>
      <w:r>
        <w:rPr>
          <w:rFonts w:hint="eastAsia" w:cs="Times New Roman"/>
          <w:color w:val="auto"/>
          <w:sz w:val="24"/>
          <w:szCs w:val="24"/>
          <w:lang w:eastAsia="zh-CN"/>
        </w:rPr>
        <w:t>项目绿化面积约为</w:t>
      </w:r>
      <w:r>
        <w:rPr>
          <w:rFonts w:hint="eastAsia" w:cs="Times New Roman"/>
          <w:color w:val="auto"/>
          <w:sz w:val="24"/>
          <w:szCs w:val="24"/>
          <w:lang w:val="en-US" w:eastAsia="zh-CN"/>
        </w:rPr>
        <w:t>19832.68m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rPr>
        <w:t>绿化用水标准按0.2L/m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·天，则项目的绿化用水量约为</w:t>
      </w:r>
      <w:r>
        <w:rPr>
          <w:rFonts w:hint="eastAsia" w:cs="Times New Roman"/>
          <w:color w:val="auto"/>
          <w:sz w:val="24"/>
          <w:szCs w:val="24"/>
          <w:lang w:val="en-US" w:eastAsia="zh-CN"/>
        </w:rPr>
        <w:t>3.97</w:t>
      </w:r>
      <w:r>
        <w:rPr>
          <w:rFonts w:hint="default" w:ascii="Times New Roman" w:hAnsi="Times New Roman" w:eastAsia="宋体" w:cs="Times New Roman"/>
          <w:color w:val="auto"/>
          <w:sz w:val="24"/>
          <w:szCs w:val="24"/>
        </w:rPr>
        <w:t>t/d。</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color w:val="auto"/>
          <w:lang w:val="en-US" w:eastAsia="zh-CN"/>
        </w:rPr>
      </w:pPr>
      <w:r>
        <w:rPr>
          <w:rFonts w:hint="eastAsia"/>
          <w:color w:val="auto"/>
          <w:lang w:eastAsia="zh-CN"/>
        </w:rPr>
        <w:t>项目用排水情况统计如下表：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lang w:eastAsia="zh-CN"/>
        </w:rPr>
      </w:pPr>
      <w:r>
        <w:rPr>
          <w:rFonts w:hint="eastAsia"/>
          <w:b/>
          <w:bCs/>
          <w:color w:val="auto"/>
          <w:sz w:val="21"/>
          <w:szCs w:val="21"/>
          <w:lang w:val="en-US" w:eastAsia="zh-CN"/>
        </w:rPr>
        <w:t>表3.2-10 本项目用排水情况一览表</w:t>
      </w:r>
    </w:p>
    <w:tbl>
      <w:tblPr>
        <w:tblStyle w:val="48"/>
        <w:tblW w:w="505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47"/>
        <w:gridCol w:w="1269"/>
        <w:gridCol w:w="1200"/>
        <w:gridCol w:w="1333"/>
        <w:gridCol w:w="1070"/>
        <w:gridCol w:w="1208"/>
        <w:gridCol w:w="15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1198" w:type="pct"/>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项目</w:t>
            </w:r>
          </w:p>
        </w:tc>
        <w:tc>
          <w:tcPr>
            <w:tcW w:w="1505" w:type="pct"/>
            <w:gridSpan w:val="2"/>
            <w:tcBorders>
              <w:bottom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用水量</w:t>
            </w:r>
          </w:p>
        </w:tc>
        <w:tc>
          <w:tcPr>
            <w:tcW w:w="1354" w:type="pct"/>
            <w:gridSpan w:val="2"/>
            <w:tcBorders>
              <w:bottom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w:t>
            </w:r>
            <w:r>
              <w:rPr>
                <w:rFonts w:hint="eastAsia" w:cs="Times New Roman"/>
                <w:i w:val="0"/>
                <w:color w:val="auto"/>
                <w:kern w:val="0"/>
                <w:sz w:val="21"/>
                <w:szCs w:val="21"/>
                <w:u w:val="none"/>
                <w:lang w:val="en-US" w:eastAsia="zh-CN" w:bidi="ar"/>
              </w:rPr>
              <w:t>水</w:t>
            </w:r>
            <w:r>
              <w:rPr>
                <w:rFonts w:hint="default" w:ascii="Times New Roman" w:hAnsi="Times New Roman" w:eastAsia="宋体" w:cs="Times New Roman"/>
                <w:i w:val="0"/>
                <w:color w:val="auto"/>
                <w:kern w:val="0"/>
                <w:sz w:val="21"/>
                <w:szCs w:val="21"/>
                <w:u w:val="none"/>
                <w:lang w:val="en-US" w:eastAsia="zh-CN" w:bidi="ar"/>
              </w:rPr>
              <w:t>量</w:t>
            </w:r>
          </w:p>
        </w:tc>
        <w:tc>
          <w:tcPr>
            <w:tcW w:w="94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7" w:hRule="atLeast"/>
          <w:jc w:val="center"/>
        </w:trPr>
        <w:tc>
          <w:tcPr>
            <w:tcW w:w="1198" w:type="pct"/>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713" w:type="pc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eastAsia" w:cs="Times New Roman"/>
                <w:i w:val="0"/>
                <w:color w:val="auto"/>
                <w:kern w:val="0"/>
                <w:sz w:val="21"/>
                <w:szCs w:val="21"/>
                <w:u w:val="none"/>
                <w:vertAlign w:val="baseline"/>
                <w:lang w:val="en-US" w:eastAsia="zh-CN" w:bidi="ar"/>
              </w:rPr>
              <w:t>/d</w:t>
            </w:r>
            <w:r>
              <w:rPr>
                <w:rFonts w:hint="default" w:ascii="Times New Roman" w:hAnsi="Times New Roman" w:eastAsia="宋体" w:cs="Times New Roman"/>
                <w:i w:val="0"/>
                <w:color w:val="auto"/>
                <w:kern w:val="0"/>
                <w:sz w:val="21"/>
                <w:szCs w:val="21"/>
                <w:u w:val="none"/>
                <w:lang w:val="en-US" w:eastAsia="zh-CN" w:bidi="ar"/>
              </w:rPr>
              <w:t>）</w:t>
            </w:r>
          </w:p>
        </w:tc>
        <w:tc>
          <w:tcPr>
            <w:tcW w:w="791" w:type="pc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eastAsia" w:cs="Times New Roman"/>
                <w:i w:val="0"/>
                <w:color w:val="auto"/>
                <w:kern w:val="0"/>
                <w:sz w:val="21"/>
                <w:szCs w:val="21"/>
                <w:u w:val="none"/>
                <w:vertAlign w:val="baseline"/>
                <w:lang w:val="en-US" w:eastAsia="zh-CN" w:bidi="ar"/>
              </w:rPr>
              <w:t>/a</w:t>
            </w:r>
            <w:r>
              <w:rPr>
                <w:rFonts w:hint="default" w:ascii="Times New Roman" w:hAnsi="Times New Roman" w:eastAsia="宋体" w:cs="Times New Roman"/>
                <w:i w:val="0"/>
                <w:color w:val="auto"/>
                <w:kern w:val="0"/>
                <w:sz w:val="21"/>
                <w:szCs w:val="21"/>
                <w:u w:val="none"/>
                <w:lang w:val="en-US" w:eastAsia="zh-CN" w:bidi="ar"/>
              </w:rPr>
              <w:t>）</w:t>
            </w:r>
          </w:p>
        </w:tc>
        <w:tc>
          <w:tcPr>
            <w:tcW w:w="636" w:type="pc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eastAsia" w:cs="Times New Roman"/>
                <w:i w:val="0"/>
                <w:color w:val="auto"/>
                <w:kern w:val="0"/>
                <w:sz w:val="21"/>
                <w:szCs w:val="21"/>
                <w:u w:val="none"/>
                <w:vertAlign w:val="baseline"/>
                <w:lang w:val="en-US" w:eastAsia="zh-CN" w:bidi="ar"/>
              </w:rPr>
              <w:t>/d</w:t>
            </w:r>
            <w:r>
              <w:rPr>
                <w:rFonts w:hint="default" w:ascii="Times New Roman" w:hAnsi="Times New Roman" w:eastAsia="宋体" w:cs="Times New Roman"/>
                <w:i w:val="0"/>
                <w:color w:val="auto"/>
                <w:kern w:val="0"/>
                <w:sz w:val="21"/>
                <w:szCs w:val="21"/>
                <w:u w:val="none"/>
                <w:lang w:val="en-US" w:eastAsia="zh-CN" w:bidi="ar"/>
              </w:rPr>
              <w:t>）</w:t>
            </w:r>
          </w:p>
        </w:tc>
        <w:tc>
          <w:tcPr>
            <w:tcW w:w="717" w:type="pc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eastAsia" w:cs="Times New Roman"/>
                <w:i w:val="0"/>
                <w:color w:val="auto"/>
                <w:kern w:val="0"/>
                <w:sz w:val="21"/>
                <w:szCs w:val="21"/>
                <w:u w:val="none"/>
                <w:vertAlign w:val="baseline"/>
                <w:lang w:val="en-US" w:eastAsia="zh-CN" w:bidi="ar"/>
              </w:rPr>
              <w:t>/a</w:t>
            </w:r>
            <w:r>
              <w:rPr>
                <w:rFonts w:hint="default" w:ascii="Times New Roman" w:hAnsi="Times New Roman" w:eastAsia="宋体" w:cs="Times New Roman"/>
                <w:i w:val="0"/>
                <w:color w:val="auto"/>
                <w:kern w:val="0"/>
                <w:sz w:val="21"/>
                <w:szCs w:val="21"/>
                <w:u w:val="none"/>
                <w:lang w:val="en-US" w:eastAsia="zh-CN" w:bidi="ar"/>
              </w:rPr>
              <w:t>）</w:t>
            </w:r>
          </w:p>
        </w:tc>
        <w:tc>
          <w:tcPr>
            <w:tcW w:w="94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eastAsia" w:cs="Times New Roman"/>
                <w:i w:val="0"/>
                <w:color w:val="auto"/>
                <w:kern w:val="2"/>
                <w:sz w:val="21"/>
                <w:szCs w:val="21"/>
                <w:u w:val="none"/>
                <w:lang w:val="en-US" w:eastAsia="zh-CN" w:bidi="ar-SA"/>
              </w:rPr>
              <w:t>感染楼</w:t>
            </w: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cs="Times New Roman"/>
                <w:i w:val="0"/>
                <w:color w:val="auto"/>
                <w:kern w:val="2"/>
                <w:sz w:val="21"/>
                <w:szCs w:val="21"/>
                <w:u w:val="none"/>
                <w:lang w:val="en-US" w:eastAsia="zh-CN" w:bidi="ar-SA"/>
              </w:rPr>
              <w:t>感染楼</w:t>
            </w:r>
            <w:r>
              <w:rPr>
                <w:rFonts w:hint="default" w:ascii="Times New Roman" w:hAnsi="Times New Roman" w:eastAsia="宋体" w:cs="Times New Roman"/>
                <w:i w:val="0"/>
                <w:color w:val="auto"/>
                <w:kern w:val="0"/>
                <w:sz w:val="21"/>
                <w:szCs w:val="21"/>
                <w:u w:val="none"/>
                <w:lang w:val="en-US" w:eastAsia="zh-CN" w:bidi="ar"/>
              </w:rPr>
              <w:t>污水</w:t>
            </w:r>
            <w:r>
              <w:rPr>
                <w:rFonts w:hint="eastAsia" w:ascii="Times New Roman" w:hAnsi="Times New Roman" w:eastAsia="宋体" w:cs="Times New Roman"/>
                <w:i w:val="0"/>
                <w:color w:val="auto"/>
                <w:kern w:val="0"/>
                <w:sz w:val="21"/>
                <w:szCs w:val="21"/>
                <w:u w:val="none"/>
                <w:lang w:val="en-US" w:eastAsia="zh-CN" w:bidi="ar"/>
              </w:rPr>
              <w:t>预消毒系统、二期</w:t>
            </w:r>
            <w:r>
              <w:rPr>
                <w:rFonts w:hint="default" w:ascii="Times New Roman" w:hAnsi="Times New Roman" w:eastAsia="宋体" w:cs="Times New Roman"/>
                <w:i w:val="0"/>
                <w:color w:val="auto"/>
                <w:kern w:val="0"/>
                <w:sz w:val="21"/>
                <w:szCs w:val="21"/>
                <w:u w:val="none"/>
                <w:lang w:val="en-US" w:eastAsia="zh-CN" w:bidi="ar"/>
              </w:rPr>
              <w:t>污水处理站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医护人员</w:t>
            </w:r>
          </w:p>
        </w:tc>
        <w:tc>
          <w:tcPr>
            <w:tcW w:w="12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12</w:t>
            </w:r>
          </w:p>
        </w:tc>
        <w:tc>
          <w:tcPr>
            <w:tcW w:w="13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4380</w:t>
            </w:r>
          </w:p>
        </w:tc>
        <w:tc>
          <w:tcPr>
            <w:tcW w:w="10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10.2</w:t>
            </w:r>
          </w:p>
        </w:tc>
        <w:tc>
          <w:tcPr>
            <w:tcW w:w="12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3723</w:t>
            </w:r>
          </w:p>
        </w:tc>
        <w:tc>
          <w:tcPr>
            <w:tcW w:w="94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行政及后勤人员</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1.6</w:t>
            </w: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584</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1.36</w:t>
            </w: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496.4</w:t>
            </w:r>
          </w:p>
        </w:tc>
        <w:tc>
          <w:tcPr>
            <w:tcW w:w="94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门急诊</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4</w:t>
            </w: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1460</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3.4</w:t>
            </w: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1241</w:t>
            </w:r>
          </w:p>
        </w:tc>
        <w:tc>
          <w:tcPr>
            <w:tcW w:w="940" w:type="pct"/>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i w:val="0"/>
                <w:color w:val="auto"/>
                <w:kern w:val="2"/>
                <w:sz w:val="21"/>
                <w:szCs w:val="21"/>
                <w:u w:val="none"/>
                <w:lang w:val="en-US" w:eastAsia="zh-CN" w:bidi="ar-SA"/>
              </w:rPr>
            </w:pPr>
            <w:r>
              <w:rPr>
                <w:rFonts w:hint="eastAsia" w:cs="Times New Roman"/>
                <w:i w:val="0"/>
                <w:color w:val="auto"/>
                <w:kern w:val="2"/>
                <w:sz w:val="21"/>
                <w:szCs w:val="21"/>
                <w:u w:val="none"/>
                <w:lang w:val="en-US" w:eastAsia="zh-CN" w:bidi="ar-SA"/>
              </w:rPr>
              <w:t>保洁废水</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ascii="Times New Roman" w:hAnsi="Times New Roman" w:eastAsia="宋体" w:cs="Times New Roman"/>
                <w:b/>
                <w:bCs/>
                <w:i w:val="0"/>
                <w:color w:val="auto"/>
                <w:kern w:val="0"/>
                <w:sz w:val="21"/>
                <w:szCs w:val="21"/>
                <w:u w:val="none"/>
                <w:lang w:val="en-US" w:eastAsia="zh-CN" w:bidi="ar"/>
              </w:rPr>
              <w:t>合计</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eastAsia" w:cs="Times New Roman"/>
                <w:i w:val="0"/>
                <w:color w:val="auto"/>
                <w:kern w:val="2"/>
                <w:sz w:val="21"/>
                <w:szCs w:val="21"/>
                <w:u w:val="none"/>
                <w:lang w:val="en-US" w:eastAsia="zh-CN" w:bidi="ar-SA"/>
              </w:rPr>
              <w:t>非感染楼</w:t>
            </w: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住院（病床）废水</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900</w:t>
            </w: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328500</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765</w:t>
            </w: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restart"/>
            <w:tcBorders>
              <w:top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r>
              <w:rPr>
                <w:rFonts w:hint="eastAsia" w:ascii="Times New Roman" w:hAnsi="Times New Roman" w:eastAsia="宋体" w:cs="Times New Roman"/>
                <w:i w:val="0"/>
                <w:color w:val="auto"/>
                <w:kern w:val="0"/>
                <w:sz w:val="21"/>
                <w:szCs w:val="21"/>
                <w:u w:val="none"/>
                <w:lang w:val="en-US" w:eastAsia="zh-CN" w:bidi="ar"/>
              </w:rPr>
              <w:t>二期</w:t>
            </w:r>
            <w:r>
              <w:rPr>
                <w:rFonts w:hint="default" w:ascii="Times New Roman" w:hAnsi="Times New Roman" w:eastAsia="宋体" w:cs="Times New Roman"/>
                <w:i w:val="0"/>
                <w:color w:val="auto"/>
                <w:kern w:val="0"/>
                <w:sz w:val="21"/>
                <w:szCs w:val="21"/>
                <w:u w:val="none"/>
                <w:lang w:val="en-US" w:eastAsia="zh-CN" w:bidi="ar"/>
              </w:rPr>
              <w:t>污水处理站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b/>
                <w:bCs/>
                <w:i w:val="0"/>
                <w:color w:val="auto"/>
                <w:kern w:val="0"/>
                <w:sz w:val="21"/>
                <w:szCs w:val="21"/>
                <w:u w:val="none"/>
                <w:lang w:val="en-US" w:eastAsia="zh-CN" w:bidi="ar"/>
              </w:rPr>
            </w:pPr>
            <w:r>
              <w:rPr>
                <w:rFonts w:hint="eastAsia" w:ascii="Times New Roman" w:hAnsi="Times New Roman" w:eastAsia="宋体" w:cs="Times New Roman"/>
                <w:b/>
                <w:bCs/>
                <w:i w:val="0"/>
                <w:color w:val="auto"/>
                <w:kern w:val="0"/>
                <w:sz w:val="21"/>
                <w:szCs w:val="21"/>
                <w:u w:val="none"/>
                <w:lang w:val="en-US" w:eastAsia="zh-CN" w:bidi="ar"/>
              </w:rPr>
              <w:t>合计</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2"/>
                <w:sz w:val="21"/>
                <w:szCs w:val="21"/>
                <w:u w:val="none"/>
                <w:lang w:val="en-US" w:eastAsia="zh-CN" w:bidi="ar-SA"/>
              </w:rPr>
            </w:pPr>
            <w:r>
              <w:rPr>
                <w:rFonts w:hint="eastAsia" w:ascii="Times New Roman" w:hAnsi="Times New Roman" w:eastAsia="宋体" w:cs="Times New Roman"/>
                <w:i w:val="0"/>
                <w:color w:val="auto"/>
                <w:kern w:val="2"/>
                <w:sz w:val="21"/>
                <w:szCs w:val="21"/>
                <w:u w:val="none"/>
                <w:lang w:val="en-US" w:eastAsia="zh-CN" w:bidi="ar-SA"/>
              </w:rPr>
              <w:t>专家会务中心</w:t>
            </w:r>
          </w:p>
        </w:tc>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ascii="Times New Roman" w:hAnsi="Times New Roman" w:eastAsia="宋体" w:cs="Times New Roman"/>
                <w:b w:val="0"/>
                <w:bCs w:val="0"/>
                <w:i w:val="0"/>
                <w:color w:val="auto"/>
                <w:kern w:val="0"/>
                <w:sz w:val="21"/>
                <w:szCs w:val="21"/>
                <w:u w:val="none"/>
                <w:lang w:val="en-US" w:eastAsia="zh-CN" w:bidi="ar"/>
              </w:rPr>
              <w:t>参会人员</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1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空调排水</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1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软水制备</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1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eastAsia"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新增</w:t>
            </w:r>
            <w:r>
              <w:rPr>
                <w:rFonts w:hint="default" w:ascii="Times New Roman" w:hAnsi="Times New Roman" w:eastAsia="宋体" w:cs="Times New Roman"/>
                <w:i w:val="0"/>
                <w:color w:val="auto"/>
                <w:kern w:val="0"/>
                <w:sz w:val="21"/>
                <w:szCs w:val="21"/>
                <w:u w:val="none"/>
                <w:lang w:val="en-US" w:eastAsia="zh-CN" w:bidi="ar"/>
              </w:rPr>
              <w:t>食堂</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r>
              <w:rPr>
                <w:rFonts w:hint="eastAsia" w:ascii="Times New Roman" w:hAnsi="Times New Roman" w:eastAsia="宋体" w:cs="Times New Roman"/>
                <w:i w:val="0"/>
                <w:color w:val="auto"/>
                <w:kern w:val="0"/>
                <w:sz w:val="21"/>
                <w:szCs w:val="21"/>
                <w:u w:val="none"/>
                <w:lang w:val="en-US" w:eastAsia="zh-CN" w:bidi="ar"/>
              </w:rPr>
              <w:t>一期</w:t>
            </w:r>
            <w:r>
              <w:rPr>
                <w:rFonts w:hint="default" w:ascii="Times New Roman" w:hAnsi="Times New Roman" w:eastAsia="宋体" w:cs="Times New Roman"/>
                <w:i w:val="0"/>
                <w:color w:val="auto"/>
                <w:kern w:val="0"/>
                <w:sz w:val="21"/>
                <w:szCs w:val="21"/>
                <w:u w:val="none"/>
                <w:lang w:val="en-US" w:eastAsia="zh-CN" w:bidi="ar"/>
              </w:rPr>
              <w:t>污水处理站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1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新增综合门急诊</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p>
        </w:tc>
        <w:tc>
          <w:tcPr>
            <w:tcW w:w="94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eastAsia" w:ascii="Times New Roman" w:hAnsi="Times New Roman" w:eastAsia="宋体" w:cs="Times New Roman"/>
                <w:i w:val="0"/>
                <w:color w:val="auto"/>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1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default" w:ascii="Times New Roman" w:hAnsi="Times New Roman" w:eastAsia="宋体" w:cs="Times New Roman"/>
                <w:b/>
                <w:bCs/>
                <w:i w:val="0"/>
                <w:color w:val="auto"/>
                <w:kern w:val="0"/>
                <w:sz w:val="21"/>
                <w:szCs w:val="21"/>
                <w:u w:val="none"/>
                <w:lang w:val="en-US" w:eastAsia="zh-CN" w:bidi="ar"/>
              </w:rPr>
              <w:t>合计</w:t>
            </w:r>
            <w:r>
              <w:rPr>
                <w:rFonts w:hint="eastAsia" w:ascii="Times New Roman" w:hAnsi="Times New Roman" w:eastAsia="宋体" w:cs="Times New Roman"/>
                <w:b/>
                <w:bCs/>
                <w:i w:val="0"/>
                <w:color w:val="auto"/>
                <w:kern w:val="0"/>
                <w:sz w:val="21"/>
                <w:szCs w:val="21"/>
                <w:u w:val="none"/>
                <w:lang w:val="en-US" w:eastAsia="zh-CN" w:bidi="ar"/>
              </w:rPr>
              <w:t>新增水量</w:t>
            </w:r>
          </w:p>
        </w:tc>
        <w:tc>
          <w:tcPr>
            <w:tcW w:w="7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color w:val="auto"/>
                <w:sz w:val="21"/>
                <w:szCs w:val="21"/>
                <w:u w:val="none"/>
                <w:lang w:val="en-US" w:eastAsia="zh-CN"/>
              </w:rPr>
            </w:pPr>
          </w:p>
        </w:tc>
        <w:tc>
          <w:tcPr>
            <w:tcW w:w="7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color w:val="auto"/>
                <w:sz w:val="21"/>
                <w:szCs w:val="21"/>
                <w:u w:val="none"/>
                <w:lang w:val="en-US" w:eastAsia="zh-CN"/>
              </w:rPr>
            </w:pP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color w:val="auto"/>
                <w:sz w:val="21"/>
                <w:szCs w:val="21"/>
                <w:u w:val="none"/>
                <w:lang w:val="en-US" w:eastAsia="zh-CN"/>
              </w:rPr>
            </w:pPr>
          </w:p>
        </w:tc>
        <w:tc>
          <w:tcPr>
            <w:tcW w:w="7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color w:val="auto"/>
                <w:sz w:val="21"/>
                <w:szCs w:val="21"/>
                <w:u w:val="none"/>
                <w:lang w:val="en-US" w:eastAsia="zh-CN"/>
              </w:rPr>
            </w:pPr>
          </w:p>
        </w:tc>
        <w:tc>
          <w:tcPr>
            <w:tcW w:w="94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eastAsia"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w:t>
            </w:r>
          </w:p>
        </w:tc>
      </w:tr>
    </w:tbl>
    <w:p>
      <w:pPr>
        <w:numPr>
          <w:ilvl w:val="0"/>
          <w:numId w:val="0"/>
        </w:numPr>
        <w:spacing w:line="360" w:lineRule="auto"/>
        <w:rPr>
          <w:rFonts w:hint="default" w:eastAsia="宋体"/>
          <w:color w:val="auto"/>
          <w:sz w:val="21"/>
          <w:szCs w:val="21"/>
          <w:lang w:val="en-US" w:eastAsia="zh-CN"/>
        </w:rPr>
      </w:pPr>
      <w:r>
        <w:rPr>
          <w:rFonts w:hint="eastAsia"/>
          <w:color w:val="auto"/>
          <w:sz w:val="21"/>
          <w:szCs w:val="21"/>
          <w:lang w:eastAsia="zh-CN"/>
        </w:rPr>
        <w:t>注：计算过程年持续时间均以</w:t>
      </w:r>
      <w:r>
        <w:rPr>
          <w:rFonts w:hint="eastAsia"/>
          <w:color w:val="auto"/>
          <w:sz w:val="21"/>
          <w:szCs w:val="21"/>
          <w:lang w:val="en-US" w:eastAsia="zh-CN"/>
        </w:rPr>
        <w:t>365d计。</w:t>
      </w:r>
    </w:p>
    <w:p>
      <w:pPr>
        <w:numPr>
          <w:ilvl w:val="0"/>
          <w:numId w:val="0"/>
        </w:numPr>
        <w:spacing w:line="360" w:lineRule="auto"/>
        <w:ind w:firstLine="480" w:firstLineChars="200"/>
        <w:rPr>
          <w:rFonts w:hint="eastAsia"/>
          <w:color w:val="auto"/>
          <w:sz w:val="24"/>
          <w:highlight w:val="none"/>
          <w:lang w:eastAsia="zh-CN"/>
        </w:rPr>
      </w:pPr>
      <w:r>
        <w:rPr>
          <w:color w:val="auto"/>
          <w:sz w:val="24"/>
        </w:rPr>
        <w:t>项目区排水采用雨、污分流制，</w:t>
      </w:r>
      <w:r>
        <w:rPr>
          <w:rFonts w:hint="eastAsia"/>
          <w:color w:val="auto"/>
          <w:sz w:val="24"/>
          <w:lang w:val="en-US" w:eastAsia="zh-CN"/>
        </w:rPr>
        <w:t>雨水就近</w:t>
      </w:r>
      <w:r>
        <w:rPr>
          <w:rFonts w:hint="eastAsia"/>
          <w:color w:val="auto"/>
          <w:sz w:val="24"/>
        </w:rPr>
        <w:t>排入市政雨水管网</w:t>
      </w:r>
      <w:r>
        <w:rPr>
          <w:rFonts w:hint="eastAsia" w:cs="宋体"/>
          <w:color w:val="auto"/>
          <w:sz w:val="24"/>
          <w:lang w:eastAsia="zh-CN"/>
        </w:rPr>
        <w:t>；</w:t>
      </w:r>
      <w:r>
        <w:rPr>
          <w:color w:val="auto"/>
          <w:sz w:val="24"/>
        </w:rPr>
        <w:t>项目排放的废水</w:t>
      </w:r>
      <w:r>
        <w:rPr>
          <w:rFonts w:hint="eastAsia"/>
          <w:color w:val="auto"/>
          <w:sz w:val="24"/>
          <w:lang w:val="en-US" w:eastAsia="zh-CN"/>
        </w:rPr>
        <w:t>主要</w:t>
      </w:r>
      <w:r>
        <w:rPr>
          <w:color w:val="auto"/>
          <w:sz w:val="24"/>
        </w:rPr>
        <w:t>包括</w:t>
      </w:r>
      <w:r>
        <w:rPr>
          <w:rFonts w:hint="eastAsia"/>
          <w:color w:val="auto"/>
          <w:sz w:val="24"/>
        </w:rPr>
        <w:t>餐饮废水、</w:t>
      </w:r>
      <w:r>
        <w:rPr>
          <w:color w:val="auto"/>
          <w:sz w:val="24"/>
        </w:rPr>
        <w:t>医护</w:t>
      </w:r>
      <w:r>
        <w:rPr>
          <w:rFonts w:hint="eastAsia"/>
          <w:color w:val="auto"/>
          <w:sz w:val="24"/>
          <w:lang w:eastAsia="zh-CN"/>
        </w:rPr>
        <w:t>、后勤人员</w:t>
      </w:r>
      <w:r>
        <w:rPr>
          <w:color w:val="auto"/>
          <w:sz w:val="24"/>
        </w:rPr>
        <w:t>办公生活污水、</w:t>
      </w:r>
      <w:r>
        <w:rPr>
          <w:rFonts w:hint="eastAsia"/>
          <w:color w:val="auto"/>
          <w:sz w:val="24"/>
          <w:lang w:eastAsia="zh-CN"/>
        </w:rPr>
        <w:t>陪护人员生活污水、</w:t>
      </w:r>
      <w:r>
        <w:rPr>
          <w:color w:val="auto"/>
          <w:sz w:val="24"/>
        </w:rPr>
        <w:t>病房</w:t>
      </w:r>
      <w:r>
        <w:rPr>
          <w:rFonts w:hint="eastAsia"/>
          <w:color w:val="auto"/>
          <w:sz w:val="24"/>
          <w:lang w:eastAsia="zh-CN"/>
        </w:rPr>
        <w:t>、</w:t>
      </w:r>
      <w:r>
        <w:rPr>
          <w:color w:val="auto"/>
          <w:sz w:val="24"/>
        </w:rPr>
        <w:t>门</w:t>
      </w:r>
      <w:r>
        <w:rPr>
          <w:rFonts w:hint="eastAsia"/>
          <w:color w:val="auto"/>
          <w:sz w:val="24"/>
          <w:lang w:val="en-US" w:eastAsia="zh-CN"/>
        </w:rPr>
        <w:t>急</w:t>
      </w:r>
      <w:r>
        <w:rPr>
          <w:color w:val="auto"/>
          <w:sz w:val="24"/>
        </w:rPr>
        <w:t>诊产生的废水</w:t>
      </w:r>
      <w:r>
        <w:rPr>
          <w:rFonts w:hint="eastAsia"/>
          <w:color w:val="auto"/>
          <w:sz w:val="24"/>
          <w:lang w:eastAsia="zh-CN"/>
        </w:rPr>
        <w:t>、会务中心废水、</w:t>
      </w:r>
      <w:r>
        <w:rPr>
          <w:rFonts w:hint="eastAsia"/>
          <w:color w:val="auto"/>
          <w:sz w:val="24"/>
          <w:lang w:val="en-US" w:eastAsia="zh-CN"/>
        </w:rPr>
        <w:t>软水制备系统浓水、器具清洗废水、空调定期排水</w:t>
      </w:r>
      <w:r>
        <w:rPr>
          <w:rFonts w:hint="eastAsia"/>
          <w:color w:val="auto"/>
          <w:sz w:val="24"/>
        </w:rPr>
        <w:t>。</w:t>
      </w:r>
      <w:r>
        <w:rPr>
          <w:rFonts w:hint="eastAsia"/>
          <w:color w:val="auto"/>
          <w:sz w:val="24"/>
          <w:lang w:eastAsia="zh-CN"/>
        </w:rPr>
        <w:t>传染性废水经预消毒池处理后与其他废水一起进入</w:t>
      </w:r>
      <w:r>
        <w:rPr>
          <w:rFonts w:hint="eastAsia"/>
          <w:color w:val="auto"/>
          <w:sz w:val="24"/>
          <w:lang w:val="en-US" w:eastAsia="zh-CN"/>
        </w:rPr>
        <w:t>院区综合污水处理站处理</w:t>
      </w:r>
      <w:r>
        <w:rPr>
          <w:color w:val="auto"/>
          <w:sz w:val="24"/>
          <w:highlight w:val="none"/>
        </w:rPr>
        <w:t>，废水</w:t>
      </w:r>
      <w:r>
        <w:rPr>
          <w:rFonts w:hint="eastAsia"/>
          <w:color w:val="auto"/>
          <w:sz w:val="24"/>
          <w:highlight w:val="none"/>
          <w:lang w:val="en-US" w:eastAsia="zh-CN"/>
        </w:rPr>
        <w:t>经</w:t>
      </w:r>
      <w:r>
        <w:rPr>
          <w:color w:val="auto"/>
          <w:sz w:val="24"/>
          <w:highlight w:val="none"/>
        </w:rPr>
        <w:t>处理达到《医疗机构水污染物排放标准》GB18466-2005表</w:t>
      </w:r>
      <w:r>
        <w:rPr>
          <w:rFonts w:hint="eastAsia"/>
          <w:color w:val="auto"/>
          <w:sz w:val="24"/>
          <w:highlight w:val="none"/>
          <w:lang w:val="en-US" w:eastAsia="zh-CN"/>
        </w:rPr>
        <w:t>2</w:t>
      </w:r>
      <w:r>
        <w:rPr>
          <w:color w:val="auto"/>
          <w:sz w:val="24"/>
          <w:highlight w:val="none"/>
        </w:rPr>
        <w:t>中</w:t>
      </w:r>
      <w:r>
        <w:rPr>
          <w:rFonts w:hint="eastAsia"/>
          <w:color w:val="auto"/>
          <w:sz w:val="24"/>
          <w:highlight w:val="none"/>
        </w:rPr>
        <w:t>预处理</w:t>
      </w:r>
      <w:r>
        <w:rPr>
          <w:color w:val="auto"/>
          <w:sz w:val="24"/>
          <w:highlight w:val="none"/>
        </w:rPr>
        <w:t>标准</w:t>
      </w:r>
      <w:r>
        <w:rPr>
          <w:rFonts w:hint="eastAsia"/>
          <w:color w:val="auto"/>
          <w:sz w:val="24"/>
          <w:highlight w:val="none"/>
          <w:lang w:eastAsia="zh-CN"/>
        </w:rPr>
        <w:t>及十五里河污水处理厂接管标准</w:t>
      </w:r>
      <w:r>
        <w:rPr>
          <w:color w:val="auto"/>
          <w:sz w:val="24"/>
          <w:highlight w:val="none"/>
        </w:rPr>
        <w:t>后排入市政污水管网，</w:t>
      </w:r>
      <w:r>
        <w:rPr>
          <w:rFonts w:hint="eastAsia"/>
          <w:color w:val="auto"/>
          <w:sz w:val="24"/>
          <w:highlight w:val="none"/>
          <w:lang w:eastAsia="zh-CN"/>
        </w:rPr>
        <w:t>经十五里河污水处理厂</w:t>
      </w:r>
      <w:r>
        <w:rPr>
          <w:rFonts w:hint="eastAsia"/>
          <w:color w:val="auto"/>
          <w:sz w:val="24"/>
          <w:highlight w:val="none"/>
        </w:rPr>
        <w:t>处理</w:t>
      </w:r>
      <w:r>
        <w:rPr>
          <w:rFonts w:hint="eastAsia"/>
          <w:color w:val="auto"/>
          <w:sz w:val="24"/>
          <w:highlight w:val="none"/>
          <w:lang w:eastAsia="zh-CN"/>
        </w:rPr>
        <w:t>深度处理</w:t>
      </w:r>
      <w:r>
        <w:rPr>
          <w:rFonts w:hint="eastAsia"/>
          <w:color w:val="auto"/>
          <w:sz w:val="24"/>
          <w:highlight w:val="none"/>
        </w:rPr>
        <w:t>达标后</w:t>
      </w:r>
      <w:r>
        <w:rPr>
          <w:color w:val="auto"/>
          <w:sz w:val="24"/>
          <w:highlight w:val="none"/>
        </w:rPr>
        <w:t>排入</w:t>
      </w:r>
      <w:r>
        <w:rPr>
          <w:rFonts w:hint="eastAsia"/>
          <w:color w:val="auto"/>
          <w:sz w:val="24"/>
          <w:highlight w:val="none"/>
          <w:lang w:eastAsia="zh-CN"/>
        </w:rPr>
        <w:t>十五里河。</w:t>
      </w:r>
    </w:p>
    <w:p>
      <w:pPr>
        <w:numPr>
          <w:ilvl w:val="0"/>
          <w:numId w:val="0"/>
        </w:numPr>
        <w:spacing w:line="360" w:lineRule="auto"/>
        <w:ind w:firstLine="480" w:firstLineChars="200"/>
        <w:rPr>
          <w:rFonts w:hint="eastAsia"/>
          <w:color w:val="auto"/>
          <w:lang w:val="en-US" w:eastAsia="zh-CN"/>
        </w:rPr>
      </w:pPr>
      <w:r>
        <w:rPr>
          <w:rFonts w:hint="eastAsia"/>
          <w:color w:val="auto"/>
          <w:lang w:val="en-US" w:eastAsia="zh-CN"/>
        </w:rPr>
        <w:t>本</w:t>
      </w:r>
      <w:r>
        <w:rPr>
          <w:rFonts w:hint="eastAsia"/>
          <w:color w:val="auto"/>
          <w:sz w:val="24"/>
          <w:highlight w:val="none"/>
          <w:lang w:val="en-US" w:eastAsia="zh-CN"/>
        </w:rPr>
        <w:t>项目</w:t>
      </w:r>
      <w:r>
        <w:rPr>
          <w:rFonts w:hint="eastAsia"/>
          <w:color w:val="auto"/>
          <w:lang w:val="en-US" w:eastAsia="zh-CN"/>
        </w:rPr>
        <w:t>水平衡图如下：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cs="Times New Roman"/>
          <w:b/>
          <w:color w:val="auto"/>
          <w:sz w:val="21"/>
          <w:szCs w:val="21"/>
          <w:lang w:val="en-US"/>
        </w:rPr>
      </w:pPr>
      <w:r>
        <w:rPr>
          <w:color w:val="auto"/>
        </w:rPr>
        <w:object>
          <v:shape id="_x0000_i1026" o:spt="75" type="#_x0000_t75" style="height:277.5pt;width:403.6pt;" o:ole="t" filled="f" o:preferrelative="t" stroked="f" coordsize="21600,21600">
            <v:path/>
            <v:fill on="f" focussize="0,0"/>
            <v:stroke on="f"/>
            <v:imagedata r:id="rId31" cropbottom="18275f" o:title=""/>
            <o:lock v:ext="edit" aspectratio="f"/>
            <w10:wrap type="none"/>
            <w10:anchorlock/>
          </v:shape>
          <o:OLEObject Type="Embed" ProgID="Visio.Drawing.11" ShapeID="_x0000_i1026" DrawAspect="Content" ObjectID="_1468075726" r:id="rId30">
            <o:LockedField>false</o:LockedField>
          </o:OLEObject>
        </w:object>
      </w:r>
      <w:r>
        <w:rPr>
          <w:rFonts w:hint="default" w:ascii="Times New Roman" w:hAnsi="Times New Roman" w:cs="Times New Roman"/>
          <w:b/>
          <w:bCs/>
          <w:color w:val="auto"/>
          <w:sz w:val="21"/>
          <w:szCs w:val="21"/>
          <w:lang w:eastAsia="zh-CN"/>
        </w:rPr>
        <w:t>图</w:t>
      </w:r>
      <w:r>
        <w:rPr>
          <w:rFonts w:hint="eastAsia" w:cs="Times New Roman"/>
          <w:b/>
          <w:bCs/>
          <w:color w:val="auto"/>
          <w:sz w:val="21"/>
          <w:szCs w:val="21"/>
          <w:lang w:val="en-US" w:eastAsia="zh-CN"/>
        </w:rPr>
        <w:t>3</w:t>
      </w:r>
      <w:r>
        <w:rPr>
          <w:rFonts w:hint="eastAsia" w:ascii="Times New Roman" w:hAnsi="Times New Roman"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2-</w:t>
      </w:r>
      <w:r>
        <w:rPr>
          <w:rFonts w:hint="eastAsia" w:cs="Times New Roman"/>
          <w:b/>
          <w:bCs/>
          <w:color w:val="auto"/>
          <w:sz w:val="21"/>
          <w:szCs w:val="21"/>
          <w:lang w:val="en-US" w:eastAsia="zh-CN"/>
        </w:rPr>
        <w:t>5</w:t>
      </w:r>
      <w:r>
        <w:rPr>
          <w:rFonts w:hint="eastAsia" w:ascii="Times New Roman" w:hAnsi="Times New Roman" w:cs="Times New Roman"/>
          <w:b/>
          <w:bCs/>
          <w:color w:val="auto"/>
          <w:sz w:val="21"/>
          <w:szCs w:val="21"/>
          <w:lang w:val="en-US" w:eastAsia="zh-CN"/>
        </w:rPr>
        <w:t xml:space="preserve">  </w:t>
      </w:r>
      <w:r>
        <w:rPr>
          <w:rFonts w:hint="eastAsia" w:cs="Times New Roman"/>
          <w:b/>
          <w:bCs/>
          <w:color w:val="auto"/>
          <w:sz w:val="21"/>
          <w:szCs w:val="21"/>
          <w:lang w:val="en-US" w:eastAsia="zh-CN"/>
        </w:rPr>
        <w:t>项目</w:t>
      </w:r>
      <w:r>
        <w:rPr>
          <w:rFonts w:hint="default" w:ascii="Times New Roman" w:hAnsi="Times New Roman" w:cs="Times New Roman"/>
          <w:b/>
          <w:bCs/>
          <w:color w:val="auto"/>
          <w:sz w:val="21"/>
          <w:szCs w:val="21"/>
          <w:lang w:val="en-US" w:eastAsia="zh-CN"/>
        </w:rPr>
        <w:t xml:space="preserve">水平衡图 </w:t>
      </w:r>
      <w:r>
        <w:rPr>
          <w:rFonts w:hint="eastAsia" w:cs="Times New Roman"/>
          <w:b/>
          <w:bCs/>
          <w:color w:val="auto"/>
          <w:sz w:val="21"/>
          <w:szCs w:val="21"/>
          <w:lang w:val="en-US" w:eastAsia="zh-CN"/>
        </w:rPr>
        <w:t xml:space="preserve"> 单位：</w:t>
      </w:r>
      <w:r>
        <w:rPr>
          <w:rFonts w:hint="default" w:ascii="Times New Roman" w:hAnsi="Times New Roman" w:cs="Times New Roman"/>
          <w:b/>
          <w:bCs/>
          <w:color w:val="auto"/>
          <w:sz w:val="21"/>
          <w:szCs w:val="21"/>
          <w:lang w:val="en-US" w:eastAsia="zh-CN"/>
        </w:rPr>
        <w:t>m</w:t>
      </w:r>
      <w:r>
        <w:rPr>
          <w:rFonts w:hint="default" w:ascii="Times New Roman" w:hAnsi="Times New Roman"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/d</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rPr>
      </w:pPr>
      <w:r>
        <w:rPr>
          <w:rFonts w:hint="eastAsia"/>
          <w:color w:val="auto"/>
        </w:rPr>
        <w:t>（3）污染物产生情况</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hAnsi="宋体"/>
          <w:color w:val="auto"/>
        </w:rPr>
      </w:pPr>
      <w:r>
        <w:rPr>
          <w:rFonts w:hint="eastAsia" w:hAnsi="宋体"/>
          <w:color w:val="auto"/>
          <w:lang w:eastAsia="zh-CN"/>
        </w:rPr>
        <w:t>项目建成后新增的特殊门诊</w:t>
      </w:r>
      <w:r>
        <w:rPr>
          <w:rFonts w:hint="eastAsia" w:hAnsi="宋体"/>
          <w:color w:val="auto"/>
        </w:rPr>
        <w:t>废水经预消毒处理后与</w:t>
      </w:r>
      <w:r>
        <w:rPr>
          <w:rFonts w:hint="eastAsia" w:hAnsi="宋体"/>
          <w:color w:val="auto"/>
          <w:lang w:eastAsia="zh-CN"/>
        </w:rPr>
        <w:t>院区其他废水</w:t>
      </w:r>
      <w:r>
        <w:rPr>
          <w:rFonts w:hint="eastAsia" w:hAnsi="宋体"/>
          <w:color w:val="auto"/>
        </w:rPr>
        <w:t>一同排入</w:t>
      </w:r>
      <w:r>
        <w:rPr>
          <w:rFonts w:hint="eastAsia" w:hAnsi="宋体"/>
          <w:color w:val="auto"/>
          <w:lang w:eastAsia="zh-CN"/>
        </w:rPr>
        <w:t>院区</w:t>
      </w:r>
      <w:r>
        <w:rPr>
          <w:rFonts w:hint="eastAsia" w:hAnsi="宋体"/>
          <w:color w:val="auto"/>
        </w:rPr>
        <w:t>污水处理站处理</w:t>
      </w:r>
      <w:r>
        <w:rPr>
          <w:rFonts w:hint="eastAsia" w:hAnsi="宋体"/>
          <w:color w:val="auto"/>
          <w:lang w:eastAsia="zh-CN"/>
        </w:rPr>
        <w:t>，项目的废水经</w:t>
      </w:r>
      <w:r>
        <w:rPr>
          <w:rFonts w:hint="eastAsia" w:hAnsi="宋体"/>
          <w:color w:val="auto"/>
        </w:rPr>
        <w:t>处理后</w:t>
      </w:r>
      <w:r>
        <w:rPr>
          <w:rFonts w:hint="eastAsia" w:hAnsi="宋体"/>
          <w:color w:val="auto"/>
          <w:lang w:eastAsia="zh-CN"/>
        </w:rPr>
        <w:t>的能满足</w:t>
      </w:r>
      <w:r>
        <w:rPr>
          <w:rFonts w:hint="eastAsia" w:hAnsi="宋体"/>
          <w:color w:val="auto"/>
        </w:rPr>
        <w:t>《医疗机构水污染物排放标准》（GB18466-2005）表2预处理标准</w:t>
      </w:r>
      <w:r>
        <w:rPr>
          <w:rFonts w:hint="eastAsia" w:hAnsi="宋体"/>
          <w:color w:val="auto"/>
          <w:lang w:eastAsia="zh-CN"/>
        </w:rPr>
        <w:t>及十五里河污水处理厂接管标准</w:t>
      </w:r>
      <w:r>
        <w:rPr>
          <w:rFonts w:hint="eastAsia" w:hAnsi="宋体"/>
          <w:color w:val="auto"/>
        </w:rPr>
        <w:t>后通过医院总排口排出，最终进入</w:t>
      </w:r>
      <w:r>
        <w:rPr>
          <w:rFonts w:hint="eastAsia" w:hAnsi="宋体"/>
          <w:color w:val="auto"/>
          <w:lang w:eastAsia="zh-CN"/>
        </w:rPr>
        <w:t>十五里河污水处理厂</w:t>
      </w:r>
      <w:r>
        <w:rPr>
          <w:rFonts w:hint="eastAsia" w:hAnsi="宋体"/>
          <w:color w:val="auto"/>
        </w:rPr>
        <w:t>深度处理。</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color w:val="auto"/>
          <w:sz w:val="24"/>
          <w:highlight w:val="none"/>
          <w:lang w:eastAsia="zh-CN"/>
        </w:rPr>
      </w:pPr>
      <w:r>
        <w:rPr>
          <w:rFonts w:hAnsi="宋体"/>
          <w:color w:val="auto"/>
        </w:rPr>
        <w:t>根据《医院污水处理工程技术规范》</w:t>
      </w:r>
      <w:r>
        <w:rPr>
          <w:rFonts w:hAnsi="宋体"/>
          <w:color w:val="auto"/>
          <w:sz w:val="24"/>
        </w:rPr>
        <w:t>（HJ2029-2013）</w:t>
      </w:r>
      <w:r>
        <w:rPr>
          <w:rFonts w:hAnsi="宋体"/>
          <w:color w:val="auto"/>
        </w:rPr>
        <w:t>，一般医院污水</w:t>
      </w:r>
      <w:r>
        <w:rPr>
          <w:color w:val="auto"/>
        </w:rPr>
        <w:t>COD</w:t>
      </w:r>
      <w:r>
        <w:rPr>
          <w:color w:val="auto"/>
          <w:vertAlign w:val="subscript"/>
        </w:rPr>
        <w:t>Cr</w:t>
      </w:r>
      <w:r>
        <w:rPr>
          <w:rFonts w:hAnsi="宋体"/>
          <w:color w:val="auto"/>
        </w:rPr>
        <w:t>浓度为</w:t>
      </w:r>
      <w:r>
        <w:rPr>
          <w:rFonts w:hint="eastAsia"/>
          <w:color w:val="auto"/>
          <w:lang w:val="en-US" w:eastAsia="zh-CN"/>
        </w:rPr>
        <w:t>150</w:t>
      </w:r>
      <w:r>
        <w:rPr>
          <w:rFonts w:hAnsi="宋体"/>
          <w:color w:val="auto"/>
        </w:rPr>
        <w:t>～</w:t>
      </w:r>
      <w:r>
        <w:rPr>
          <w:color w:val="auto"/>
        </w:rPr>
        <w:t>300mg/L</w:t>
      </w:r>
      <w:r>
        <w:rPr>
          <w:rFonts w:hAnsi="宋体"/>
          <w:color w:val="auto"/>
        </w:rPr>
        <w:t>、</w:t>
      </w:r>
      <w:r>
        <w:rPr>
          <w:color w:val="auto"/>
        </w:rPr>
        <w:t>BOD</w:t>
      </w:r>
      <w:r>
        <w:rPr>
          <w:color w:val="auto"/>
          <w:vertAlign w:val="subscript"/>
        </w:rPr>
        <w:t>5</w:t>
      </w:r>
      <w:r>
        <w:rPr>
          <w:rFonts w:hAnsi="宋体"/>
          <w:color w:val="auto"/>
        </w:rPr>
        <w:t>浓度为</w:t>
      </w:r>
      <w:r>
        <w:rPr>
          <w:rFonts w:hint="eastAsia"/>
          <w:color w:val="auto"/>
          <w:lang w:val="en-US" w:eastAsia="zh-CN"/>
        </w:rPr>
        <w:t>80</w:t>
      </w:r>
      <w:r>
        <w:rPr>
          <w:color w:val="auto"/>
        </w:rPr>
        <w:t>~150mg/L</w:t>
      </w:r>
      <w:r>
        <w:rPr>
          <w:rFonts w:hAnsi="宋体"/>
          <w:color w:val="auto"/>
        </w:rPr>
        <w:t>、</w:t>
      </w:r>
      <w:r>
        <w:rPr>
          <w:color w:val="auto"/>
        </w:rPr>
        <w:t>SS</w:t>
      </w:r>
      <w:r>
        <w:rPr>
          <w:rFonts w:hAnsi="宋体"/>
          <w:color w:val="auto"/>
        </w:rPr>
        <w:t>浓度为</w:t>
      </w:r>
      <w:r>
        <w:rPr>
          <w:rFonts w:hint="eastAsia"/>
          <w:color w:val="auto"/>
          <w:lang w:val="en-US" w:eastAsia="zh-CN"/>
        </w:rPr>
        <w:t>40~120</w:t>
      </w:r>
      <w:r>
        <w:rPr>
          <w:color w:val="auto"/>
        </w:rPr>
        <w:t>mg/L</w:t>
      </w:r>
      <w:r>
        <w:rPr>
          <w:rFonts w:hAnsi="宋体"/>
          <w:color w:val="auto"/>
        </w:rPr>
        <w:t>、氨氮浓度为</w:t>
      </w:r>
      <w:r>
        <w:rPr>
          <w:color w:val="auto"/>
        </w:rPr>
        <w:t>10</w:t>
      </w:r>
      <w:r>
        <w:rPr>
          <w:rFonts w:hAnsi="宋体"/>
          <w:color w:val="auto"/>
        </w:rPr>
        <w:t>～</w:t>
      </w:r>
      <w:r>
        <w:rPr>
          <w:color w:val="auto"/>
        </w:rPr>
        <w:t>50mg/L</w:t>
      </w:r>
      <w:r>
        <w:rPr>
          <w:rFonts w:hAnsi="宋体"/>
          <w:color w:val="auto"/>
        </w:rPr>
        <w:t>，粪大肠杆菌</w:t>
      </w:r>
      <w:r>
        <w:rPr>
          <w:color w:val="auto"/>
        </w:rPr>
        <w:t>1.0×10</w:t>
      </w:r>
      <w:r>
        <w:rPr>
          <w:color w:val="auto"/>
          <w:vertAlign w:val="superscript"/>
        </w:rPr>
        <w:t xml:space="preserve"> 6</w:t>
      </w:r>
      <w:r>
        <w:rPr>
          <w:color w:val="auto"/>
        </w:rPr>
        <w:t>~3.0×10</w:t>
      </w:r>
      <w:r>
        <w:rPr>
          <w:color w:val="auto"/>
          <w:vertAlign w:val="superscript"/>
        </w:rPr>
        <w:t xml:space="preserve"> 8</w:t>
      </w:r>
      <w:r>
        <w:rPr>
          <w:rFonts w:hAnsi="宋体"/>
          <w:color w:val="auto"/>
        </w:rPr>
        <w:t>个</w:t>
      </w:r>
      <w:r>
        <w:rPr>
          <w:color w:val="auto"/>
        </w:rPr>
        <w:t>/L</w:t>
      </w:r>
      <w:r>
        <w:rPr>
          <w:rFonts w:hint="eastAsia" w:hAnsi="宋体" w:cs="宋体"/>
          <w:color w:val="auto"/>
          <w:lang w:eastAsia="zh-CN"/>
        </w:rPr>
        <w:t>，</w:t>
      </w:r>
      <w:r>
        <w:rPr>
          <w:rFonts w:hint="eastAsia" w:hAnsi="宋体"/>
          <w:color w:val="auto"/>
          <w:lang w:eastAsia="zh-CN"/>
        </w:rPr>
        <w:t>本项目</w:t>
      </w:r>
      <w:r>
        <w:rPr>
          <w:color w:val="auto"/>
          <w:sz w:val="24"/>
          <w:highlight w:val="none"/>
        </w:rPr>
        <w:t>医院废水产生浓度</w:t>
      </w:r>
      <w:r>
        <w:rPr>
          <w:rFonts w:hint="eastAsia" w:hAnsi="宋体" w:cs="宋体"/>
          <w:color w:val="auto"/>
          <w:lang w:eastAsia="zh-CN"/>
        </w:rPr>
        <w:t>保守</w:t>
      </w:r>
      <w:r>
        <w:rPr>
          <w:rFonts w:hint="eastAsia"/>
          <w:color w:val="auto"/>
          <w:sz w:val="24"/>
          <w:highlight w:val="none"/>
          <w:lang w:eastAsia="zh-CN"/>
        </w:rPr>
        <w:t>取污染物浓度最大值；项目的废水污染物排放情况参考</w:t>
      </w:r>
      <w:r>
        <w:rPr>
          <w:rFonts w:hint="eastAsia"/>
          <w:b w:val="0"/>
          <w:bCs w:val="0"/>
          <w:color w:val="auto"/>
          <w:lang w:val="en-US" w:eastAsia="zh-CN"/>
        </w:rPr>
        <w:t>《安徽医科大学附属阜阳医院自行检测报告（报告日期：2021年10月26日）》中水污染物浓度最大值。</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left"/>
        <w:textAlignment w:val="auto"/>
        <w:outlineLvl w:val="9"/>
        <w:rPr>
          <w:color w:val="auto"/>
          <w:sz w:val="24"/>
          <w:highlight w:val="none"/>
        </w:rPr>
      </w:pPr>
      <w:r>
        <w:rPr>
          <w:rFonts w:hint="eastAsia" w:hAnsi="宋体"/>
          <w:color w:val="auto"/>
          <w:highlight w:val="none"/>
          <w:lang w:val="en-US" w:eastAsia="zh-CN"/>
        </w:rPr>
        <w:t>本项目建成后全院废水</w:t>
      </w:r>
      <w:r>
        <w:rPr>
          <w:rFonts w:hint="eastAsia" w:hAnsi="宋体"/>
          <w:color w:val="auto"/>
          <w:highlight w:val="none"/>
        </w:rPr>
        <w:t>产生及处理后排放情况如下：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b/>
          <w:color w:val="auto"/>
          <w:sz w:val="21"/>
          <w:szCs w:val="21"/>
        </w:rPr>
      </w:pPr>
      <w:r>
        <w:rPr>
          <w:b/>
          <w:color w:val="auto"/>
          <w:sz w:val="21"/>
          <w:szCs w:val="21"/>
        </w:rPr>
        <w:t>表</w:t>
      </w:r>
      <w:r>
        <w:rPr>
          <w:rFonts w:hint="eastAsia"/>
          <w:b/>
          <w:color w:val="auto"/>
          <w:sz w:val="21"/>
          <w:szCs w:val="21"/>
          <w:lang w:val="en-US" w:eastAsia="zh-CN"/>
        </w:rPr>
        <w:t>3</w:t>
      </w:r>
      <w:r>
        <w:rPr>
          <w:rFonts w:hint="eastAsia"/>
          <w:b/>
          <w:color w:val="auto"/>
          <w:sz w:val="21"/>
          <w:szCs w:val="21"/>
        </w:rPr>
        <w:t>.2</w:t>
      </w:r>
      <w:r>
        <w:rPr>
          <w:b/>
          <w:color w:val="auto"/>
          <w:sz w:val="21"/>
          <w:szCs w:val="21"/>
        </w:rPr>
        <w:t>-</w:t>
      </w:r>
      <w:r>
        <w:rPr>
          <w:rFonts w:hint="eastAsia"/>
          <w:b/>
          <w:color w:val="auto"/>
          <w:sz w:val="21"/>
          <w:szCs w:val="21"/>
          <w:lang w:val="en-US" w:eastAsia="zh-CN"/>
        </w:rPr>
        <w:t>14</w:t>
      </w:r>
      <w:r>
        <w:rPr>
          <w:rFonts w:hint="eastAsia"/>
          <w:b/>
          <w:color w:val="auto"/>
          <w:sz w:val="21"/>
          <w:szCs w:val="21"/>
        </w:rPr>
        <w:t xml:space="preserve"> </w:t>
      </w:r>
      <w:r>
        <w:rPr>
          <w:rFonts w:hint="eastAsia"/>
          <w:b/>
          <w:color w:val="auto"/>
          <w:sz w:val="21"/>
          <w:szCs w:val="21"/>
          <w:lang w:val="en-US" w:eastAsia="zh-CN"/>
        </w:rPr>
        <w:t xml:space="preserve"> </w:t>
      </w:r>
      <w:r>
        <w:rPr>
          <w:rFonts w:hint="eastAsia"/>
          <w:b/>
          <w:color w:val="auto"/>
          <w:sz w:val="21"/>
          <w:szCs w:val="21"/>
        </w:rPr>
        <w:t>本项目</w:t>
      </w:r>
      <w:r>
        <w:rPr>
          <w:rFonts w:hint="eastAsia"/>
          <w:b/>
          <w:color w:val="auto"/>
          <w:sz w:val="21"/>
          <w:szCs w:val="21"/>
          <w:lang w:eastAsia="zh-CN"/>
        </w:rPr>
        <w:t>建成后全院</w:t>
      </w:r>
      <w:r>
        <w:rPr>
          <w:b/>
          <w:color w:val="auto"/>
          <w:sz w:val="21"/>
          <w:szCs w:val="21"/>
        </w:rPr>
        <w:t>废水污染物产生</w:t>
      </w:r>
      <w:r>
        <w:rPr>
          <w:rFonts w:hint="eastAsia"/>
          <w:b/>
          <w:color w:val="auto"/>
          <w:sz w:val="21"/>
          <w:szCs w:val="21"/>
        </w:rPr>
        <w:t>及排放</w:t>
      </w:r>
      <w:r>
        <w:rPr>
          <w:b/>
          <w:color w:val="auto"/>
          <w:sz w:val="21"/>
          <w:szCs w:val="21"/>
        </w:rPr>
        <w:t>情况一览表</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1698"/>
        <w:gridCol w:w="1667"/>
        <w:gridCol w:w="1349"/>
        <w:gridCol w:w="1094"/>
        <w:gridCol w:w="1094"/>
        <w:gridCol w:w="1094"/>
        <w:gridCol w:w="1094"/>
        <w:gridCol w:w="1097"/>
        <w:gridCol w:w="1698"/>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bookmarkStart w:id="45" w:name="OLE_LINK51"/>
            <w:r>
              <w:rPr>
                <w:rFonts w:hint="default" w:ascii="Times New Roman" w:hAnsi="Times New Roman" w:eastAsia="宋体" w:cs="Times New Roman"/>
                <w:color w:val="auto"/>
                <w:sz w:val="21"/>
                <w:szCs w:val="21"/>
                <w:highlight w:val="none"/>
              </w:rPr>
              <w:t>废水性质</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废水量</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eastAsia="zh-CN"/>
              </w:rPr>
              <w:t>）</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3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动植物油</w:t>
            </w:r>
          </w:p>
        </w:tc>
        <w:tc>
          <w:tcPr>
            <w:tcW w:w="5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粪大肠菌群</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MPN/L)</w:t>
            </w:r>
          </w:p>
        </w:tc>
        <w:tc>
          <w:tcPr>
            <w:tcW w:w="5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废水</w:t>
            </w:r>
          </w:p>
        </w:tc>
        <w:tc>
          <w:tcPr>
            <w:tcW w:w="59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传染性废水</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处理前</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36306</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3.0×108</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感染楼废水，预消毒后进入</w:t>
            </w:r>
            <w:r>
              <w:rPr>
                <w:rFonts w:hint="eastAsia" w:cs="Times New Roman"/>
                <w:i w:val="0"/>
                <w:iCs w:val="0"/>
                <w:color w:val="auto"/>
                <w:kern w:val="0"/>
                <w:sz w:val="21"/>
                <w:szCs w:val="21"/>
                <w:highlight w:val="none"/>
                <w:u w:val="none"/>
                <w:lang w:val="en-US" w:eastAsia="zh-CN" w:bidi="ar"/>
              </w:rPr>
              <w:t>院区</w:t>
            </w:r>
            <w:r>
              <w:rPr>
                <w:rFonts w:hint="default" w:ascii="Times New Roman" w:hAnsi="Times New Roman" w:eastAsia="宋体" w:cs="Times New Roman"/>
                <w:i w:val="0"/>
                <w:iCs w:val="0"/>
                <w:color w:val="auto"/>
                <w:kern w:val="0"/>
                <w:sz w:val="21"/>
                <w:szCs w:val="21"/>
                <w:highlight w:val="none"/>
                <w:u w:val="none"/>
                <w:lang w:val="en-US" w:eastAsia="zh-CN" w:bidi="ar"/>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去除率</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≥99.9999%</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处理后</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3000</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废水</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产生浓度（mg/L）</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350327</w:t>
            </w:r>
            <w:r>
              <w:rPr>
                <w:rFonts w:hint="eastAsia" w:ascii="Times New Roman" w:hAnsi="Times New Roman" w:eastAsia="宋体" w:cs="Times New Roman"/>
                <w:color w:val="auto"/>
                <w:kern w:val="2"/>
                <w:sz w:val="21"/>
                <w:szCs w:val="21"/>
                <w:vertAlign w:val="baseline"/>
                <w:lang w:val="en-US" w:eastAsia="zh-CN" w:bidi="ar-SA"/>
              </w:rPr>
              <w:t>（含传染性废水</w:t>
            </w:r>
            <w:r>
              <w:rPr>
                <w:rFonts w:hint="default" w:ascii="Times New Roman" w:hAnsi="Times New Roman" w:eastAsia="宋体" w:cs="Times New Roman"/>
                <w:color w:val="auto"/>
                <w:kern w:val="2"/>
                <w:sz w:val="21"/>
                <w:szCs w:val="21"/>
                <w:vertAlign w:val="baseline"/>
                <w:lang w:val="en-US" w:eastAsia="zh-CN" w:bidi="ar-SA"/>
              </w:rPr>
              <w:t>36306</w:t>
            </w:r>
            <w:r>
              <w:rPr>
                <w:rFonts w:hint="eastAsia" w:ascii="Times New Roman" w:hAnsi="Times New Roman" w:eastAsia="宋体" w:cs="Times New Roman"/>
                <w:color w:val="auto"/>
                <w:kern w:val="2"/>
                <w:sz w:val="21"/>
                <w:szCs w:val="21"/>
                <w:vertAlign w:val="baseline"/>
                <w:lang w:val="en-US" w:eastAsia="zh-CN" w:bidi="ar-SA"/>
              </w:rPr>
              <w:t>）</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院区区污水处理站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105.10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52.55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42.04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17.52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0.35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去除率</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84%</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46%</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66%</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≥99.9999%</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排放浓度（mg/L）</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19</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27</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0.34</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15.76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2.80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6.66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9.46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0.12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1186"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污染物削减量</w:t>
            </w:r>
            <w:r>
              <w:rPr>
                <w:rFonts w:hint="default" w:ascii="Times New Roman" w:hAnsi="Times New Roman" w:eastAsia="宋体" w:cs="Times New Roman"/>
                <w:color w:val="auto"/>
                <w:sz w:val="21"/>
                <w:szCs w:val="21"/>
                <w:highlight w:val="none"/>
              </w:rPr>
              <w:t>（t/a）</w:t>
            </w:r>
          </w:p>
        </w:tc>
        <w:tc>
          <w:tcPr>
            <w:tcW w:w="47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89.33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49.75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35.38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8.06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0.23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建成后总排口</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664227</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19</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27</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0.34</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1000</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全院</w:t>
            </w:r>
            <w:r>
              <w:rPr>
                <w:rFonts w:hint="eastAsia" w:ascii="Times New Roman" w:hAnsi="Times New Roman" w:eastAsia="宋体" w:cs="Times New Roman"/>
                <w:color w:val="auto"/>
                <w:sz w:val="21"/>
                <w:szCs w:val="21"/>
                <w:highlight w:val="none"/>
                <w:lang w:eastAsia="zh-CN"/>
              </w:rPr>
              <w:t>废水总排放量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29.89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5.31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12.62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17.93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0.23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医院</w:t>
            </w:r>
            <w:r>
              <w:rPr>
                <w:rFonts w:hint="eastAsia" w:ascii="Times New Roman" w:hAnsi="Times New Roman" w:eastAsia="宋体" w:cs="Times New Roman"/>
                <w:b/>
                <w:bCs/>
                <w:color w:val="auto"/>
                <w:sz w:val="21"/>
                <w:szCs w:val="21"/>
                <w:highlight w:val="none"/>
                <w:lang w:val="en-US" w:eastAsia="zh-CN"/>
              </w:rPr>
              <w:t>总排口排放</w:t>
            </w:r>
            <w:r>
              <w:rPr>
                <w:rFonts w:hint="default" w:ascii="Times New Roman" w:hAnsi="Times New Roman" w:eastAsia="宋体" w:cs="Times New Roman"/>
                <w:b/>
                <w:bCs/>
                <w:color w:val="auto"/>
                <w:sz w:val="21"/>
                <w:szCs w:val="21"/>
                <w:highlight w:val="none"/>
              </w:rPr>
              <w:t>标准（mg/L）</w:t>
            </w:r>
          </w:p>
        </w:tc>
        <w:tc>
          <w:tcPr>
            <w:tcW w:w="47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250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100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60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35</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20</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5000</w:t>
            </w:r>
          </w:p>
        </w:tc>
        <w:tc>
          <w:tcPr>
            <w:tcW w:w="59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十五里河</w:t>
            </w:r>
            <w:r>
              <w:rPr>
                <w:rFonts w:hint="default" w:ascii="Times New Roman" w:hAnsi="Times New Roman" w:eastAsia="宋体" w:cs="Times New Roman"/>
                <w:color w:val="auto"/>
                <w:sz w:val="21"/>
                <w:szCs w:val="21"/>
                <w:highlight w:val="none"/>
              </w:rPr>
              <w:t>污水处理厂处理后</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664227</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0.34</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1000</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全院</w:t>
            </w:r>
            <w:r>
              <w:rPr>
                <w:rFonts w:hint="eastAsia" w:ascii="Times New Roman" w:hAnsi="Times New Roman" w:eastAsia="宋体" w:cs="Times New Roman"/>
                <w:color w:val="auto"/>
                <w:sz w:val="21"/>
                <w:szCs w:val="21"/>
                <w:highlight w:val="none"/>
                <w:lang w:eastAsia="zh-CN"/>
              </w:rPr>
              <w:t>废水总排放量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29.89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5.31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6.64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3.32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0.23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bookmarkEnd w:id="45"/>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b w:val="0"/>
          <w:bCs w:val="0"/>
          <w:color w:val="auto"/>
          <w:highlight w:val="none"/>
          <w:lang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lang w:val="en-US" w:eastAsia="zh-CN"/>
        </w:rPr>
      </w:pPr>
      <w:r>
        <w:rPr>
          <w:rFonts w:hint="eastAsia" w:cs="Times New Roman"/>
          <w:b w:val="0"/>
          <w:bCs w:val="0"/>
          <w:color w:val="auto"/>
          <w:highlight w:val="none"/>
          <w:lang w:val="en-US" w:eastAsia="zh-CN"/>
        </w:rPr>
        <w:t>建设单位拟</w:t>
      </w:r>
      <w:r>
        <w:rPr>
          <w:rFonts w:hint="eastAsia" w:ascii="Times New Roman" w:hAnsi="Times New Roman" w:eastAsia="宋体" w:cs="Times New Roman"/>
          <w:b w:val="0"/>
          <w:bCs w:val="0"/>
          <w:color w:val="auto"/>
          <w:highlight w:val="none"/>
          <w:lang w:val="en-US" w:eastAsia="zh-CN"/>
        </w:rPr>
        <w:t>建一座处理能力为</w:t>
      </w:r>
      <w:r>
        <w:rPr>
          <w:rFonts w:hint="eastAsia" w:cs="Times New Roman"/>
          <w:b w:val="0"/>
          <w:bCs w:val="0"/>
          <w:color w:val="auto"/>
          <w:highlight w:val="none"/>
          <w:lang w:val="en-US" w:eastAsia="zh-CN"/>
        </w:rPr>
        <w:t>2000</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rPr>
        <w:t>/d</w:t>
      </w:r>
      <w:r>
        <w:rPr>
          <w:rFonts w:hint="default" w:ascii="Times New Roman" w:hAnsi="Times New Roman" w:eastAsia="宋体" w:cs="Times New Roman"/>
          <w:b w:val="0"/>
          <w:bCs w:val="0"/>
          <w:color w:val="auto"/>
          <w:highlight w:val="none"/>
          <w:lang w:val="en-US" w:eastAsia="zh-CN"/>
        </w:rPr>
        <w:t>的</w:t>
      </w:r>
      <w:r>
        <w:rPr>
          <w:rFonts w:hint="eastAsia" w:cs="Times New Roman"/>
          <w:b w:val="0"/>
          <w:bCs w:val="0"/>
          <w:color w:val="auto"/>
          <w:highlight w:val="none"/>
          <w:lang w:val="en-US" w:eastAsia="zh-CN"/>
        </w:rPr>
        <w:t>综合</w:t>
      </w:r>
      <w:r>
        <w:rPr>
          <w:rFonts w:hint="default" w:ascii="Times New Roman" w:hAnsi="Times New Roman" w:eastAsia="宋体" w:cs="Times New Roman"/>
          <w:b w:val="0"/>
          <w:bCs w:val="0"/>
          <w:color w:val="auto"/>
          <w:highlight w:val="none"/>
          <w:lang w:val="en-US" w:eastAsia="zh-CN"/>
        </w:rPr>
        <w:t>污水处理站</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eastAsia="zh-CN"/>
        </w:rPr>
        <w:t>本项目建成后进入污水处理站的废水总计约</w:t>
      </w:r>
      <w:r>
        <w:rPr>
          <w:rFonts w:hint="eastAsia" w:cs="Times New Roman"/>
          <w:b w:val="0"/>
          <w:bCs w:val="0"/>
          <w:color w:val="auto"/>
          <w:highlight w:val="none"/>
          <w:lang w:val="en-US" w:eastAsia="zh-CN"/>
        </w:rPr>
        <w:t>936.5</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，未超出</w:t>
      </w:r>
      <w:r>
        <w:rPr>
          <w:rFonts w:hint="eastAsia" w:cs="Times New Roman"/>
          <w:b w:val="0"/>
          <w:bCs w:val="0"/>
          <w:color w:val="auto"/>
          <w:highlight w:val="none"/>
          <w:lang w:eastAsia="zh-CN"/>
        </w:rPr>
        <w:t>污水处理站</w:t>
      </w:r>
      <w:r>
        <w:rPr>
          <w:rFonts w:hint="eastAsia" w:ascii="Times New Roman" w:hAnsi="Times New Roman" w:eastAsia="宋体" w:cs="Times New Roman"/>
          <w:b w:val="0"/>
          <w:bCs w:val="0"/>
          <w:color w:val="auto"/>
          <w:highlight w:val="none"/>
          <w:lang w:val="en-US" w:eastAsia="zh-CN"/>
        </w:rPr>
        <w:t>设计规模</w:t>
      </w:r>
      <w:r>
        <w:rPr>
          <w:rFonts w:hint="eastAsia" w:ascii="Times New Roman" w:hAnsi="Times New Roman" w:eastAsia="宋体" w:cs="宋体"/>
          <w:b w:val="0"/>
          <w:bCs w:val="0"/>
          <w:color w:val="auto"/>
          <w:highlight w:val="none"/>
          <w:lang w:val="en-US" w:eastAsia="zh-CN"/>
        </w:rPr>
        <w:t>；</w:t>
      </w:r>
      <w:r>
        <w:rPr>
          <w:rFonts w:hint="eastAsia" w:cs="Times New Roman"/>
          <w:b w:val="0"/>
          <w:bCs w:val="0"/>
          <w:color w:val="auto"/>
          <w:highlight w:val="none"/>
          <w:lang w:val="en-US" w:eastAsia="zh-CN"/>
        </w:rPr>
        <w:t>按照《医院污水处理工程技术规范》（HJ2029-2013）中</w:t>
      </w:r>
      <w:r>
        <w:rPr>
          <w:rFonts w:hint="eastAsia" w:cs="宋体"/>
          <w:b w:val="0"/>
          <w:bCs w:val="0"/>
          <w:color w:val="auto"/>
          <w:highlight w:val="none"/>
          <w:lang w:val="en-US" w:eastAsia="zh-CN"/>
        </w:rPr>
        <w:t>“</w:t>
      </w:r>
      <w:r>
        <w:rPr>
          <w:rFonts w:hint="eastAsia" w:cs="Times New Roman"/>
          <w:b w:val="0"/>
          <w:bCs w:val="0"/>
          <w:color w:val="auto"/>
          <w:highlight w:val="none"/>
          <w:lang w:val="en-US" w:eastAsia="zh-CN"/>
        </w:rPr>
        <w:t>4.2.4医院污水处理工程设计水量应在实测或测算的基础上留有设计裕量，设计裕量宜取实测值或测算值的10%~20%</w:t>
      </w:r>
      <w:r>
        <w:rPr>
          <w:rFonts w:hint="eastAsia" w:cs="宋体"/>
          <w:b w:val="0"/>
          <w:bCs w:val="0"/>
          <w:color w:val="auto"/>
          <w:highlight w:val="none"/>
          <w:lang w:val="en-US" w:eastAsia="zh-CN"/>
        </w:rPr>
        <w:t>”</w:t>
      </w:r>
      <w:r>
        <w:rPr>
          <w:rFonts w:hint="eastAsia" w:cs="Times New Roman"/>
          <w:b w:val="0"/>
          <w:bCs w:val="0"/>
          <w:color w:val="auto"/>
          <w:highlight w:val="none"/>
          <w:lang w:val="en-US" w:eastAsia="zh-CN"/>
        </w:rPr>
        <w:t>，本项目取20%，则计算得到污水处理站污水处理设计量应不低于1060</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default" w:ascii="Times New Roman" w:hAnsi="Times New Roman" w:eastAsia="宋体" w:cs="Times New Roman"/>
          <w:b w:val="0"/>
          <w:bCs w:val="0"/>
          <w:color w:val="auto"/>
          <w:highlight w:val="none"/>
          <w:lang w:eastAsia="zh-CN"/>
        </w:rPr>
        <w:t>。</w:t>
      </w:r>
      <w:r>
        <w:rPr>
          <w:rFonts w:hint="eastAsia" w:ascii="Times New Roman" w:hAnsi="Times New Roman" w:eastAsia="宋体" w:cs="Times New Roman"/>
          <w:b w:val="0"/>
          <w:bCs w:val="0"/>
          <w:color w:val="auto"/>
          <w:highlight w:val="none"/>
          <w:lang w:val="en-US" w:eastAsia="zh-CN"/>
        </w:rPr>
        <w:t>综上，本项目建成后污水处理站均能满足要求。</w:t>
      </w:r>
    </w:p>
    <w:p>
      <w:pPr>
        <w:keepNext w:val="0"/>
        <w:keepLines w:val="0"/>
        <w:pageBreakBefore w:val="0"/>
        <w:kinsoku/>
        <w:wordWrap/>
        <w:overflowPunct/>
        <w:topLinePunct w:val="0"/>
        <w:autoSpaceDE/>
        <w:autoSpaceDN/>
        <w:bidi w:val="0"/>
        <w:adjustRightInd/>
        <w:snapToGrid/>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排放情况</w:t>
      </w:r>
    </w:p>
    <w:p>
      <w:pPr>
        <w:spacing w:line="360" w:lineRule="auto"/>
        <w:ind w:firstLine="480" w:firstLineChars="200"/>
        <w:rPr>
          <w:color w:val="auto"/>
          <w:sz w:val="24"/>
        </w:rPr>
      </w:pPr>
      <w:r>
        <w:rPr>
          <w:color w:val="auto"/>
          <w:sz w:val="24"/>
        </w:rPr>
        <w:t>从上表可以看出，本项目建成并运营后，废水经医院自建污水处理设施处理达到《医疗机构水污染物排放标准》</w:t>
      </w:r>
      <w:r>
        <w:rPr>
          <w:rFonts w:hint="eastAsia"/>
          <w:color w:val="auto"/>
          <w:sz w:val="24"/>
          <w:lang w:eastAsia="zh-CN"/>
        </w:rPr>
        <w:t>（</w:t>
      </w:r>
      <w:r>
        <w:rPr>
          <w:color w:val="auto"/>
          <w:sz w:val="24"/>
        </w:rPr>
        <w:t>GB18466-2005</w:t>
      </w:r>
      <w:r>
        <w:rPr>
          <w:rFonts w:hint="eastAsia"/>
          <w:color w:val="auto"/>
          <w:sz w:val="24"/>
          <w:lang w:eastAsia="zh-CN"/>
        </w:rPr>
        <w:t>）</w:t>
      </w:r>
      <w:r>
        <w:rPr>
          <w:color w:val="auto"/>
          <w:sz w:val="24"/>
        </w:rPr>
        <w:t>表</w:t>
      </w:r>
      <w:r>
        <w:rPr>
          <w:rFonts w:hint="eastAsia"/>
          <w:color w:val="auto"/>
          <w:sz w:val="24"/>
          <w:lang w:val="en-US" w:eastAsia="zh-CN"/>
        </w:rPr>
        <w:t>2</w:t>
      </w:r>
      <w:r>
        <w:rPr>
          <w:color w:val="auto"/>
          <w:sz w:val="24"/>
        </w:rPr>
        <w:t>中预处理标准</w:t>
      </w:r>
      <w:r>
        <w:rPr>
          <w:rFonts w:hint="eastAsia"/>
          <w:color w:val="auto"/>
          <w:sz w:val="24"/>
          <w:lang w:eastAsia="zh-CN"/>
        </w:rPr>
        <w:t>及十五里河污水处理厂接管标准</w:t>
      </w:r>
      <w:r>
        <w:rPr>
          <w:color w:val="auto"/>
          <w:sz w:val="24"/>
        </w:rPr>
        <w:t>排入市政污水管网，</w:t>
      </w:r>
      <w:r>
        <w:rPr>
          <w:rFonts w:hint="eastAsia"/>
          <w:color w:val="auto"/>
          <w:sz w:val="24"/>
          <w:lang w:eastAsia="zh-CN"/>
        </w:rPr>
        <w:t>经十五里河污水处理厂</w:t>
      </w:r>
      <w:r>
        <w:rPr>
          <w:color w:val="auto"/>
          <w:sz w:val="24"/>
        </w:rPr>
        <w:t>处理</w:t>
      </w:r>
      <w:r>
        <w:rPr>
          <w:rFonts w:hint="eastAsia"/>
          <w:color w:val="auto"/>
          <w:sz w:val="24"/>
        </w:rPr>
        <w:t>达到</w:t>
      </w:r>
      <w:r>
        <w:rPr>
          <w:bCs/>
          <w:color w:val="auto"/>
        </w:rPr>
        <w:t>《城镇污水处理厂污染物排放标准》（GB18918</w:t>
      </w:r>
      <w:r>
        <w:rPr>
          <w:rFonts w:hint="eastAsia"/>
          <w:bCs/>
          <w:color w:val="auto"/>
          <w:lang w:val="en-US" w:eastAsia="zh-CN"/>
        </w:rPr>
        <w:t>-</w:t>
      </w:r>
      <w:r>
        <w:rPr>
          <w:bCs/>
          <w:color w:val="auto"/>
        </w:rPr>
        <w:t>2002）中一级标准的A标准</w:t>
      </w:r>
      <w:r>
        <w:rPr>
          <w:rFonts w:hint="eastAsia"/>
          <w:color w:val="auto"/>
          <w:sz w:val="24"/>
        </w:rPr>
        <w:t>后</w:t>
      </w:r>
      <w:r>
        <w:rPr>
          <w:color w:val="auto"/>
          <w:sz w:val="24"/>
        </w:rPr>
        <w:t>排入</w:t>
      </w:r>
      <w:r>
        <w:rPr>
          <w:rFonts w:hint="eastAsia"/>
          <w:color w:val="auto"/>
          <w:sz w:val="24"/>
          <w:lang w:eastAsia="zh-CN"/>
        </w:rPr>
        <w:t>十五里河</w:t>
      </w:r>
      <w:r>
        <w:rPr>
          <w:color w:val="auto"/>
          <w:sz w:val="24"/>
        </w:rPr>
        <w:t>。</w:t>
      </w:r>
    </w:p>
    <w:p>
      <w:pPr>
        <w:pStyle w:val="2"/>
        <w:pageBreakBefore w:val="0"/>
        <w:widowControl w:val="0"/>
        <w:numPr>
          <w:ilvl w:val="3"/>
          <w:numId w:val="0"/>
        </w:numPr>
        <w:kinsoku/>
        <w:wordWrap/>
        <w:overflowPunct/>
        <w:topLinePunct w:val="0"/>
        <w:autoSpaceDE/>
        <w:autoSpaceDN/>
        <w:bidi w:val="0"/>
        <w:adjustRightInd/>
        <w:snapToGrid/>
        <w:spacing w:before="0" w:after="0" w:line="360" w:lineRule="auto"/>
        <w:textAlignment w:val="auto"/>
        <w:rPr>
          <w:rFonts w:hint="eastAsia"/>
          <w:color w:val="auto"/>
        </w:rPr>
      </w:pPr>
      <w:r>
        <w:rPr>
          <w:rFonts w:hint="eastAsia"/>
          <w:color w:val="auto"/>
          <w:lang w:val="en-US" w:eastAsia="zh-CN"/>
        </w:rPr>
        <w:t>3.2.2.2</w:t>
      </w:r>
      <w:r>
        <w:rPr>
          <w:rFonts w:hint="eastAsia"/>
          <w:color w:val="auto"/>
        </w:rPr>
        <w:t>大气污染源分析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color w:val="auto"/>
          <w:highlight w:val="none"/>
        </w:rPr>
      </w:pPr>
      <w:r>
        <w:rPr>
          <w:rFonts w:hint="eastAsia" w:hAnsi="宋体"/>
          <w:color w:val="auto"/>
          <w:highlight w:val="none"/>
        </w:rPr>
        <w:t>项目</w:t>
      </w:r>
      <w:r>
        <w:rPr>
          <w:rFonts w:hAnsi="宋体"/>
          <w:color w:val="auto"/>
          <w:highlight w:val="none"/>
        </w:rPr>
        <w:t>废气主要为汽车尾气、污水处理站恶臭</w:t>
      </w:r>
      <w:r>
        <w:rPr>
          <w:rFonts w:hint="eastAsia" w:hAnsi="宋体"/>
          <w:color w:val="auto"/>
          <w:highlight w:val="none"/>
          <w:lang w:eastAsia="zh-CN"/>
        </w:rPr>
        <w:t>、</w:t>
      </w:r>
      <w:r>
        <w:rPr>
          <w:rFonts w:hint="eastAsia" w:hAnsi="宋体"/>
          <w:color w:val="auto"/>
          <w:highlight w:val="none"/>
          <w:lang w:val="en-US" w:eastAsia="zh-CN"/>
        </w:rPr>
        <w:t>食堂油烟</w:t>
      </w:r>
      <w:r>
        <w:rPr>
          <w:rFonts w:hint="eastAsia" w:hAnsi="宋体"/>
          <w:color w:val="auto"/>
          <w:highlight w:val="none"/>
          <w:lang w:eastAsia="zh-CN"/>
        </w:rPr>
        <w:t>、天然气锅炉燃烧</w:t>
      </w:r>
      <w:r>
        <w:rPr>
          <w:rFonts w:hint="eastAsia" w:hAnsi="宋体"/>
          <w:color w:val="auto"/>
          <w:highlight w:val="none"/>
          <w:lang w:val="en-US" w:eastAsia="zh-CN"/>
        </w:rPr>
        <w:t>废气以及</w:t>
      </w:r>
      <w:r>
        <w:rPr>
          <w:rFonts w:hint="eastAsia" w:hAnsi="宋体"/>
          <w:color w:val="auto"/>
          <w:highlight w:val="none"/>
        </w:rPr>
        <w:t>柴油发电机应急时产生的烟气</w:t>
      </w:r>
      <w:r>
        <w:rPr>
          <w:rFonts w:hAnsi="宋体"/>
          <w:color w:val="auto"/>
          <w:highlight w:val="none"/>
        </w:rPr>
        <w:t>。</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right="0" w:rightChars="0" w:firstLine="480"/>
        <w:textAlignment w:val="auto"/>
        <w:outlineLvl w:val="9"/>
        <w:rPr>
          <w:color w:val="auto"/>
        </w:rPr>
      </w:pPr>
      <w:r>
        <w:rPr>
          <w:color w:val="auto"/>
        </w:rPr>
        <w:t>汽车尾气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color w:val="auto"/>
        </w:rPr>
      </w:pPr>
      <w:r>
        <w:rPr>
          <w:color w:val="auto"/>
        </w:rPr>
        <w:t>该项目汽车尾气主要来自于设置的停车场泊车排放。</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outlineLvl w:val="9"/>
        <w:rPr>
          <w:rFonts w:hint="eastAsia" w:hAnsi="宋体"/>
          <w:bCs/>
          <w:color w:val="auto"/>
        </w:rPr>
      </w:pPr>
      <w:r>
        <w:rPr>
          <w:color w:val="auto"/>
        </w:rPr>
        <w:t>建设项目拟</w:t>
      </w:r>
      <w:r>
        <w:rPr>
          <w:rFonts w:hint="eastAsia"/>
          <w:color w:val="auto"/>
          <w:lang w:eastAsia="zh-CN"/>
        </w:rPr>
        <w:t>新增</w:t>
      </w:r>
      <w:r>
        <w:rPr>
          <w:color w:val="auto"/>
        </w:rPr>
        <w:t>停车场机动车泊</w:t>
      </w:r>
      <w:r>
        <w:rPr>
          <w:color w:val="auto"/>
        </w:rPr>
        <w:t>位</w:t>
      </w:r>
      <w:r>
        <w:rPr>
          <w:rFonts w:hint="eastAsia" w:hAnsi="宋体"/>
          <w:color w:val="auto"/>
          <w:szCs w:val="21"/>
          <w:lang w:val="en-US" w:eastAsia="zh-CN"/>
        </w:rPr>
        <w:t>1930</w:t>
      </w:r>
      <w:r>
        <w:rPr>
          <w:color w:val="auto"/>
        </w:rPr>
        <w:t>个</w:t>
      </w:r>
      <w:r>
        <w:rPr>
          <w:color w:val="auto"/>
        </w:rPr>
        <w:t>，其中地</w:t>
      </w:r>
      <w:r>
        <w:rPr>
          <w:rFonts w:hint="eastAsia"/>
          <w:color w:val="auto"/>
        </w:rPr>
        <w:t>面</w:t>
      </w:r>
      <w:r>
        <w:rPr>
          <w:rFonts w:hint="eastAsia"/>
          <w:color w:val="auto"/>
          <w:lang w:val="en-US" w:eastAsia="zh-CN"/>
        </w:rPr>
        <w:t>1855</w:t>
      </w:r>
      <w:r>
        <w:rPr>
          <w:color w:val="auto"/>
        </w:rPr>
        <w:t>个，地下</w:t>
      </w:r>
      <w:r>
        <w:rPr>
          <w:rFonts w:hint="eastAsia"/>
          <w:color w:val="auto"/>
          <w:lang w:val="en-US" w:eastAsia="zh-CN"/>
        </w:rPr>
        <w:t>75</w:t>
      </w:r>
      <w:r>
        <w:rPr>
          <w:color w:val="auto"/>
        </w:rPr>
        <w:t>个。</w:t>
      </w:r>
      <w:r>
        <w:rPr>
          <w:rFonts w:hint="eastAsia"/>
          <w:color w:val="auto"/>
        </w:rPr>
        <w:t>地上停车场地面停车采用化整为零的策略，结合地形和环形道路网布置，采用草坪砖铺砌，</w:t>
      </w:r>
      <w:r>
        <w:rPr>
          <w:color w:val="auto"/>
        </w:rPr>
        <w:t>本项目</w:t>
      </w:r>
      <w:r>
        <w:rPr>
          <w:rFonts w:hint="eastAsia"/>
          <w:color w:val="auto"/>
        </w:rPr>
        <w:t>地面停车场</w:t>
      </w:r>
      <w:r>
        <w:rPr>
          <w:color w:val="auto"/>
        </w:rPr>
        <w:t>汽车尾气无法集中控制，属于无规律间歇性排放，因此应遵守国家对汽车尾气排放的年检制度，并做好</w:t>
      </w:r>
      <w:r>
        <w:rPr>
          <w:rFonts w:hint="eastAsia"/>
          <w:color w:val="auto"/>
        </w:rPr>
        <w:t>停车场</w:t>
      </w:r>
      <w:r>
        <w:rPr>
          <w:color w:val="auto"/>
        </w:rPr>
        <w:t>周边的绿化，避免尾气集聚浓度增加。</w:t>
      </w:r>
      <w:r>
        <w:rPr>
          <w:rFonts w:hint="eastAsia" w:hAnsi="宋体"/>
          <w:color w:val="auto"/>
        </w:rPr>
        <w:t>在此基础上</w:t>
      </w:r>
      <w:r>
        <w:rPr>
          <w:rFonts w:hint="eastAsia" w:hAnsi="宋体"/>
          <w:bCs/>
          <w:color w:val="auto"/>
        </w:rPr>
        <w:t>地上停车场</w:t>
      </w:r>
      <w:r>
        <w:rPr>
          <w:rFonts w:hAnsi="宋体"/>
          <w:bCs/>
          <w:color w:val="auto"/>
        </w:rPr>
        <w:t>产生的废气对周边环境影响较小。</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outlineLvl w:val="9"/>
        <w:rPr>
          <w:rFonts w:hint="eastAsia"/>
          <w:color w:val="auto"/>
        </w:rPr>
      </w:pPr>
      <w:r>
        <w:rPr>
          <w:rFonts w:hint="eastAsia"/>
          <w:color w:val="auto"/>
        </w:rPr>
        <w:t>地下车库</w:t>
      </w:r>
      <w:r>
        <w:rPr>
          <w:color w:val="auto"/>
        </w:rPr>
        <w:t>汽车尾气主要是指汽车进出车库及在车库内行驶时，汽车怠速及慢速（≤5km/hr）状态下的尾气排放，包括排气管尾气、曲轴箱漏气及油箱和化油箱等燃料系统的泄漏等。汽车废气中主要污染因子为CO、HC、NO</w:t>
      </w:r>
      <w:r>
        <w:rPr>
          <w:color w:val="auto"/>
          <w:vertAlign w:val="subscript"/>
        </w:rPr>
        <w:t>2</w:t>
      </w:r>
      <w:r>
        <w:rPr>
          <w:color w:val="auto"/>
        </w:rPr>
        <w:t>、SO</w:t>
      </w:r>
      <w:r>
        <w:rPr>
          <w:color w:val="auto"/>
          <w:vertAlign w:val="subscript"/>
        </w:rPr>
        <w:t>2</w:t>
      </w:r>
      <w:r>
        <w:rPr>
          <w:color w:val="auto"/>
        </w:rPr>
        <w:t>等。汽车废气的排放量与车型、车况和车辆数等有关，</w:t>
      </w:r>
      <w:r>
        <w:rPr>
          <w:rFonts w:hint="eastAsia"/>
          <w:color w:val="auto"/>
        </w:rPr>
        <w:t>项目区车流</w:t>
      </w:r>
      <w:r>
        <w:rPr>
          <w:color w:val="auto"/>
        </w:rPr>
        <w:t>基本为小型车（轿车和小面包车等），参照《环境保护实用数据手册》，有代表性的汽车排出物的测定结果和大气污染物排放系数见表</w:t>
      </w:r>
      <w:r>
        <w:rPr>
          <w:rFonts w:hint="eastAsia"/>
          <w:color w:val="auto"/>
          <w:lang w:val="en-US" w:eastAsia="zh-CN"/>
        </w:rPr>
        <w:t>4</w:t>
      </w:r>
      <w:r>
        <w:rPr>
          <w:color w:val="auto"/>
        </w:rPr>
        <w:t>.2-</w:t>
      </w:r>
      <w:r>
        <w:rPr>
          <w:rFonts w:hint="eastAsia"/>
          <w:color w:val="auto"/>
          <w:lang w:val="en-US" w:eastAsia="zh-CN"/>
        </w:rPr>
        <w:t>15</w:t>
      </w:r>
      <w:r>
        <w:rPr>
          <w:rFonts w:hAnsi="宋体"/>
          <w:bCs/>
          <w:color w:val="auto"/>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422"/>
        <w:jc w:val="center"/>
        <w:textAlignment w:val="auto"/>
        <w:outlineLvl w:val="9"/>
        <w:rPr>
          <w:b/>
          <w:color w:val="auto"/>
          <w:sz w:val="21"/>
          <w:szCs w:val="21"/>
        </w:rPr>
      </w:pPr>
      <w:r>
        <w:rPr>
          <w:rFonts w:hAnsi="宋体"/>
          <w:b/>
          <w:color w:val="auto"/>
          <w:sz w:val="21"/>
          <w:szCs w:val="21"/>
        </w:rPr>
        <w:t>表</w:t>
      </w:r>
      <w:r>
        <w:rPr>
          <w:rFonts w:hint="eastAsia"/>
          <w:b/>
          <w:color w:val="auto"/>
          <w:sz w:val="21"/>
          <w:szCs w:val="21"/>
          <w:lang w:val="en-US" w:eastAsia="zh-CN"/>
        </w:rPr>
        <w:t>4</w:t>
      </w:r>
      <w:r>
        <w:rPr>
          <w:b/>
          <w:color w:val="auto"/>
          <w:sz w:val="21"/>
          <w:szCs w:val="21"/>
        </w:rPr>
        <w:t>.2</w:t>
      </w:r>
      <w:r>
        <w:rPr>
          <w:rFonts w:hint="eastAsia"/>
          <w:b/>
          <w:color w:val="auto"/>
          <w:sz w:val="21"/>
          <w:szCs w:val="21"/>
        </w:rPr>
        <w:t>-</w:t>
      </w:r>
      <w:r>
        <w:rPr>
          <w:rFonts w:hint="eastAsia"/>
          <w:b/>
          <w:color w:val="auto"/>
          <w:sz w:val="21"/>
          <w:szCs w:val="21"/>
          <w:lang w:val="en-US" w:eastAsia="zh-CN"/>
        </w:rPr>
        <w:t>15</w:t>
      </w:r>
      <w:r>
        <w:rPr>
          <w:rFonts w:hint="eastAsia"/>
          <w:b/>
          <w:color w:val="auto"/>
          <w:sz w:val="21"/>
          <w:szCs w:val="21"/>
        </w:rPr>
        <w:t xml:space="preserve"> </w:t>
      </w:r>
      <w:r>
        <w:rPr>
          <w:b/>
          <w:color w:val="auto"/>
          <w:sz w:val="21"/>
          <w:szCs w:val="21"/>
        </w:rPr>
        <w:t xml:space="preserve"> </w:t>
      </w:r>
      <w:r>
        <w:rPr>
          <w:rFonts w:hAnsi="宋体"/>
          <w:b/>
          <w:color w:val="auto"/>
          <w:sz w:val="21"/>
          <w:szCs w:val="21"/>
        </w:rPr>
        <w:t>机动车消耗单位燃料大气污染物排放系数（</w:t>
      </w:r>
      <w:r>
        <w:rPr>
          <w:b/>
          <w:color w:val="auto"/>
          <w:sz w:val="21"/>
          <w:szCs w:val="21"/>
        </w:rPr>
        <w:t>g/L</w:t>
      </w:r>
      <w:r>
        <w:rPr>
          <w:rFonts w:hAnsi="宋体"/>
          <w:b/>
          <w:color w:val="auto"/>
          <w:sz w:val="21"/>
          <w:szCs w:val="21"/>
        </w:rPr>
        <w:t>）</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5"/>
        <w:gridCol w:w="1602"/>
        <w:gridCol w:w="1602"/>
        <w:gridCol w:w="1358"/>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525" w:type="dxa"/>
            <w:tcBorders>
              <w:top w:val="single" w:color="auto" w:sz="4" w:space="0"/>
              <w:left w:val="single" w:color="auto" w:sz="4" w:space="0"/>
              <w:tl2br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eastAsia="宋体"/>
                <w:color w:val="auto"/>
              </w:rPr>
            </w:pPr>
            <w:r>
              <w:rPr>
                <w:rFonts w:eastAsia="宋体"/>
                <w:color w:val="auto"/>
              </w:rPr>
              <w:t>污染物</w:t>
            </w:r>
          </w:p>
          <w:p>
            <w:pPr>
              <w:pStyle w:val="89"/>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eastAsia="宋体"/>
                <w:color w:val="auto"/>
              </w:rPr>
            </w:pPr>
            <w:r>
              <w:rPr>
                <w:rFonts w:eastAsia="宋体"/>
                <w:color w:val="auto"/>
              </w:rPr>
              <w:t>车种</w:t>
            </w:r>
          </w:p>
        </w:tc>
        <w:tc>
          <w:tcPr>
            <w:tcW w:w="1602" w:type="dxa"/>
            <w:tcBorders>
              <w:top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CO</w:t>
            </w:r>
          </w:p>
        </w:tc>
        <w:tc>
          <w:tcPr>
            <w:tcW w:w="1602" w:type="dxa"/>
            <w:tcBorders>
              <w:top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HC</w:t>
            </w:r>
          </w:p>
        </w:tc>
        <w:tc>
          <w:tcPr>
            <w:tcW w:w="1358" w:type="dxa"/>
            <w:tcBorders>
              <w:top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NO</w:t>
            </w:r>
            <w:r>
              <w:rPr>
                <w:rFonts w:eastAsia="宋体"/>
                <w:color w:val="auto"/>
                <w:vertAlign w:val="subscript"/>
              </w:rPr>
              <w:t>2</w:t>
            </w:r>
          </w:p>
        </w:tc>
        <w:tc>
          <w:tcPr>
            <w:tcW w:w="1441" w:type="dxa"/>
            <w:tcBorders>
              <w:top w:val="single" w:color="auto" w:sz="4" w:space="0"/>
              <w:right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SO</w:t>
            </w:r>
            <w:r>
              <w:rPr>
                <w:rFonts w:eastAsia="宋体"/>
                <w:color w:val="auto"/>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5" w:type="dxa"/>
            <w:tcBorders>
              <w:left w:val="single" w:color="auto" w:sz="4" w:space="0"/>
              <w:bottom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轿车（用汽油）</w:t>
            </w:r>
          </w:p>
        </w:tc>
        <w:tc>
          <w:tcPr>
            <w:tcW w:w="1602" w:type="dxa"/>
            <w:tcBorders>
              <w:bottom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191</w:t>
            </w:r>
          </w:p>
        </w:tc>
        <w:tc>
          <w:tcPr>
            <w:tcW w:w="1602" w:type="dxa"/>
            <w:tcBorders>
              <w:bottom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24.1</w:t>
            </w:r>
          </w:p>
        </w:tc>
        <w:tc>
          <w:tcPr>
            <w:tcW w:w="1358" w:type="dxa"/>
            <w:tcBorders>
              <w:bottom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22.3</w:t>
            </w:r>
          </w:p>
        </w:tc>
        <w:tc>
          <w:tcPr>
            <w:tcW w:w="1441" w:type="dxa"/>
            <w:tcBorders>
              <w:bottom w:val="single" w:color="auto" w:sz="4" w:space="0"/>
              <w:right w:val="single" w:color="auto" w:sz="4" w:space="0"/>
            </w:tcBorders>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rPr>
            </w:pPr>
            <w:r>
              <w:rPr>
                <w:rFonts w:eastAsia="宋体"/>
                <w:color w:val="auto"/>
              </w:rPr>
              <w:t>0.291</w:t>
            </w:r>
          </w:p>
        </w:tc>
      </w:tr>
    </w:tbl>
    <w:p>
      <w:pPr>
        <w:ind w:firstLine="480"/>
        <w:rPr>
          <w:color w:val="auto"/>
        </w:rPr>
      </w:pPr>
      <w:r>
        <w:rPr>
          <w:color w:val="auto"/>
        </w:rPr>
        <w:t>停车场的汽车尾气排放量与汽车在停车场内的运行时间和车流量有关。一般汽车出入停车场的行驶速度要求不大于5km/h，出入口到泊位的平均距离如按照50m计算，汽车从出入口到泊位的运行时间约为36s</w:t>
      </w:r>
      <w:r>
        <w:rPr>
          <w:rFonts w:hint="eastAsia" w:cs="宋体"/>
          <w:color w:val="auto"/>
          <w:lang w:eastAsia="zh-CN"/>
        </w:rPr>
        <w:t>；</w:t>
      </w:r>
      <w:r>
        <w:rPr>
          <w:color w:val="auto"/>
        </w:rPr>
        <w:t>从汽车停在泊位至关闭发动机一般在1s-3s</w:t>
      </w:r>
      <w:r>
        <w:rPr>
          <w:rFonts w:hint="eastAsia" w:cs="宋体"/>
          <w:color w:val="auto"/>
          <w:lang w:eastAsia="zh-CN"/>
        </w:rPr>
        <w:t>；</w:t>
      </w:r>
      <w:r>
        <w:rPr>
          <w:color w:val="auto"/>
        </w:rPr>
        <w:t>而汽车从泊位启动至出车一般在3s-3min，平均约1min，故汽车出入停车场与在停车场内的运行时间约为100s。根据调查，车辆进出停车场的平均耗油速率为0.20L/km，则每辆汽车进出停车场产生的废气污染物的量可由下式计算：</w:t>
      </w:r>
    </w:p>
    <w:p>
      <w:pPr>
        <w:ind w:left="0" w:leftChars="0" w:firstLine="0" w:firstLineChars="0"/>
        <w:jc w:val="center"/>
        <w:rPr>
          <w:color w:val="auto"/>
        </w:rPr>
      </w:pPr>
      <w:r>
        <w:rPr>
          <w:color w:val="auto"/>
        </w:rPr>
        <w:t>g= f·M</w:t>
      </w:r>
    </w:p>
    <w:p>
      <w:pPr>
        <w:ind w:firstLine="480"/>
        <w:rPr>
          <w:color w:val="auto"/>
        </w:rPr>
      </w:pPr>
      <w:r>
        <w:rPr>
          <w:color w:val="auto"/>
        </w:rPr>
        <w:t>其中：M= m·t</w:t>
      </w:r>
    </w:p>
    <w:p>
      <w:pPr>
        <w:ind w:firstLine="480"/>
        <w:rPr>
          <w:rFonts w:hint="eastAsia" w:eastAsia="宋体"/>
          <w:color w:val="auto"/>
          <w:lang w:eastAsia="zh-CN"/>
        </w:rPr>
      </w:pPr>
      <w:r>
        <w:rPr>
          <w:color w:val="auto"/>
        </w:rPr>
        <w:t>式中：f—大气污染物排放系数（g/L汽油），具体见表</w:t>
      </w:r>
      <w:r>
        <w:rPr>
          <w:rFonts w:hint="eastAsia"/>
          <w:color w:val="auto"/>
          <w:lang w:val="en-US" w:eastAsia="zh-CN"/>
        </w:rPr>
        <w:t>4</w:t>
      </w:r>
      <w:r>
        <w:rPr>
          <w:rFonts w:hint="eastAsia"/>
          <w:color w:val="auto"/>
        </w:rPr>
        <w:t>.2-</w:t>
      </w:r>
      <w:r>
        <w:rPr>
          <w:rFonts w:hint="eastAsia"/>
          <w:color w:val="auto"/>
          <w:lang w:val="en-US" w:eastAsia="zh-CN"/>
        </w:rPr>
        <w:t>15</w:t>
      </w:r>
      <w:r>
        <w:rPr>
          <w:rFonts w:hint="eastAsia" w:cs="宋体"/>
          <w:color w:val="auto"/>
          <w:lang w:eastAsia="zh-CN"/>
        </w:rPr>
        <w:t>；</w:t>
      </w:r>
    </w:p>
    <w:p>
      <w:pPr>
        <w:ind w:firstLine="480"/>
        <w:rPr>
          <w:rFonts w:hint="eastAsia" w:eastAsia="宋体"/>
          <w:color w:val="auto"/>
          <w:lang w:eastAsia="zh-CN"/>
        </w:rPr>
      </w:pPr>
      <w:r>
        <w:rPr>
          <w:color w:val="auto"/>
        </w:rPr>
        <w:t>M—每辆汽车进出停车场耗油量（L）</w:t>
      </w:r>
      <w:r>
        <w:rPr>
          <w:rFonts w:hint="eastAsia" w:cs="宋体"/>
          <w:color w:val="auto"/>
          <w:lang w:eastAsia="zh-CN"/>
        </w:rPr>
        <w:t>；</w:t>
      </w:r>
    </w:p>
    <w:p>
      <w:pPr>
        <w:ind w:firstLine="480"/>
        <w:rPr>
          <w:rFonts w:hint="eastAsia" w:eastAsia="宋体"/>
          <w:color w:val="auto"/>
          <w:lang w:eastAsia="zh-CN"/>
        </w:rPr>
      </w:pPr>
      <w:r>
        <w:rPr>
          <w:color w:val="auto"/>
        </w:rPr>
        <w:t>t—汽车出入停车场与在停车场内的运行时间总和，由上述分析可知，约为100s</w:t>
      </w:r>
      <w:r>
        <w:rPr>
          <w:rFonts w:hint="eastAsia" w:cs="宋体"/>
          <w:color w:val="auto"/>
          <w:lang w:eastAsia="zh-CN"/>
        </w:rPr>
        <w:t>；</w:t>
      </w:r>
    </w:p>
    <w:p>
      <w:pPr>
        <w:ind w:firstLine="480"/>
        <w:rPr>
          <w:color w:val="auto"/>
        </w:rPr>
      </w:pPr>
      <w:r>
        <w:rPr>
          <w:color w:val="auto"/>
        </w:rPr>
        <w:t>m—车辆进出停车场的平均耗油速率，约为0.20L/km，按照车速5km/h计算。</w:t>
      </w:r>
    </w:p>
    <w:p>
      <w:pPr>
        <w:ind w:firstLine="480"/>
        <w:rPr>
          <w:color w:val="auto"/>
        </w:rPr>
      </w:pPr>
      <w:r>
        <w:rPr>
          <w:color w:val="auto"/>
        </w:rPr>
        <w:t>由上式计算可知每辆汽车进出停车场一次耗油量为0.0278L（出入口到泊位的平均距离以50m计），则每辆汽车</w:t>
      </w:r>
      <w:r>
        <w:rPr>
          <w:color w:val="auto"/>
        </w:rPr>
        <w:t>进出停车场</w:t>
      </w:r>
      <w:r>
        <w:rPr>
          <w:color w:val="auto"/>
        </w:rPr>
        <w:t>产生的废气污染物CO、HC、NO</w:t>
      </w:r>
      <w:r>
        <w:rPr>
          <w:color w:val="auto"/>
          <w:vertAlign w:val="subscript"/>
        </w:rPr>
        <w:t>2</w:t>
      </w:r>
      <w:r>
        <w:rPr>
          <w:color w:val="auto"/>
        </w:rPr>
        <w:t>与SO</w:t>
      </w:r>
      <w:r>
        <w:rPr>
          <w:color w:val="auto"/>
          <w:vertAlign w:val="subscript"/>
        </w:rPr>
        <w:t>2</w:t>
      </w:r>
      <w:r>
        <w:rPr>
          <w:color w:val="auto"/>
        </w:rPr>
        <w:t>的量分别为5.310g、0.670g、0.620g与0.00808g，</w:t>
      </w:r>
      <w:r>
        <w:rPr>
          <w:color w:val="auto"/>
          <w:highlight w:val="none"/>
        </w:rPr>
        <w:t>见表</w:t>
      </w:r>
      <w:r>
        <w:rPr>
          <w:rFonts w:hint="eastAsia"/>
          <w:color w:val="auto"/>
          <w:highlight w:val="none"/>
          <w:lang w:val="en-US" w:eastAsia="zh-CN"/>
        </w:rPr>
        <w:t>4</w:t>
      </w:r>
      <w:r>
        <w:rPr>
          <w:color w:val="auto"/>
          <w:highlight w:val="none"/>
        </w:rPr>
        <w:t>.2-</w:t>
      </w:r>
      <w:r>
        <w:rPr>
          <w:rFonts w:hint="eastAsia"/>
          <w:color w:val="auto"/>
          <w:highlight w:val="none"/>
          <w:lang w:val="en-US" w:eastAsia="zh-CN"/>
        </w:rPr>
        <w:t>16</w:t>
      </w:r>
      <w:r>
        <w:rPr>
          <w:color w:val="auto"/>
        </w:rPr>
        <w:t>。</w:t>
      </w:r>
    </w:p>
    <w:p>
      <w:pPr>
        <w:ind w:firstLine="480"/>
        <w:rPr>
          <w:color w:val="auto"/>
        </w:rPr>
      </w:pPr>
      <w:r>
        <w:rPr>
          <w:color w:val="auto"/>
        </w:rPr>
        <w:t>停车库对环境的影响与其运行工况（车流量）直接相关。本次评价取最不利条件，即泊车满负荷状况时，对周围环境的影响。此时停车场内进出车流量相当大，此类状况出现概率极小，而且时间极短。一般情况下，区域进出车库的车辆在早、</w:t>
      </w:r>
      <w:r>
        <w:rPr>
          <w:rFonts w:hint="eastAsia"/>
          <w:color w:val="auto"/>
        </w:rPr>
        <w:t>中、</w:t>
      </w:r>
      <w:r>
        <w:rPr>
          <w:color w:val="auto"/>
        </w:rPr>
        <w:t>晚较频繁，其它时间段较少，同时车辆进出具有随机性，亦即单位时间内进出车辆数是不定的。根据类比调查，每天进、出车库的车辆数，可按平均一日出入</w:t>
      </w:r>
      <w:r>
        <w:rPr>
          <w:rFonts w:hint="eastAsia"/>
          <w:color w:val="auto"/>
        </w:rPr>
        <w:t>三</w:t>
      </w:r>
      <w:r>
        <w:rPr>
          <w:color w:val="auto"/>
        </w:rPr>
        <w:t>次。根据停车场的泊位，计算出单位时间的废气排放情况。</w:t>
      </w:r>
    </w:p>
    <w:p>
      <w:pPr>
        <w:ind w:firstLine="480"/>
        <w:rPr>
          <w:rFonts w:hint="eastAsia"/>
          <w:color w:val="auto"/>
        </w:rPr>
      </w:pPr>
      <w:r>
        <w:rPr>
          <w:color w:val="auto"/>
        </w:rPr>
        <w:t>车库的大气污染物排</w:t>
      </w:r>
      <w:r>
        <w:rPr>
          <w:color w:val="auto"/>
          <w:highlight w:val="none"/>
        </w:rPr>
        <w:t>放情况见表</w:t>
      </w:r>
      <w:r>
        <w:rPr>
          <w:rFonts w:hint="eastAsia"/>
          <w:color w:val="auto"/>
          <w:highlight w:val="none"/>
          <w:lang w:val="en-US" w:eastAsia="zh-CN"/>
        </w:rPr>
        <w:t>4</w:t>
      </w:r>
      <w:r>
        <w:rPr>
          <w:color w:val="auto"/>
          <w:highlight w:val="none"/>
        </w:rPr>
        <w:t>.2-</w:t>
      </w:r>
      <w:r>
        <w:rPr>
          <w:rFonts w:hint="eastAsia"/>
          <w:color w:val="auto"/>
          <w:highlight w:val="none"/>
          <w:lang w:val="en-US" w:eastAsia="zh-CN"/>
        </w:rPr>
        <w:t>16</w:t>
      </w:r>
      <w:r>
        <w:rPr>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sz w:val="21"/>
          <w:szCs w:val="21"/>
        </w:rPr>
      </w:pPr>
      <w:r>
        <w:rPr>
          <w:rFonts w:hAnsi="宋体"/>
          <w:b/>
          <w:color w:val="auto"/>
          <w:sz w:val="21"/>
          <w:szCs w:val="21"/>
        </w:rPr>
        <w:t>表</w:t>
      </w:r>
      <w:r>
        <w:rPr>
          <w:rFonts w:hint="eastAsia"/>
          <w:b/>
          <w:color w:val="auto"/>
          <w:sz w:val="21"/>
          <w:szCs w:val="21"/>
          <w:lang w:val="en-US" w:eastAsia="zh-CN"/>
        </w:rPr>
        <w:t>4</w:t>
      </w:r>
      <w:r>
        <w:rPr>
          <w:b/>
          <w:color w:val="auto"/>
          <w:sz w:val="21"/>
          <w:szCs w:val="21"/>
        </w:rPr>
        <w:t>.2-</w:t>
      </w:r>
      <w:r>
        <w:rPr>
          <w:rFonts w:hint="eastAsia"/>
          <w:b/>
          <w:color w:val="auto"/>
          <w:sz w:val="21"/>
          <w:szCs w:val="21"/>
          <w:lang w:val="en-US" w:eastAsia="zh-CN"/>
        </w:rPr>
        <w:t>16</w:t>
      </w:r>
      <w:r>
        <w:rPr>
          <w:b/>
          <w:color w:val="auto"/>
          <w:sz w:val="21"/>
          <w:szCs w:val="21"/>
        </w:rPr>
        <w:t xml:space="preserve">  </w:t>
      </w:r>
      <w:r>
        <w:rPr>
          <w:rFonts w:hAnsi="宋体"/>
          <w:b/>
          <w:color w:val="auto"/>
          <w:sz w:val="21"/>
          <w:szCs w:val="21"/>
        </w:rPr>
        <w:t>项目车库汽车废气污染物产生情况</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9"/>
        <w:gridCol w:w="1136"/>
        <w:gridCol w:w="1136"/>
        <w:gridCol w:w="1136"/>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609" w:type="dxa"/>
            <w:vMerge w:val="restart"/>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因子</w:t>
            </w:r>
          </w:p>
        </w:tc>
        <w:tc>
          <w:tcPr>
            <w:tcW w:w="4919" w:type="dxa"/>
            <w:gridSpan w:val="4"/>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污染物排放量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609" w:type="dxa"/>
            <w:vMerge w:val="continue"/>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bookmarkStart w:id="46" w:name="OLE_LINK16" w:colFirst="3" w:colLast="6"/>
            <w:bookmarkStart w:id="47" w:name="OLE_LINK21" w:colFirst="3" w:colLast="6"/>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CO</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HC</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NO</w:t>
            </w:r>
            <w:r>
              <w:rPr>
                <w:rFonts w:eastAsia="宋体"/>
                <w:color w:val="auto"/>
                <w:vertAlign w:val="subscript"/>
              </w:rPr>
              <w:t>2</w:t>
            </w:r>
          </w:p>
        </w:tc>
        <w:tc>
          <w:tcPr>
            <w:tcW w:w="1511"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SO</w:t>
            </w:r>
            <w:r>
              <w:rPr>
                <w:rFonts w:eastAsia="宋体"/>
                <w:color w:val="auto"/>
                <w:vertAlign w:val="subscript"/>
              </w:rPr>
              <w:t>2</w:t>
            </w:r>
          </w:p>
        </w:tc>
      </w:tr>
      <w:bookmarkEnd w:id="46"/>
      <w:bookmarkEnd w:id="4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609"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单个汽车污染物量(kg/d)</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5.31×10</w:t>
            </w:r>
            <w:r>
              <w:rPr>
                <w:rFonts w:hint="eastAsia" w:eastAsia="宋体"/>
                <w:color w:val="auto"/>
                <w:vertAlign w:val="superscript"/>
              </w:rPr>
              <w:t>-3</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0.67×10</w:t>
            </w:r>
            <w:r>
              <w:rPr>
                <w:rFonts w:hint="eastAsia" w:eastAsia="宋体"/>
                <w:color w:val="auto"/>
                <w:vertAlign w:val="superscript"/>
              </w:rPr>
              <w:t>-3</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0.62×10</w:t>
            </w:r>
            <w:r>
              <w:rPr>
                <w:rFonts w:hint="eastAsia" w:eastAsia="宋体"/>
                <w:color w:val="auto"/>
                <w:vertAlign w:val="superscript"/>
              </w:rPr>
              <w:t>-3</w:t>
            </w:r>
          </w:p>
        </w:tc>
        <w:tc>
          <w:tcPr>
            <w:tcW w:w="1511"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0.00808×10</w:t>
            </w:r>
            <w:r>
              <w:rPr>
                <w:rFonts w:hint="eastAsia" w:eastAsia="宋体"/>
                <w:color w:val="auto"/>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609"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车库污染物量(t/a)</w:t>
            </w:r>
          </w:p>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eastAsia="宋体"/>
                <w:color w:val="auto"/>
              </w:rPr>
            </w:pPr>
            <w:r>
              <w:rPr>
                <w:rFonts w:eastAsia="宋体"/>
                <w:color w:val="auto"/>
              </w:rPr>
              <w:t>(车流量以</w:t>
            </w:r>
            <w:r>
              <w:rPr>
                <w:rFonts w:hint="eastAsia" w:eastAsia="宋体"/>
                <w:color w:val="auto"/>
                <w:lang w:val="en-US" w:eastAsia="zh-CN"/>
              </w:rPr>
              <w:t>1855</w:t>
            </w:r>
            <w:r>
              <w:rPr>
                <w:rFonts w:eastAsia="宋体"/>
                <w:color w:val="auto"/>
              </w:rPr>
              <w:t>辆/天计)</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lang w:val="en-US" w:eastAsia="zh-CN"/>
              </w:rPr>
            </w:pPr>
            <w:r>
              <w:rPr>
                <w:rFonts w:hint="eastAsia" w:eastAsia="宋体" w:cs="Times New Roman"/>
                <w:color w:val="auto"/>
                <w:lang w:val="en-US" w:eastAsia="zh-CN"/>
              </w:rPr>
              <w:t>3.595</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lang w:val="en-US" w:eastAsia="zh-CN"/>
              </w:rPr>
            </w:pPr>
            <w:r>
              <w:rPr>
                <w:rFonts w:hint="eastAsia" w:eastAsia="宋体" w:cs="Times New Roman"/>
                <w:color w:val="auto"/>
                <w:lang w:val="en-US" w:eastAsia="zh-CN"/>
              </w:rPr>
              <w:t>0.454</w:t>
            </w:r>
          </w:p>
        </w:tc>
        <w:tc>
          <w:tcPr>
            <w:tcW w:w="1136"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lang w:val="en-US" w:eastAsia="zh-CN"/>
              </w:rPr>
            </w:pPr>
            <w:r>
              <w:rPr>
                <w:rFonts w:hint="eastAsia" w:eastAsia="宋体" w:cs="Times New Roman"/>
                <w:color w:val="auto"/>
                <w:lang w:val="en-US" w:eastAsia="zh-CN"/>
              </w:rPr>
              <w:t>0.420</w:t>
            </w:r>
          </w:p>
        </w:tc>
        <w:tc>
          <w:tcPr>
            <w:tcW w:w="1511" w:type="dxa"/>
            <w:noWrap w:val="0"/>
            <w:vAlign w:val="center"/>
          </w:tcPr>
          <w:p>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lang w:val="en-US" w:eastAsia="zh-CN"/>
              </w:rPr>
            </w:pPr>
            <w:r>
              <w:rPr>
                <w:rFonts w:hint="eastAsia" w:eastAsia="宋体" w:cs="Times New Roman"/>
                <w:color w:val="auto"/>
                <w:lang w:val="en-US" w:eastAsia="zh-CN"/>
              </w:rPr>
              <w:t>0.005</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rPr>
      </w:pPr>
      <w:r>
        <w:rPr>
          <w:color w:val="auto"/>
        </w:rPr>
        <w:t>由以上计算结果可知，该项目区块内地下车库使用时，产生CO为</w:t>
      </w:r>
      <w:r>
        <w:rPr>
          <w:rFonts w:hint="eastAsia"/>
          <w:color w:val="auto"/>
          <w:lang w:val="en-US" w:eastAsia="zh-CN"/>
        </w:rPr>
        <w:t>3.595</w:t>
      </w:r>
      <w:r>
        <w:rPr>
          <w:color w:val="auto"/>
        </w:rPr>
        <w:t>t/a，HC为</w:t>
      </w:r>
      <w:r>
        <w:rPr>
          <w:rFonts w:hint="eastAsia"/>
          <w:color w:val="auto"/>
        </w:rPr>
        <w:t>0</w:t>
      </w:r>
      <w:r>
        <w:rPr>
          <w:rFonts w:hint="eastAsia"/>
          <w:color w:val="auto"/>
          <w:lang w:val="en-US" w:eastAsia="zh-CN"/>
        </w:rPr>
        <w:t>.454</w:t>
      </w:r>
      <w:r>
        <w:rPr>
          <w:rFonts w:hint="eastAsia"/>
          <w:color w:val="auto"/>
        </w:rPr>
        <w:t>t</w:t>
      </w:r>
      <w:r>
        <w:rPr>
          <w:color w:val="auto"/>
        </w:rPr>
        <w:t>/a，NO</w:t>
      </w:r>
      <w:r>
        <w:rPr>
          <w:color w:val="auto"/>
          <w:vertAlign w:val="subscript"/>
        </w:rPr>
        <w:t>2</w:t>
      </w:r>
      <w:r>
        <w:rPr>
          <w:color w:val="auto"/>
        </w:rPr>
        <w:t>为</w:t>
      </w:r>
      <w:r>
        <w:rPr>
          <w:rFonts w:hint="eastAsia"/>
          <w:color w:val="auto"/>
        </w:rPr>
        <w:t>0.</w:t>
      </w:r>
      <w:r>
        <w:rPr>
          <w:rFonts w:hint="eastAsia"/>
          <w:color w:val="auto"/>
          <w:lang w:val="en-US" w:eastAsia="zh-CN"/>
        </w:rPr>
        <w:t>420</w:t>
      </w:r>
      <w:r>
        <w:rPr>
          <w:color w:val="auto"/>
        </w:rPr>
        <w:t>t/a，SO</w:t>
      </w:r>
      <w:r>
        <w:rPr>
          <w:color w:val="auto"/>
          <w:vertAlign w:val="subscript"/>
        </w:rPr>
        <w:t>2</w:t>
      </w:r>
      <w:r>
        <w:rPr>
          <w:color w:val="auto"/>
        </w:rPr>
        <w:t>为</w:t>
      </w:r>
      <w:r>
        <w:rPr>
          <w:rFonts w:hint="eastAsia"/>
          <w:color w:val="auto"/>
        </w:rPr>
        <w:t>0.00</w:t>
      </w:r>
      <w:r>
        <w:rPr>
          <w:rFonts w:hint="eastAsia"/>
          <w:color w:val="auto"/>
          <w:lang w:val="en-US" w:eastAsia="zh-CN"/>
        </w:rPr>
        <w:t>5</w:t>
      </w:r>
      <w:r>
        <w:rPr>
          <w:color w:val="auto"/>
        </w:rPr>
        <w:t>t/a。</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rPr>
      </w:pPr>
      <w:r>
        <w:rPr>
          <w:rFonts w:hint="eastAsia"/>
          <w:color w:val="auto"/>
        </w:rPr>
        <w:t>（2）污水处理站恶臭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hint="eastAsia"/>
          <w:bCs/>
          <w:color w:val="auto"/>
          <w:sz w:val="24"/>
          <w:highlight w:val="none"/>
          <w:lang w:val="en-US" w:eastAsia="zh-CN"/>
        </w:rPr>
        <w:t>本次新建污水处理站设置在项目区东北侧，</w:t>
      </w:r>
      <w:r>
        <w:rPr>
          <w:color w:val="auto"/>
          <w:sz w:val="24"/>
          <w:highlight w:val="none"/>
        </w:rPr>
        <w:t>污水处理站排出的废气污染物主要为NH</w:t>
      </w:r>
      <w:r>
        <w:rPr>
          <w:color w:val="auto"/>
          <w:sz w:val="24"/>
          <w:highlight w:val="none"/>
          <w:vertAlign w:val="subscript"/>
        </w:rPr>
        <w:t>3</w:t>
      </w:r>
      <w:r>
        <w:rPr>
          <w:color w:val="auto"/>
          <w:sz w:val="24"/>
          <w:highlight w:val="none"/>
        </w:rPr>
        <w:t>、H</w:t>
      </w:r>
      <w:r>
        <w:rPr>
          <w:color w:val="auto"/>
          <w:sz w:val="24"/>
          <w:highlight w:val="none"/>
          <w:vertAlign w:val="subscript"/>
        </w:rPr>
        <w:t>2</w:t>
      </w:r>
      <w:r>
        <w:rPr>
          <w:color w:val="auto"/>
          <w:sz w:val="24"/>
          <w:highlight w:val="none"/>
        </w:rPr>
        <w:t>S、臭气、甲烷等</w:t>
      </w:r>
      <w:r>
        <w:rPr>
          <w:rFonts w:hint="eastAsia"/>
          <w:color w:val="auto"/>
          <w:sz w:val="24"/>
          <w:highlight w:val="none"/>
          <w:lang w:eastAsia="zh-CN"/>
        </w:rPr>
        <w:t>，</w:t>
      </w:r>
      <w:r>
        <w:rPr>
          <w:color w:val="auto"/>
          <w:sz w:val="24"/>
          <w:highlight w:val="none"/>
        </w:rPr>
        <w:t>主要恶臭源是进水格栅、污泥消毒池以及好氧池等。恶臭污染物对环境空气的污染排放，执行《医疗机构水污染物排放标准》（GB18466-2005）中对医疗机构污水处理站废气排放标准，选择氨、硫化氢为评价因子。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color w:val="auto"/>
          <w:sz w:val="24"/>
          <w:highlight w:val="none"/>
        </w:rPr>
      </w:pPr>
      <w:r>
        <w:rPr>
          <w:rFonts w:hint="eastAsia"/>
          <w:bCs/>
          <w:color w:val="auto"/>
          <w:sz w:val="24"/>
          <w:highlight w:val="none"/>
        </w:rPr>
        <w:t>根据《医疗机构水污染物排放标准》(GB18466-2005)中的要求，项目污水处理站排出的废气应进行除臭除味处理。为防病毒从医院水处理构筑物表面挥发到大气中而造成病毒的二次传播污染，本项目将采用地埋式污水站，各个池体均密闭，各处理单元设置臭气收集风管，废气经</w:t>
      </w:r>
      <w:r>
        <w:rPr>
          <w:rFonts w:hint="eastAsia"/>
          <w:bCs/>
          <w:color w:val="auto"/>
          <w:sz w:val="24"/>
          <w:highlight w:val="none"/>
          <w:lang w:eastAsia="zh-CN"/>
        </w:rPr>
        <w:t>密闭收集</w:t>
      </w:r>
      <w:r>
        <w:rPr>
          <w:rFonts w:hint="eastAsia"/>
          <w:bCs/>
          <w:color w:val="auto"/>
          <w:sz w:val="24"/>
          <w:highlight w:val="none"/>
        </w:rPr>
        <w:t>收集通过</w:t>
      </w:r>
      <w:r>
        <w:rPr>
          <w:rFonts w:hint="eastAsia" w:hAnsi="宋体"/>
          <w:bCs/>
          <w:color w:val="auto"/>
          <w:highlight w:val="none"/>
          <w:lang w:eastAsia="zh-CN"/>
        </w:rPr>
        <w:t>生物除臭装置</w:t>
      </w:r>
      <w:r>
        <w:rPr>
          <w:rFonts w:hint="eastAsia"/>
          <w:bCs/>
          <w:color w:val="auto"/>
          <w:sz w:val="24"/>
          <w:highlight w:val="none"/>
        </w:rPr>
        <w:t>处理后</w:t>
      </w:r>
      <w:r>
        <w:rPr>
          <w:rFonts w:hint="eastAsia"/>
          <w:bCs/>
          <w:color w:val="auto"/>
          <w:sz w:val="24"/>
          <w:highlight w:val="none"/>
          <w:lang w:eastAsia="zh-CN"/>
        </w:rPr>
        <w:t>通过</w:t>
      </w:r>
      <w:r>
        <w:rPr>
          <w:rFonts w:hint="eastAsia"/>
          <w:bCs/>
          <w:color w:val="auto"/>
          <w:sz w:val="24"/>
          <w:highlight w:val="none"/>
          <w:lang w:val="en-US" w:eastAsia="zh-CN"/>
        </w:rPr>
        <w:t>1根15m排气筒</w:t>
      </w:r>
      <w:r>
        <w:rPr>
          <w:rFonts w:hint="eastAsia"/>
          <w:bCs/>
          <w:color w:val="auto"/>
          <w:sz w:val="24"/>
          <w:highlight w:val="none"/>
        </w:rPr>
        <w:t>排放。</w:t>
      </w:r>
    </w:p>
    <w:p>
      <w:pPr>
        <w:pStyle w:val="261"/>
        <w:shd w:val="clear" w:color="auto" w:fill="auto"/>
        <w:spacing w:after="0" w:line="360" w:lineRule="auto"/>
        <w:ind w:left="0" w:leftChars="0" w:firstLine="480" w:firstLineChars="200"/>
        <w:jc w:val="left"/>
        <w:rPr>
          <w:rFonts w:hint="default" w:ascii="Times New Roman" w:hAnsi="Times New Roman" w:eastAsia="宋体" w:cs="Times New Roman"/>
          <w:color w:val="auto"/>
          <w:sz w:val="24"/>
          <w:szCs w:val="24"/>
          <w:highlight w:val="none"/>
          <w:lang w:val="en-US" w:eastAsia="zh-CN" w:bidi="zh-CN"/>
        </w:rPr>
      </w:pPr>
      <w:r>
        <w:rPr>
          <w:rFonts w:hint="default" w:ascii="Times New Roman" w:hAnsi="Times New Roman" w:eastAsia="宋体" w:cs="Times New Roman"/>
          <w:color w:val="auto"/>
          <w:sz w:val="24"/>
          <w:szCs w:val="24"/>
          <w:highlight w:val="none"/>
        </w:rPr>
        <w:t>项目污水处理站</w:t>
      </w:r>
      <w:r>
        <w:rPr>
          <w:rFonts w:hint="default" w:ascii="Times New Roman" w:hAnsi="Times New Roman" w:eastAsia="宋体" w:cs="Times New Roman"/>
          <w:color w:val="auto"/>
          <w:sz w:val="24"/>
          <w:szCs w:val="24"/>
          <w:highlight w:val="none"/>
          <w:lang w:val="en-US" w:eastAsia="zh-CN"/>
        </w:rPr>
        <w:t>采用</w:t>
      </w:r>
      <w:r>
        <w:rPr>
          <w:rFonts w:hint="eastAsia" w:ascii="Times New Roman" w:hAnsi="Times New Roman" w:eastAsia="宋体" w:cs="宋体"/>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vertAlign w:val="baseline"/>
          <w:lang w:val="en-US" w:eastAsia="zh-CN"/>
        </w:rPr>
        <w:t>格栅+调节池+水解酸化+生物接触氧化处理+沉淀+消毒</w:t>
      </w:r>
      <w:r>
        <w:rPr>
          <w:rFonts w:hint="eastAsia" w:ascii="Times New Roman" w:hAnsi="Times New Roman" w:eastAsia="宋体" w:cs="宋体"/>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vertAlign w:val="baseline"/>
          <w:lang w:val="en-US" w:eastAsia="zh-CN"/>
        </w:rPr>
        <w:t>工艺</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根</w:t>
      </w:r>
      <w:r>
        <w:rPr>
          <w:rFonts w:hint="default" w:ascii="Times New Roman" w:hAnsi="Times New Roman" w:eastAsia="宋体" w:cs="Times New Roman"/>
          <w:color w:val="auto"/>
          <w:sz w:val="24"/>
          <w:szCs w:val="24"/>
          <w:highlight w:val="none"/>
        </w:rPr>
        <w:t>据美国EPA（环境保护署）对城市污水处理厂恶臭污染物产生情况的研究：每处理1g的BOD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，可产生0.0031g的NH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和0.00012g的H</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S。</w:t>
      </w:r>
      <w:r>
        <w:rPr>
          <w:rFonts w:hint="eastAsia" w:ascii="Times New Roman" w:hAnsi="Times New Roman" w:eastAsia="宋体" w:cs="Times New Roman"/>
          <w:color w:val="auto"/>
          <w:sz w:val="24"/>
          <w:szCs w:val="24"/>
          <w:highlight w:val="none"/>
          <w:lang w:eastAsia="zh-CN"/>
        </w:rPr>
        <w:t>根据工程分析，经本项目污水处理站处理后，废水中</w:t>
      </w:r>
      <w:r>
        <w:rPr>
          <w:rFonts w:hint="eastAsia" w:ascii="Times New Roman" w:hAnsi="Times New Roman" w:eastAsia="宋体" w:cs="Times New Roman"/>
          <w:color w:val="auto"/>
          <w:sz w:val="24"/>
          <w:szCs w:val="24"/>
          <w:highlight w:val="none"/>
          <w:lang w:val="en-US" w:eastAsia="zh-CN"/>
        </w:rPr>
        <w:t>BOD</w:t>
      </w:r>
      <w:r>
        <w:rPr>
          <w:rFonts w:hint="eastAsia" w:ascii="Times New Roman" w:hAnsi="Times New Roman" w:eastAsia="宋体"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vertAlign w:val="baseline"/>
          <w:lang w:val="en-US" w:eastAsia="zh-CN"/>
        </w:rPr>
        <w:t>总计</w:t>
      </w:r>
      <w:r>
        <w:rPr>
          <w:rFonts w:hint="eastAsia" w:ascii="Times New Roman" w:hAnsi="Times New Roman" w:eastAsia="宋体" w:cs="Times New Roman"/>
          <w:color w:val="auto"/>
          <w:sz w:val="24"/>
          <w:szCs w:val="24"/>
          <w:highlight w:val="none"/>
          <w:lang w:val="en-US" w:eastAsia="zh-CN"/>
        </w:rPr>
        <w:t>削减约50t/a，据此核算本次扩建医院污水处理站（新建）废气产生情况</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bidi="zh-CN"/>
        </w:rPr>
        <w:t>污水处理站臭气收集效率</w:t>
      </w:r>
      <w:r>
        <w:rPr>
          <w:rFonts w:hint="eastAsia" w:ascii="Times New Roman" w:hAnsi="Times New Roman" w:eastAsia="宋体" w:cs="Times New Roman"/>
          <w:color w:val="auto"/>
          <w:sz w:val="24"/>
          <w:szCs w:val="24"/>
          <w:highlight w:val="none"/>
          <w:lang w:val="en-US" w:eastAsia="zh-CN" w:bidi="zh-CN"/>
        </w:rPr>
        <w:t>取99</w:t>
      </w:r>
      <w:r>
        <w:rPr>
          <w:rFonts w:hint="default" w:ascii="Times New Roman" w:hAnsi="Times New Roman" w:eastAsia="宋体" w:cs="Times New Roman"/>
          <w:color w:val="auto"/>
          <w:sz w:val="24"/>
          <w:szCs w:val="24"/>
          <w:highlight w:val="none"/>
          <w:lang w:val="en-US" w:eastAsia="zh-CN" w:bidi="zh-CN"/>
        </w:rPr>
        <w:t>%，去除效率</w:t>
      </w:r>
      <w:r>
        <w:rPr>
          <w:rFonts w:hint="eastAsia" w:ascii="Times New Roman" w:hAnsi="Times New Roman" w:eastAsia="宋体" w:cs="Times New Roman"/>
          <w:color w:val="auto"/>
          <w:sz w:val="24"/>
          <w:szCs w:val="24"/>
          <w:highlight w:val="none"/>
          <w:lang w:val="en-US" w:eastAsia="zh-CN" w:bidi="zh-CN"/>
        </w:rPr>
        <w:t>取90</w:t>
      </w:r>
      <w:r>
        <w:rPr>
          <w:rFonts w:hint="default" w:ascii="Times New Roman" w:hAnsi="Times New Roman" w:eastAsia="宋体" w:cs="Times New Roman"/>
          <w:color w:val="auto"/>
          <w:sz w:val="24"/>
          <w:szCs w:val="24"/>
          <w:highlight w:val="none"/>
          <w:lang w:val="en-US" w:eastAsia="zh-CN" w:bidi="zh-CN"/>
        </w:rPr>
        <w:t>%。</w:t>
      </w:r>
    </w:p>
    <w:p>
      <w:pPr>
        <w:pStyle w:val="261"/>
        <w:shd w:val="clear" w:color="auto" w:fill="auto"/>
        <w:spacing w:after="0" w:line="360" w:lineRule="auto"/>
        <w:ind w:left="0" w:leftChars="0" w:firstLine="480" w:firstLineChars="200"/>
        <w:jc w:val="left"/>
        <w:rPr>
          <w:rFonts w:hint="default" w:ascii="Times New Roman" w:hAnsi="Times New Roman" w:eastAsia="宋体" w:cs="Times New Roman"/>
          <w:color w:val="auto"/>
          <w:sz w:val="24"/>
          <w:szCs w:val="24"/>
          <w:highlight w:val="none"/>
          <w:lang w:val="en-US" w:eastAsia="zh-CN" w:bidi="zh-CN"/>
        </w:rPr>
      </w:pPr>
      <w:r>
        <w:rPr>
          <w:rFonts w:hint="default" w:ascii="Times New Roman" w:hAnsi="Times New Roman" w:eastAsia="宋体" w:cs="Times New Roman"/>
          <w:color w:val="auto"/>
          <w:sz w:val="24"/>
          <w:szCs w:val="24"/>
          <w:highlight w:val="none"/>
          <w:lang w:val="en-US" w:eastAsia="zh-CN" w:bidi="zh-CN"/>
        </w:rPr>
        <w:t>本项目污水处理过程中产生的NH</w:t>
      </w:r>
      <w:r>
        <w:rPr>
          <w:rFonts w:hint="default" w:ascii="Times New Roman" w:hAnsi="Times New Roman" w:eastAsia="宋体" w:cs="Times New Roman"/>
          <w:color w:val="auto"/>
          <w:sz w:val="24"/>
          <w:szCs w:val="24"/>
          <w:highlight w:val="none"/>
          <w:vertAlign w:val="subscript"/>
          <w:lang w:val="en-US" w:eastAsia="zh-CN" w:bidi="zh-CN"/>
        </w:rPr>
        <w:t>3</w:t>
      </w:r>
      <w:r>
        <w:rPr>
          <w:rFonts w:hint="default" w:ascii="Times New Roman" w:hAnsi="Times New Roman" w:eastAsia="宋体" w:cs="Times New Roman"/>
          <w:color w:val="auto"/>
          <w:sz w:val="24"/>
          <w:szCs w:val="24"/>
          <w:highlight w:val="none"/>
          <w:lang w:val="en-US" w:eastAsia="zh-CN" w:bidi="zh-CN"/>
        </w:rPr>
        <w:t>、H</w:t>
      </w:r>
      <w:r>
        <w:rPr>
          <w:rFonts w:hint="default" w:ascii="Times New Roman" w:hAnsi="Times New Roman" w:eastAsia="宋体" w:cs="Times New Roman"/>
          <w:color w:val="auto"/>
          <w:sz w:val="24"/>
          <w:szCs w:val="24"/>
          <w:highlight w:val="none"/>
          <w:vertAlign w:val="subscript"/>
          <w:lang w:val="en-US" w:eastAsia="zh-CN" w:bidi="zh-CN"/>
        </w:rPr>
        <w:t>2</w:t>
      </w:r>
      <w:r>
        <w:rPr>
          <w:rFonts w:hint="default" w:ascii="Times New Roman" w:hAnsi="Times New Roman" w:eastAsia="宋体" w:cs="Times New Roman"/>
          <w:color w:val="auto"/>
          <w:sz w:val="24"/>
          <w:szCs w:val="24"/>
          <w:highlight w:val="none"/>
          <w:lang w:val="en-US" w:eastAsia="zh-CN" w:bidi="zh-CN"/>
        </w:rPr>
        <w:t>S废气产生排放情况如下：</w:t>
      </w:r>
    </w:p>
    <w:p>
      <w:pPr>
        <w:pStyle w:val="261"/>
        <w:keepNext w:val="0"/>
        <w:keepLines w:val="0"/>
        <w:pageBreakBefore w:val="0"/>
        <w:shd w:val="clear" w:color="auto" w:fill="auto"/>
        <w:kinsoku/>
        <w:wordWrap/>
        <w:overflowPunct/>
        <w:topLinePunct w:val="0"/>
        <w:autoSpaceDE/>
        <w:autoSpaceDN/>
        <w:bidi w:val="0"/>
        <w:adjustRightInd/>
        <w:snapToGrid/>
        <w:spacing w:after="0" w:line="475" w:lineRule="exact"/>
        <w:ind w:firstLine="0" w:firstLineChars="0"/>
        <w:jc w:val="center"/>
        <w:rPr>
          <w:rFonts w:hint="eastAsia" w:ascii="Times New Roman" w:hAnsi="Times New Roman" w:eastAsia="宋体" w:cs="Times New Roman"/>
          <w:b/>
          <w:bCs/>
          <w:color w:val="auto"/>
          <w:sz w:val="21"/>
          <w:szCs w:val="21"/>
          <w:lang w:val="en-US" w:eastAsia="zh-CN" w:bidi="zh-CN"/>
        </w:rPr>
      </w:pPr>
      <w:r>
        <w:rPr>
          <w:rFonts w:hint="eastAsia" w:ascii="Times New Roman" w:hAnsi="Times New Roman" w:eastAsia="宋体" w:cs="Times New Roman"/>
          <w:b/>
          <w:bCs/>
          <w:color w:val="auto"/>
          <w:sz w:val="21"/>
          <w:szCs w:val="21"/>
          <w:lang w:val="en-US" w:eastAsia="zh-CN" w:bidi="zh-CN"/>
        </w:rPr>
        <w:t>表4.2-17  污水处理有组织废气排放情况情况一览表</w:t>
      </w:r>
    </w:p>
    <w:tbl>
      <w:tblPr>
        <w:tblStyle w:val="48"/>
        <w:tblW w:w="0" w:type="auto"/>
        <w:tblInd w:w="0" w:type="dxa"/>
        <w:tblLayout w:type="fixed"/>
        <w:tblCellMar>
          <w:top w:w="0" w:type="dxa"/>
          <w:left w:w="0" w:type="dxa"/>
          <w:bottom w:w="0" w:type="dxa"/>
          <w:right w:w="0" w:type="dxa"/>
        </w:tblCellMar>
      </w:tblPr>
      <w:tblGrid>
        <w:gridCol w:w="508"/>
        <w:gridCol w:w="526"/>
        <w:gridCol w:w="818"/>
        <w:gridCol w:w="747"/>
        <w:gridCol w:w="1100"/>
        <w:gridCol w:w="713"/>
        <w:gridCol w:w="510"/>
        <w:gridCol w:w="463"/>
        <w:gridCol w:w="825"/>
        <w:gridCol w:w="850"/>
        <w:gridCol w:w="750"/>
        <w:gridCol w:w="532"/>
      </w:tblGrid>
      <w:tr>
        <w:tblPrEx>
          <w:tblCellMar>
            <w:top w:w="0" w:type="dxa"/>
            <w:left w:w="0" w:type="dxa"/>
            <w:bottom w:w="0" w:type="dxa"/>
            <w:right w:w="0" w:type="dxa"/>
          </w:tblCellMar>
        </w:tblPrEx>
        <w:trPr>
          <w:trHeight w:val="90" w:hRule="atLeast"/>
        </w:trPr>
        <w:tc>
          <w:tcPr>
            <w:tcW w:w="50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污染源</w:t>
            </w:r>
          </w:p>
        </w:tc>
        <w:tc>
          <w:tcPr>
            <w:tcW w:w="52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污染物名称</w:t>
            </w:r>
          </w:p>
        </w:tc>
        <w:tc>
          <w:tcPr>
            <w:tcW w:w="1565" w:type="dxa"/>
            <w:gridSpan w:val="2"/>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产生情况</w:t>
            </w:r>
          </w:p>
        </w:tc>
        <w:tc>
          <w:tcPr>
            <w:tcW w:w="110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防治措施</w:t>
            </w:r>
          </w:p>
        </w:tc>
        <w:tc>
          <w:tcPr>
            <w:tcW w:w="1686" w:type="dxa"/>
            <w:gridSpan w:val="3"/>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排气筒参数</w:t>
            </w:r>
          </w:p>
        </w:tc>
        <w:tc>
          <w:tcPr>
            <w:tcW w:w="2425" w:type="dxa"/>
            <w:gridSpan w:val="3"/>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排放情况</w:t>
            </w:r>
          </w:p>
        </w:tc>
        <w:tc>
          <w:tcPr>
            <w:tcW w:w="53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排放时间</w:t>
            </w:r>
            <w:r>
              <w:rPr>
                <w:rFonts w:hint="default" w:ascii="Times New Roman" w:hAnsi="Times New Roman" w:eastAsia="宋体" w:cs="Times New Roman"/>
                <w:i w:val="0"/>
                <w:color w:val="auto"/>
                <w:kern w:val="0"/>
                <w:sz w:val="21"/>
                <w:szCs w:val="21"/>
                <w:u w:val="none"/>
                <w:lang w:val="en-US" w:eastAsia="zh-CN" w:bidi="ar"/>
              </w:rPr>
              <w:t>h/a</w:t>
            </w:r>
          </w:p>
        </w:tc>
      </w:tr>
      <w:tr>
        <w:tblPrEx>
          <w:tblCellMar>
            <w:top w:w="0" w:type="dxa"/>
            <w:left w:w="0" w:type="dxa"/>
            <w:bottom w:w="0" w:type="dxa"/>
            <w:right w:w="0" w:type="dxa"/>
          </w:tblCellMar>
        </w:tblPrEx>
        <w:trPr>
          <w:trHeight w:val="270" w:hRule="atLeast"/>
        </w:trPr>
        <w:tc>
          <w:tcPr>
            <w:tcW w:w="50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2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81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产生量</w:t>
            </w:r>
            <w:r>
              <w:rPr>
                <w:rFonts w:hint="default" w:ascii="Times New Roman" w:hAnsi="Times New Roman" w:eastAsia="宋体" w:cs="Times New Roman"/>
                <w:i w:val="0"/>
                <w:color w:val="auto"/>
                <w:kern w:val="0"/>
                <w:sz w:val="21"/>
                <w:szCs w:val="21"/>
                <w:u w:val="none"/>
                <w:lang w:val="en-US" w:eastAsia="zh-CN" w:bidi="ar"/>
              </w:rPr>
              <w:t>t/a</w:t>
            </w:r>
          </w:p>
        </w:tc>
        <w:tc>
          <w:tcPr>
            <w:tcW w:w="7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速率</w:t>
            </w:r>
            <w:r>
              <w:rPr>
                <w:rFonts w:hint="default" w:ascii="Times New Roman" w:hAnsi="Times New Roman" w:eastAsia="宋体" w:cs="Times New Roman"/>
                <w:i w:val="0"/>
                <w:color w:val="auto"/>
                <w:kern w:val="0"/>
                <w:sz w:val="21"/>
                <w:szCs w:val="21"/>
                <w:u w:val="none"/>
                <w:lang w:val="en-US" w:eastAsia="zh-CN" w:bidi="ar"/>
              </w:rPr>
              <w:t>kg/h</w:t>
            </w:r>
          </w:p>
        </w:tc>
        <w:tc>
          <w:tcPr>
            <w:tcW w:w="110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排放量</w:t>
            </w: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/h</w:t>
            </w:r>
          </w:p>
        </w:tc>
        <w:tc>
          <w:tcPr>
            <w:tcW w:w="5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内径</w:t>
            </w:r>
            <w:r>
              <w:rPr>
                <w:rFonts w:hint="default" w:ascii="Times New Roman" w:hAnsi="Times New Roman" w:eastAsia="宋体" w:cs="Times New Roman"/>
                <w:i w:val="0"/>
                <w:color w:val="auto"/>
                <w:kern w:val="0"/>
                <w:sz w:val="21"/>
                <w:szCs w:val="21"/>
                <w:u w:val="none"/>
                <w:lang w:val="en-US" w:eastAsia="zh-CN" w:bidi="ar"/>
              </w:rPr>
              <w:t>m</w:t>
            </w:r>
          </w:p>
        </w:tc>
        <w:tc>
          <w:tcPr>
            <w:tcW w:w="46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高度</w:t>
            </w:r>
            <w:r>
              <w:rPr>
                <w:rFonts w:hint="default" w:ascii="Times New Roman" w:hAnsi="Times New Roman" w:eastAsia="宋体" w:cs="Times New Roman"/>
                <w:i w:val="0"/>
                <w:color w:val="auto"/>
                <w:kern w:val="0"/>
                <w:sz w:val="21"/>
                <w:szCs w:val="21"/>
                <w:u w:val="none"/>
                <w:lang w:val="en-US" w:eastAsia="zh-CN" w:bidi="ar"/>
              </w:rPr>
              <w:t>m</w:t>
            </w:r>
          </w:p>
        </w:tc>
        <w:tc>
          <w:tcPr>
            <w:tcW w:w="8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排放量</w:t>
            </w:r>
            <w:r>
              <w:rPr>
                <w:rFonts w:hint="default" w:ascii="Times New Roman" w:hAnsi="Times New Roman" w:eastAsia="宋体" w:cs="Times New Roman"/>
                <w:i w:val="0"/>
                <w:color w:val="auto"/>
                <w:kern w:val="0"/>
                <w:sz w:val="21"/>
                <w:szCs w:val="21"/>
                <w:u w:val="none"/>
                <w:lang w:val="en-US" w:eastAsia="zh-CN" w:bidi="ar"/>
              </w:rPr>
              <w:t>t/a</w:t>
            </w:r>
          </w:p>
        </w:tc>
        <w:tc>
          <w:tcPr>
            <w:tcW w:w="8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速率</w:t>
            </w:r>
            <w:r>
              <w:rPr>
                <w:rFonts w:hint="default" w:ascii="Times New Roman" w:hAnsi="Times New Roman" w:eastAsia="宋体" w:cs="Times New Roman"/>
                <w:i w:val="0"/>
                <w:color w:val="auto"/>
                <w:kern w:val="0"/>
                <w:sz w:val="21"/>
                <w:szCs w:val="21"/>
                <w:u w:val="none"/>
                <w:lang w:val="en-US" w:eastAsia="zh-CN" w:bidi="ar"/>
              </w:rPr>
              <w:t>kg/h</w:t>
            </w:r>
          </w:p>
        </w:tc>
        <w:tc>
          <w:tcPr>
            <w:tcW w:w="7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浓度</w:t>
            </w:r>
            <w:r>
              <w:rPr>
                <w:rFonts w:hint="default" w:ascii="Times New Roman" w:hAnsi="Times New Roman" w:eastAsia="宋体" w:cs="Times New Roman"/>
                <w:i w:val="0"/>
                <w:color w:val="auto"/>
                <w:kern w:val="0"/>
                <w:sz w:val="21"/>
                <w:szCs w:val="21"/>
                <w:u w:val="none"/>
                <w:lang w:val="en-US" w:eastAsia="zh-CN" w:bidi="ar"/>
              </w:rPr>
              <w:t>mg/m</w:t>
            </w:r>
            <w:r>
              <w:rPr>
                <w:rFonts w:hint="default" w:ascii="Times New Roman" w:hAnsi="Times New Roman" w:eastAsia="宋体" w:cs="Times New Roman"/>
                <w:i w:val="0"/>
                <w:color w:val="auto"/>
                <w:kern w:val="0"/>
                <w:sz w:val="21"/>
                <w:szCs w:val="21"/>
                <w:u w:val="none"/>
                <w:vertAlign w:val="superscript"/>
                <w:lang w:val="en-US" w:eastAsia="zh-CN" w:bidi="ar"/>
              </w:rPr>
              <w:t>3</w:t>
            </w:r>
          </w:p>
        </w:tc>
        <w:tc>
          <w:tcPr>
            <w:tcW w:w="53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CellMar>
            <w:top w:w="0" w:type="dxa"/>
            <w:left w:w="0" w:type="dxa"/>
            <w:bottom w:w="0" w:type="dxa"/>
            <w:right w:w="0" w:type="dxa"/>
          </w:tblCellMar>
        </w:tblPrEx>
        <w:trPr>
          <w:trHeight w:val="675" w:hRule="atLeast"/>
        </w:trPr>
        <w:tc>
          <w:tcPr>
            <w:tcW w:w="50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Style w:val="138"/>
                <w:color w:val="auto"/>
                <w:sz w:val="21"/>
                <w:szCs w:val="21"/>
                <w:lang w:val="en-US" w:eastAsia="zh-CN" w:bidi="ar"/>
              </w:rPr>
              <w:t>污水处理</w:t>
            </w:r>
            <w:r>
              <w:rPr>
                <w:rFonts w:hint="eastAsia" w:ascii="宋体" w:hAnsi="宋体" w:eastAsia="宋体" w:cs="宋体"/>
                <w:i w:val="0"/>
                <w:color w:val="auto"/>
                <w:kern w:val="0"/>
                <w:sz w:val="21"/>
                <w:szCs w:val="21"/>
                <w:u w:val="none"/>
                <w:lang w:val="en-US" w:eastAsia="zh-CN" w:bidi="ar"/>
              </w:rPr>
              <w:t>排气筒</w:t>
            </w:r>
            <w:r>
              <w:rPr>
                <w:rFonts w:hint="default" w:ascii="Times New Roman" w:hAnsi="Times New Roman" w:eastAsia="宋体" w:cs="Times New Roman"/>
                <w:i w:val="0"/>
                <w:color w:val="auto"/>
                <w:kern w:val="0"/>
                <w:sz w:val="21"/>
                <w:szCs w:val="21"/>
                <w:u w:val="none"/>
                <w:lang w:val="en-US" w:eastAsia="zh-CN" w:bidi="ar"/>
              </w:rPr>
              <w:t>P1</w:t>
            </w:r>
          </w:p>
        </w:tc>
        <w:tc>
          <w:tcPr>
            <w:tcW w:w="52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p>
        </w:tc>
        <w:tc>
          <w:tcPr>
            <w:tcW w:w="81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0.15345 </w:t>
            </w:r>
          </w:p>
        </w:tc>
        <w:tc>
          <w:tcPr>
            <w:tcW w:w="7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0.01752 </w:t>
            </w:r>
          </w:p>
        </w:tc>
        <w:tc>
          <w:tcPr>
            <w:tcW w:w="110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color w:val="auto"/>
                <w:sz w:val="21"/>
                <w:szCs w:val="21"/>
                <w:u w:val="none"/>
              </w:rPr>
            </w:pPr>
            <w:r>
              <w:rPr>
                <w:rFonts w:hint="eastAsia" w:ascii="宋体" w:hAnsi="宋体" w:cs="宋体"/>
                <w:i w:val="0"/>
                <w:color w:val="auto"/>
                <w:kern w:val="0"/>
                <w:sz w:val="21"/>
                <w:szCs w:val="21"/>
                <w:u w:val="none"/>
                <w:lang w:val="en-US" w:eastAsia="zh-CN" w:bidi="ar"/>
              </w:rPr>
              <w:t>光氧+活性炭吸附</w:t>
            </w:r>
            <w:r>
              <w:rPr>
                <w:rFonts w:hint="eastAsia" w:ascii="宋体" w:hAnsi="宋体" w:eastAsia="宋体" w:cs="宋体"/>
                <w:i w:val="0"/>
                <w:color w:val="auto"/>
                <w:kern w:val="0"/>
                <w:sz w:val="21"/>
                <w:szCs w:val="21"/>
                <w:u w:val="none"/>
                <w:lang w:val="en-US" w:eastAsia="zh-CN" w:bidi="ar"/>
              </w:rPr>
              <w:t>装置处理，臭气收集效率</w:t>
            </w:r>
            <w:r>
              <w:rPr>
                <w:rFonts w:hint="default" w:ascii="Times New Roman" w:hAnsi="Times New Roman" w:eastAsia="宋体" w:cs="Times New Roman"/>
                <w:i w:val="0"/>
                <w:color w:val="auto"/>
                <w:kern w:val="0"/>
                <w:sz w:val="21"/>
                <w:szCs w:val="21"/>
                <w:u w:val="none"/>
                <w:lang w:val="en-US" w:eastAsia="zh-CN" w:bidi="ar"/>
              </w:rPr>
              <w:t>99%</w:t>
            </w:r>
            <w:r>
              <w:rPr>
                <w:rFonts w:hint="eastAsia" w:ascii="宋体" w:hAnsi="宋体" w:eastAsia="宋体" w:cs="宋体"/>
                <w:i w:val="0"/>
                <w:color w:val="auto"/>
                <w:kern w:val="0"/>
                <w:sz w:val="21"/>
                <w:szCs w:val="21"/>
                <w:u w:val="none"/>
                <w:lang w:val="en-US" w:eastAsia="zh-CN" w:bidi="ar"/>
              </w:rPr>
              <w:t>，去除效率</w:t>
            </w:r>
            <w:r>
              <w:rPr>
                <w:rFonts w:hint="default" w:ascii="Times New Roman" w:hAnsi="Times New Roman" w:eastAsia="宋体" w:cs="Times New Roman"/>
                <w:i w:val="0"/>
                <w:color w:val="auto"/>
                <w:kern w:val="0"/>
                <w:sz w:val="21"/>
                <w:szCs w:val="21"/>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2000</w:t>
            </w:r>
          </w:p>
        </w:tc>
        <w:tc>
          <w:tcPr>
            <w:tcW w:w="51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0.3</w:t>
            </w:r>
          </w:p>
        </w:tc>
        <w:tc>
          <w:tcPr>
            <w:tcW w:w="463"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w:t>
            </w:r>
          </w:p>
        </w:tc>
        <w:tc>
          <w:tcPr>
            <w:tcW w:w="8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0.01535 </w:t>
            </w:r>
          </w:p>
        </w:tc>
        <w:tc>
          <w:tcPr>
            <w:tcW w:w="8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0.00175 </w:t>
            </w:r>
          </w:p>
        </w:tc>
        <w:tc>
          <w:tcPr>
            <w:tcW w:w="7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0.88 </w:t>
            </w:r>
          </w:p>
        </w:tc>
        <w:tc>
          <w:tcPr>
            <w:tcW w:w="53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8760</w:t>
            </w:r>
          </w:p>
        </w:tc>
      </w:tr>
      <w:tr>
        <w:tblPrEx>
          <w:tblCellMar>
            <w:top w:w="0" w:type="dxa"/>
            <w:left w:w="0" w:type="dxa"/>
            <w:bottom w:w="0" w:type="dxa"/>
            <w:right w:w="0" w:type="dxa"/>
          </w:tblCellMar>
        </w:tblPrEx>
        <w:trPr>
          <w:trHeight w:val="390" w:hRule="atLeast"/>
        </w:trPr>
        <w:tc>
          <w:tcPr>
            <w:tcW w:w="50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2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w:t>
            </w:r>
          </w:p>
        </w:tc>
        <w:tc>
          <w:tcPr>
            <w:tcW w:w="81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0.00594 </w:t>
            </w:r>
          </w:p>
        </w:tc>
        <w:tc>
          <w:tcPr>
            <w:tcW w:w="7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0.00068 </w:t>
            </w:r>
          </w:p>
        </w:tc>
        <w:tc>
          <w:tcPr>
            <w:tcW w:w="110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color w:val="auto"/>
                <w:sz w:val="21"/>
                <w:szCs w:val="21"/>
                <w:u w:val="none"/>
              </w:rPr>
            </w:pPr>
          </w:p>
        </w:tc>
        <w:tc>
          <w:tcPr>
            <w:tcW w:w="713"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1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463"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8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0.00059 </w:t>
            </w:r>
          </w:p>
        </w:tc>
        <w:tc>
          <w:tcPr>
            <w:tcW w:w="8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0.00007 </w:t>
            </w:r>
          </w:p>
        </w:tc>
        <w:tc>
          <w:tcPr>
            <w:tcW w:w="7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0.03 </w:t>
            </w:r>
          </w:p>
        </w:tc>
        <w:tc>
          <w:tcPr>
            <w:tcW w:w="53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bl>
    <w:p>
      <w:pPr>
        <w:pStyle w:val="261"/>
        <w:keepNext w:val="0"/>
        <w:keepLines w:val="0"/>
        <w:pageBreakBefore w:val="0"/>
        <w:shd w:val="clear" w:color="auto" w:fill="auto"/>
        <w:kinsoku/>
        <w:wordWrap/>
        <w:overflowPunct/>
        <w:topLinePunct w:val="0"/>
        <w:autoSpaceDE/>
        <w:autoSpaceDN/>
        <w:bidi w:val="0"/>
        <w:adjustRightInd/>
        <w:snapToGrid/>
        <w:spacing w:after="0" w:line="475" w:lineRule="exact"/>
        <w:ind w:firstLine="0" w:firstLineChars="0"/>
        <w:jc w:val="center"/>
        <w:rPr>
          <w:rFonts w:hint="default" w:ascii="Times New Roman" w:hAnsi="Times New Roman" w:eastAsia="宋体" w:cs="Times New Roman"/>
          <w:b/>
          <w:bCs/>
          <w:color w:val="auto"/>
          <w:sz w:val="21"/>
          <w:szCs w:val="21"/>
          <w:lang w:val="en-US" w:eastAsia="zh-CN" w:bidi="zh-CN"/>
        </w:rPr>
      </w:pPr>
      <w:r>
        <w:rPr>
          <w:rFonts w:hint="default" w:ascii="Times New Roman" w:hAnsi="Times New Roman" w:eastAsia="宋体" w:cs="Times New Roman"/>
          <w:b/>
          <w:bCs/>
          <w:color w:val="auto"/>
          <w:sz w:val="21"/>
          <w:szCs w:val="21"/>
          <w:lang w:val="en-US" w:eastAsia="zh-CN" w:bidi="zh-CN"/>
        </w:rPr>
        <w:t>表</w:t>
      </w:r>
      <w:r>
        <w:rPr>
          <w:rFonts w:hint="eastAsia" w:ascii="Times New Roman" w:hAnsi="Times New Roman" w:eastAsia="宋体" w:cs="Times New Roman"/>
          <w:b/>
          <w:bCs/>
          <w:color w:val="auto"/>
          <w:sz w:val="21"/>
          <w:szCs w:val="21"/>
          <w:lang w:val="en-US" w:eastAsia="zh-CN" w:bidi="zh-CN"/>
        </w:rPr>
        <w:t xml:space="preserve">4.2-18  </w:t>
      </w:r>
      <w:r>
        <w:rPr>
          <w:rFonts w:hint="default" w:ascii="Times New Roman" w:hAnsi="Times New Roman" w:eastAsia="宋体" w:cs="Times New Roman"/>
          <w:b/>
          <w:bCs/>
          <w:color w:val="auto"/>
          <w:sz w:val="21"/>
          <w:szCs w:val="21"/>
          <w:lang w:val="en-US" w:eastAsia="zh-CN" w:bidi="zh-CN"/>
        </w:rPr>
        <w:t>污水处理无组织废气排放情况情况一览表</w:t>
      </w:r>
    </w:p>
    <w:tbl>
      <w:tblPr>
        <w:tblStyle w:val="48"/>
        <w:tblW w:w="0" w:type="auto"/>
        <w:tblInd w:w="0" w:type="dxa"/>
        <w:tblLayout w:type="fixed"/>
        <w:tblCellMar>
          <w:top w:w="0" w:type="dxa"/>
          <w:left w:w="0" w:type="dxa"/>
          <w:bottom w:w="0" w:type="dxa"/>
          <w:right w:w="0" w:type="dxa"/>
        </w:tblCellMar>
      </w:tblPr>
      <w:tblGrid>
        <w:gridCol w:w="766"/>
        <w:gridCol w:w="766"/>
        <w:gridCol w:w="1146"/>
        <w:gridCol w:w="1238"/>
        <w:gridCol w:w="1220"/>
        <w:gridCol w:w="1220"/>
        <w:gridCol w:w="1220"/>
        <w:gridCol w:w="766"/>
      </w:tblGrid>
      <w:tr>
        <w:tblPrEx>
          <w:tblCellMar>
            <w:top w:w="0" w:type="dxa"/>
            <w:left w:w="0" w:type="dxa"/>
            <w:bottom w:w="0" w:type="dxa"/>
            <w:right w:w="0" w:type="dxa"/>
          </w:tblCellMar>
        </w:tblPrEx>
        <w:trPr>
          <w:trHeight w:val="34" w:hRule="atLeast"/>
        </w:trPr>
        <w:tc>
          <w:tcPr>
            <w:tcW w:w="76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污染源</w:t>
            </w:r>
          </w:p>
        </w:tc>
        <w:tc>
          <w:tcPr>
            <w:tcW w:w="76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污染物名称</w:t>
            </w:r>
          </w:p>
        </w:tc>
        <w:tc>
          <w:tcPr>
            <w:tcW w:w="114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排放量（</w:t>
            </w:r>
            <w:r>
              <w:rPr>
                <w:rFonts w:hint="default" w:ascii="Times New Roman" w:hAnsi="Times New Roman" w:eastAsia="宋体" w:cs="Times New Roman"/>
                <w:i w:val="0"/>
                <w:color w:val="auto"/>
                <w:kern w:val="0"/>
                <w:sz w:val="21"/>
                <w:szCs w:val="21"/>
                <w:u w:val="none"/>
                <w:lang w:val="en-US" w:eastAsia="zh-CN" w:bidi="ar"/>
              </w:rPr>
              <w:t>t/a</w:t>
            </w:r>
            <w:r>
              <w:rPr>
                <w:rFonts w:hint="eastAsia" w:ascii="Times New Roman" w:hAnsi="Times New Roman" w:eastAsia="宋体" w:cs="Times New Roman"/>
                <w:i w:val="0"/>
                <w:color w:val="auto"/>
                <w:kern w:val="0"/>
                <w:sz w:val="21"/>
                <w:szCs w:val="21"/>
                <w:u w:val="none"/>
                <w:lang w:val="en-US" w:eastAsia="zh-CN" w:bidi="ar"/>
              </w:rPr>
              <w:t>）</w:t>
            </w:r>
          </w:p>
        </w:tc>
        <w:tc>
          <w:tcPr>
            <w:tcW w:w="123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排放速率（kg/h）</w:t>
            </w:r>
          </w:p>
        </w:tc>
        <w:tc>
          <w:tcPr>
            <w:tcW w:w="3660" w:type="dxa"/>
            <w:gridSpan w:val="3"/>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排放参数</w:t>
            </w:r>
          </w:p>
        </w:tc>
        <w:tc>
          <w:tcPr>
            <w:tcW w:w="76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eastAsia" w:ascii="Times New Roman" w:hAnsi="Times New Roman" w:eastAsia="宋体" w:cs="Times New Roman"/>
                <w:i w:val="0"/>
                <w:color w:val="auto"/>
                <w:kern w:val="0"/>
                <w:sz w:val="21"/>
                <w:szCs w:val="21"/>
                <w:u w:val="none"/>
                <w:lang w:val="en-US" w:eastAsia="zh-CN" w:bidi="ar"/>
              </w:rPr>
              <w:t>排放时间</w:t>
            </w:r>
          </w:p>
        </w:tc>
      </w:tr>
      <w:tr>
        <w:tblPrEx>
          <w:tblCellMar>
            <w:top w:w="0" w:type="dxa"/>
            <w:left w:w="0" w:type="dxa"/>
            <w:bottom w:w="0" w:type="dxa"/>
            <w:right w:w="0" w:type="dxa"/>
          </w:tblCellMar>
        </w:tblPrEx>
        <w:trPr>
          <w:trHeight w:val="34" w:hRule="atLeast"/>
        </w:trPr>
        <w:tc>
          <w:tcPr>
            <w:tcW w:w="76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6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14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23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22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长度(m)</w:t>
            </w:r>
          </w:p>
        </w:tc>
        <w:tc>
          <w:tcPr>
            <w:tcW w:w="122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宽度(m)</w:t>
            </w:r>
          </w:p>
        </w:tc>
        <w:tc>
          <w:tcPr>
            <w:tcW w:w="122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高度(m)</w:t>
            </w:r>
          </w:p>
        </w:tc>
        <w:tc>
          <w:tcPr>
            <w:tcW w:w="76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CellMar>
            <w:top w:w="0" w:type="dxa"/>
            <w:left w:w="0" w:type="dxa"/>
            <w:bottom w:w="0" w:type="dxa"/>
            <w:right w:w="0" w:type="dxa"/>
          </w:tblCellMar>
        </w:tblPrEx>
        <w:trPr>
          <w:trHeight w:val="482" w:hRule="atLeast"/>
        </w:trPr>
        <w:tc>
          <w:tcPr>
            <w:tcW w:w="76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default" w:ascii="Times New Roman" w:hAnsi="Times New Roman" w:eastAsia="宋体" w:cs="Times New Roman"/>
                <w:i w:val="0"/>
                <w:color w:val="auto"/>
                <w:kern w:val="0"/>
                <w:sz w:val="21"/>
                <w:szCs w:val="21"/>
                <w:u w:val="none"/>
                <w:lang w:val="en-US" w:eastAsia="zh-CN" w:bidi="ar"/>
              </w:rPr>
              <w:t>污水处理站</w:t>
            </w:r>
            <w:r>
              <w:rPr>
                <w:rFonts w:hint="eastAsia" w:ascii="Times New Roman" w:hAnsi="Times New Roman" w:eastAsia="宋体" w:cs="Times New Roman"/>
                <w:i w:val="0"/>
                <w:color w:val="auto"/>
                <w:kern w:val="0"/>
                <w:sz w:val="21"/>
                <w:szCs w:val="21"/>
                <w:u w:val="none"/>
                <w:lang w:val="en-US" w:eastAsia="zh-CN" w:bidi="ar"/>
              </w:rPr>
              <w:t>无组织废气</w:t>
            </w:r>
          </w:p>
        </w:tc>
        <w:tc>
          <w:tcPr>
            <w:tcW w:w="7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p>
        </w:tc>
        <w:tc>
          <w:tcPr>
            <w:tcW w:w="114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0.00155 </w:t>
            </w:r>
          </w:p>
        </w:tc>
        <w:tc>
          <w:tcPr>
            <w:tcW w:w="123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0.00018 </w:t>
            </w:r>
          </w:p>
        </w:tc>
        <w:tc>
          <w:tcPr>
            <w:tcW w:w="122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eastAsia" w:cs="Times New Roman"/>
                <w:i w:val="0"/>
                <w:color w:val="auto"/>
                <w:kern w:val="0"/>
                <w:sz w:val="21"/>
                <w:szCs w:val="21"/>
                <w:u w:val="none"/>
                <w:lang w:val="en-US" w:eastAsia="zh-CN" w:bidi="ar"/>
              </w:rPr>
              <w:t>66.6</w:t>
            </w:r>
          </w:p>
        </w:tc>
        <w:tc>
          <w:tcPr>
            <w:tcW w:w="122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eastAsia" w:cs="Times New Roman"/>
                <w:i w:val="0"/>
                <w:color w:val="auto"/>
                <w:kern w:val="0"/>
                <w:sz w:val="21"/>
                <w:szCs w:val="21"/>
                <w:u w:val="none"/>
                <w:lang w:val="en-US" w:eastAsia="zh-CN" w:bidi="ar"/>
              </w:rPr>
              <w:t>12.6</w:t>
            </w:r>
          </w:p>
        </w:tc>
        <w:tc>
          <w:tcPr>
            <w:tcW w:w="1220"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eastAsia" w:cs="Times New Roman"/>
                <w:i w:val="0"/>
                <w:color w:val="auto"/>
                <w:kern w:val="0"/>
                <w:sz w:val="21"/>
                <w:szCs w:val="21"/>
                <w:u w:val="none"/>
                <w:lang w:val="en-US" w:eastAsia="zh-CN" w:bidi="ar"/>
              </w:rPr>
              <w:t>0</w:t>
            </w:r>
          </w:p>
        </w:tc>
        <w:tc>
          <w:tcPr>
            <w:tcW w:w="76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eastAsia" w:ascii="Times New Roman" w:hAnsi="Times New Roman" w:eastAsia="宋体" w:cs="Times New Roman"/>
                <w:i w:val="0"/>
                <w:color w:val="auto"/>
                <w:kern w:val="0"/>
                <w:sz w:val="21"/>
                <w:szCs w:val="21"/>
                <w:u w:val="none"/>
                <w:lang w:val="en-US" w:eastAsia="zh-CN" w:bidi="ar"/>
              </w:rPr>
              <w:t>8760</w:t>
            </w:r>
            <w:r>
              <w:rPr>
                <w:rFonts w:hint="eastAsia" w:ascii="Times New Roman" w:hAnsi="Times New Roman" w:cs="Times New Roman"/>
                <w:i w:val="0"/>
                <w:color w:val="auto"/>
                <w:kern w:val="0"/>
                <w:sz w:val="21"/>
                <w:szCs w:val="21"/>
                <w:u w:val="none"/>
                <w:lang w:val="en-US" w:eastAsia="zh-CN" w:bidi="ar"/>
              </w:rPr>
              <w:t>h</w:t>
            </w:r>
          </w:p>
        </w:tc>
      </w:tr>
      <w:tr>
        <w:tblPrEx>
          <w:tblCellMar>
            <w:top w:w="0" w:type="dxa"/>
            <w:left w:w="0" w:type="dxa"/>
            <w:bottom w:w="0" w:type="dxa"/>
            <w:right w:w="0" w:type="dxa"/>
          </w:tblCellMar>
        </w:tblPrEx>
        <w:trPr>
          <w:trHeight w:val="34" w:hRule="atLeast"/>
        </w:trPr>
        <w:tc>
          <w:tcPr>
            <w:tcW w:w="76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w:t>
            </w:r>
          </w:p>
        </w:tc>
        <w:tc>
          <w:tcPr>
            <w:tcW w:w="114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0.00006 </w:t>
            </w:r>
          </w:p>
        </w:tc>
        <w:tc>
          <w:tcPr>
            <w:tcW w:w="123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0.000007 </w:t>
            </w:r>
          </w:p>
        </w:tc>
        <w:tc>
          <w:tcPr>
            <w:tcW w:w="122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22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220"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6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bl>
    <w:p>
      <w:pPr>
        <w:spacing w:line="360" w:lineRule="auto"/>
        <w:rPr>
          <w:b w:val="0"/>
          <w:bCs w:val="0"/>
          <w:color w:val="auto"/>
          <w:sz w:val="24"/>
        </w:rPr>
      </w:pPr>
      <w:r>
        <w:rPr>
          <w:rFonts w:hint="eastAsia"/>
          <w:b w:val="0"/>
          <w:bCs w:val="0"/>
          <w:color w:val="auto"/>
          <w:szCs w:val="21"/>
          <w:lang w:eastAsia="zh-CN"/>
        </w:rPr>
        <w:t>（</w:t>
      </w:r>
      <w:r>
        <w:rPr>
          <w:rFonts w:hint="eastAsia"/>
          <w:b w:val="0"/>
          <w:bCs w:val="0"/>
          <w:color w:val="auto"/>
          <w:szCs w:val="21"/>
          <w:lang w:val="en-US" w:eastAsia="zh-CN"/>
        </w:rPr>
        <w:t>3</w:t>
      </w:r>
      <w:r>
        <w:rPr>
          <w:rFonts w:hint="eastAsia"/>
          <w:b w:val="0"/>
          <w:bCs w:val="0"/>
          <w:color w:val="auto"/>
          <w:szCs w:val="21"/>
          <w:lang w:eastAsia="zh-CN"/>
        </w:rPr>
        <w:t>）</w:t>
      </w:r>
      <w:r>
        <w:rPr>
          <w:b w:val="0"/>
          <w:bCs w:val="0"/>
          <w:color w:val="auto"/>
          <w:sz w:val="24"/>
        </w:rPr>
        <w:t>食堂油烟</w:t>
      </w:r>
    </w:p>
    <w:p>
      <w:pPr>
        <w:spacing w:line="360" w:lineRule="auto"/>
        <w:ind w:firstLine="480" w:firstLineChars="200"/>
        <w:rPr>
          <w:rFonts w:hint="eastAsia" w:ascii="宋体" w:hAnsi="宋体"/>
          <w:color w:val="auto"/>
          <w:sz w:val="24"/>
        </w:rPr>
      </w:pPr>
      <w:r>
        <w:rPr>
          <w:rFonts w:hint="eastAsia" w:ascii="宋体" w:hAnsi="宋体"/>
          <w:color w:val="auto"/>
          <w:sz w:val="24"/>
        </w:rPr>
        <w:t>食堂由于烹饪而产生油烟，油烟是一种由烹饪时动植物油产生的油雾及其在高温下氧化裂解的醛类、酮类、链烷类、乙醇和链烯热解物组成的较为复杂的气溶胶，包括有气态、液态、固态的污染物，另据有关文献介绍，油烟中还含有致癌物如多环芳烃、苯并[a]芘等，对人体细胞具有遗传毒性和致突变性。且油烟直接无组织外排将冷凝沉积形成油污，污染墙面。</w:t>
      </w:r>
    </w:p>
    <w:p>
      <w:pPr>
        <w:tabs>
          <w:tab w:val="left" w:pos="3239"/>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食堂</w:t>
      </w:r>
      <w:r>
        <w:rPr>
          <w:rFonts w:hint="default" w:ascii="Times New Roman" w:hAnsi="Times New Roman" w:cs="Times New Roman"/>
          <w:color w:val="auto"/>
          <w:sz w:val="24"/>
          <w:highlight w:val="none"/>
        </w:rPr>
        <w:t>就餐人数按每天</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lang w:val="en-US" w:eastAsia="zh-CN"/>
        </w:rPr>
        <w:t>00</w:t>
      </w:r>
      <w:r>
        <w:rPr>
          <w:rFonts w:hint="default" w:ascii="Times New Roman" w:hAnsi="Times New Roman" w:cs="Times New Roman"/>
          <w:color w:val="auto"/>
          <w:sz w:val="24"/>
          <w:highlight w:val="none"/>
        </w:rPr>
        <w:t>人</w:t>
      </w:r>
      <w:r>
        <w:rPr>
          <w:rFonts w:hint="default" w:ascii="Times New Roman" w:hAnsi="Times New Roman" w:cs="Times New Roman"/>
          <w:color w:val="auto"/>
          <w:sz w:val="24"/>
          <w:highlight w:val="none"/>
          <w:lang w:val="en-US" w:eastAsia="zh-CN"/>
        </w:rPr>
        <w:t>次</w:t>
      </w:r>
      <w:r>
        <w:rPr>
          <w:rFonts w:hint="default" w:ascii="Times New Roman" w:hAnsi="Times New Roman" w:cs="Times New Roman"/>
          <w:color w:val="auto"/>
          <w:sz w:val="24"/>
          <w:highlight w:val="none"/>
        </w:rPr>
        <w:t>计</w:t>
      </w:r>
      <w:r>
        <w:rPr>
          <w:rFonts w:hint="eastAsia" w:cs="Times New Roman"/>
          <w:color w:val="auto"/>
          <w:sz w:val="24"/>
          <w:highlight w:val="none"/>
          <w:lang w:eastAsia="zh-CN"/>
        </w:rPr>
        <w:t>，综合管理中心的职工食堂每日用餐人数按</w:t>
      </w:r>
      <w:r>
        <w:rPr>
          <w:rFonts w:hint="eastAsia" w:cs="Times New Roman"/>
          <w:color w:val="auto"/>
          <w:sz w:val="24"/>
          <w:highlight w:val="none"/>
          <w:lang w:val="en-US" w:eastAsia="zh-CN"/>
        </w:rPr>
        <w:t>3000人计，门急诊医技楼一层的营养餐厅每日用餐人数按2000人计</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每</w:t>
      </w:r>
      <w:r>
        <w:rPr>
          <w:rFonts w:hint="default" w:ascii="Times New Roman" w:hAnsi="Times New Roman" w:cs="Times New Roman"/>
          <w:color w:val="auto"/>
          <w:sz w:val="24"/>
          <w:highlight w:val="none"/>
        </w:rPr>
        <w:t>人</w:t>
      </w:r>
      <w:r>
        <w:rPr>
          <w:rFonts w:hint="default" w:ascii="Times New Roman" w:hAnsi="Times New Roman" w:cs="Times New Roman"/>
          <w:color w:val="auto"/>
          <w:sz w:val="24"/>
          <w:highlight w:val="none"/>
          <w:lang w:val="en-US" w:eastAsia="zh-CN"/>
        </w:rPr>
        <w:t>次</w:t>
      </w:r>
      <w:r>
        <w:rPr>
          <w:rFonts w:hint="default" w:ascii="Times New Roman" w:hAnsi="Times New Roman" w:cs="Times New Roman"/>
          <w:color w:val="auto"/>
          <w:sz w:val="24"/>
          <w:highlight w:val="none"/>
        </w:rPr>
        <w:t>均耗食用油量按</w:t>
      </w:r>
      <w:r>
        <w:rPr>
          <w:rFonts w:hint="default"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g/天计，油烟的产生量占油耗量的2.5%计，则</w:t>
      </w:r>
      <w:r>
        <w:rPr>
          <w:rFonts w:hint="eastAsia" w:ascii="Times New Roman" w:hAnsi="Times New Roman" w:cs="Times New Roman"/>
          <w:color w:val="auto"/>
          <w:sz w:val="24"/>
          <w:highlight w:val="none"/>
          <w:lang w:val="en-US" w:eastAsia="zh-CN"/>
        </w:rPr>
        <w:t>食堂</w:t>
      </w:r>
      <w:r>
        <w:rPr>
          <w:rFonts w:hint="default" w:ascii="Times New Roman" w:hAnsi="Times New Roman" w:cs="Times New Roman"/>
          <w:color w:val="auto"/>
          <w:sz w:val="24"/>
          <w:highlight w:val="none"/>
        </w:rPr>
        <w:t>油烟的产生量为0.</w:t>
      </w:r>
      <w:r>
        <w:rPr>
          <w:rFonts w:hint="eastAsia" w:cs="Times New Roman"/>
          <w:color w:val="auto"/>
          <w:sz w:val="24"/>
          <w:highlight w:val="none"/>
          <w:lang w:val="en-US" w:eastAsia="zh-CN"/>
        </w:rPr>
        <w:t>456</w:t>
      </w:r>
      <w:r>
        <w:rPr>
          <w:rFonts w:hint="default" w:ascii="Times New Roman" w:hAnsi="Times New Roman" w:cs="Times New Roman"/>
          <w:color w:val="auto"/>
          <w:sz w:val="24"/>
          <w:highlight w:val="none"/>
        </w:rPr>
        <w:t>t/a</w:t>
      </w:r>
      <w:r>
        <w:rPr>
          <w:rFonts w:hint="eastAsia" w:cs="Times New Roman"/>
          <w:color w:val="auto"/>
          <w:sz w:val="24"/>
          <w:highlight w:val="none"/>
          <w:lang w:eastAsia="zh-CN"/>
        </w:rPr>
        <w:t>，则综合管理中心的职工食堂油烟的产生来量约为</w:t>
      </w:r>
      <w:r>
        <w:rPr>
          <w:rFonts w:hint="eastAsia" w:cs="Times New Roman"/>
          <w:color w:val="auto"/>
          <w:sz w:val="24"/>
          <w:highlight w:val="none"/>
          <w:lang w:val="en-US" w:eastAsia="zh-CN"/>
        </w:rPr>
        <w:t>0.274t/a，门急诊医技楼一层的营养餐厅的油烟产生量约为0.183t/a。</w:t>
      </w:r>
    </w:p>
    <w:p>
      <w:pPr>
        <w:tabs>
          <w:tab w:val="left" w:pos="3239"/>
        </w:tabs>
        <w:spacing w:line="360" w:lineRule="auto"/>
        <w:ind w:firstLine="480" w:firstLineChars="200"/>
        <w:rPr>
          <w:rFonts w:hint="eastAsia" w:cs="Times New Roman"/>
          <w:color w:val="auto"/>
          <w:sz w:val="24"/>
          <w:highlight w:val="none"/>
          <w:lang w:val="en-US" w:eastAsia="zh-CN"/>
        </w:rPr>
      </w:pPr>
      <w:r>
        <w:rPr>
          <w:rFonts w:hint="default" w:ascii="Times New Roman" w:hAnsi="Times New Roman" w:cs="Times New Roman"/>
          <w:color w:val="auto"/>
          <w:sz w:val="24"/>
          <w:highlight w:val="none"/>
          <w:lang w:eastAsia="zh-CN"/>
        </w:rPr>
        <w:t>综合管理中心的职工食堂</w:t>
      </w:r>
      <w:r>
        <w:rPr>
          <w:rFonts w:hint="default" w:ascii="Times New Roman" w:hAnsi="Times New Roman" w:cs="Times New Roman"/>
          <w:color w:val="auto"/>
          <w:sz w:val="24"/>
          <w:highlight w:val="none"/>
        </w:rPr>
        <w:t>设有</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rPr>
        <w:t>个标准灶头</w:t>
      </w:r>
      <w:r>
        <w:rPr>
          <w:rFonts w:hint="eastAsia" w:cs="Times New Roman"/>
          <w:color w:val="auto"/>
          <w:sz w:val="24"/>
          <w:highlight w:val="none"/>
          <w:lang w:eastAsia="zh-CN"/>
        </w:rPr>
        <w:t>，</w:t>
      </w:r>
      <w:r>
        <w:rPr>
          <w:rFonts w:hint="eastAsia" w:cs="Times New Roman"/>
          <w:color w:val="auto"/>
          <w:sz w:val="24"/>
          <w:highlight w:val="none"/>
          <w:lang w:val="en-US" w:eastAsia="zh-CN"/>
        </w:rPr>
        <w:t>门急诊医技楼一层的营养餐厅</w:t>
      </w:r>
      <w:r>
        <w:rPr>
          <w:rFonts w:hint="default" w:ascii="Times New Roman" w:hAnsi="Times New Roman" w:cs="Times New Roman"/>
          <w:color w:val="auto"/>
          <w:sz w:val="24"/>
          <w:highlight w:val="none"/>
        </w:rPr>
        <w:t>设有</w:t>
      </w:r>
      <w:r>
        <w:rPr>
          <w:rFonts w:hint="eastAsia" w:cs="Times New Roman"/>
          <w:color w:val="auto"/>
          <w:sz w:val="24"/>
          <w:highlight w:val="none"/>
          <w:lang w:val="en-US" w:eastAsia="zh-CN"/>
        </w:rPr>
        <w:t>13</w:t>
      </w:r>
      <w:r>
        <w:rPr>
          <w:rFonts w:hint="default" w:ascii="Times New Roman" w:hAnsi="Times New Roman" w:cs="Times New Roman"/>
          <w:color w:val="auto"/>
          <w:sz w:val="24"/>
          <w:highlight w:val="none"/>
        </w:rPr>
        <w:t>个标准灶头，食堂油烟净化器的处理效率为85%，</w:t>
      </w:r>
      <w:r>
        <w:rPr>
          <w:rFonts w:hint="default" w:ascii="Times New Roman" w:hAnsi="Times New Roman" w:cs="Times New Roman"/>
          <w:color w:val="auto"/>
          <w:sz w:val="24"/>
          <w:highlight w:val="none"/>
          <w:lang w:eastAsia="zh-CN"/>
        </w:rPr>
        <w:t>综合管理中心的职工食堂</w:t>
      </w:r>
      <w:r>
        <w:rPr>
          <w:rFonts w:hint="default" w:ascii="Times New Roman" w:hAnsi="Times New Roman" w:cs="Times New Roman"/>
          <w:color w:val="auto"/>
          <w:sz w:val="24"/>
          <w:highlight w:val="none"/>
        </w:rPr>
        <w:t>排风能力约为</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门急诊医技楼一层的营养餐厅</w:t>
      </w:r>
      <w:r>
        <w:rPr>
          <w:rFonts w:hint="default" w:ascii="Times New Roman" w:hAnsi="Times New Roman" w:cs="Times New Roman"/>
          <w:color w:val="auto"/>
          <w:sz w:val="24"/>
          <w:highlight w:val="none"/>
        </w:rPr>
        <w:t>排风能力约为</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eastAsia="zh-CN"/>
        </w:rPr>
        <w:t>，</w:t>
      </w:r>
      <w:r>
        <w:rPr>
          <w:rFonts w:hint="default" w:ascii="Times New Roman" w:hAnsi="Times New Roman" w:cs="Times New Roman"/>
          <w:color w:val="auto"/>
          <w:sz w:val="24"/>
          <w:highlight w:val="none"/>
          <w:lang w:val="en-US" w:eastAsia="zh-CN"/>
        </w:rPr>
        <w:t>每天油烟排放时间按照4h计算</w:t>
      </w:r>
      <w:r>
        <w:rPr>
          <w:rFonts w:hint="eastAsia" w:cs="Times New Roman"/>
          <w:color w:val="auto"/>
          <w:sz w:val="24"/>
          <w:highlight w:val="none"/>
          <w:lang w:val="en-US" w:eastAsia="zh-CN"/>
        </w:rPr>
        <w:t>。</w:t>
      </w:r>
    </w:p>
    <w:p>
      <w:pPr>
        <w:tabs>
          <w:tab w:val="left" w:pos="3239"/>
        </w:tabs>
        <w:spacing w:line="360" w:lineRule="auto"/>
        <w:ind w:firstLine="480" w:firstLineChars="200"/>
        <w:rPr>
          <w:rFonts w:hint="eastAsia" w:hAnsi="宋体"/>
          <w:color w:val="auto"/>
          <w:sz w:val="24"/>
          <w:highlight w:val="none"/>
        </w:rPr>
      </w:pPr>
      <w:r>
        <w:rPr>
          <w:rFonts w:hint="eastAsia" w:cs="Times New Roman"/>
          <w:color w:val="auto"/>
          <w:sz w:val="24"/>
          <w:highlight w:val="none"/>
          <w:lang w:val="en-US" w:eastAsia="zh-CN"/>
        </w:rPr>
        <w:t>综上，</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综合管理中心的职工食堂</w:t>
      </w:r>
      <w:r>
        <w:rPr>
          <w:rFonts w:hint="default" w:ascii="Times New Roman" w:hAnsi="Times New Roman" w:cs="Times New Roman"/>
          <w:color w:val="auto"/>
          <w:sz w:val="24"/>
          <w:highlight w:val="none"/>
        </w:rPr>
        <w:t>油烟的产生浓度</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8.53</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rPr>
        <w:t>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，经处理后的油烟排放量为</w:t>
      </w:r>
      <w:r>
        <w:rPr>
          <w:rFonts w:hint="default" w:ascii="Times New Roman" w:hAnsi="Times New Roman" w:cs="Times New Roman"/>
          <w:color w:val="auto"/>
          <w:sz w:val="24"/>
          <w:highlight w:val="none"/>
        </w:rPr>
        <w:t>0.0</w:t>
      </w:r>
      <w:r>
        <w:rPr>
          <w:rFonts w:hint="eastAsia" w:cs="Times New Roman"/>
          <w:color w:val="auto"/>
          <w:sz w:val="24"/>
          <w:highlight w:val="none"/>
          <w:lang w:val="en-US" w:eastAsia="zh-CN"/>
        </w:rPr>
        <w:t>41</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rPr>
        <w:t>，排放浓度</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1.28</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门急诊医技楼一层的营养餐厅</w:t>
      </w:r>
      <w:r>
        <w:rPr>
          <w:rFonts w:hint="default" w:ascii="Times New Roman" w:hAnsi="Times New Roman" w:cs="Times New Roman"/>
          <w:color w:val="auto"/>
          <w:sz w:val="24"/>
          <w:highlight w:val="none"/>
        </w:rPr>
        <w:t>油烟的产生浓度为</w:t>
      </w:r>
      <w:r>
        <w:rPr>
          <w:rFonts w:hint="eastAsia" w:cs="Times New Roman"/>
          <w:color w:val="auto"/>
          <w:sz w:val="24"/>
          <w:highlight w:val="none"/>
          <w:lang w:val="en-US" w:eastAsia="zh-CN"/>
        </w:rPr>
        <w:t>5.70</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，经处理后的油烟排放量</w:t>
      </w:r>
      <w:r>
        <w:rPr>
          <w:rFonts w:hint="default" w:ascii="Times New Roman" w:hAnsi="Times New Roman" w:cs="Times New Roman"/>
          <w:color w:val="auto"/>
          <w:sz w:val="24"/>
          <w:highlight w:val="none"/>
        </w:rPr>
        <w:t>为0.0</w:t>
      </w:r>
      <w:r>
        <w:rPr>
          <w:rFonts w:hint="eastAsia" w:cs="Times New Roman"/>
          <w:color w:val="auto"/>
          <w:sz w:val="24"/>
          <w:highlight w:val="none"/>
          <w:lang w:val="en-US" w:eastAsia="zh-CN"/>
        </w:rPr>
        <w:t>27</w:t>
      </w:r>
      <w:r>
        <w:rPr>
          <w:rFonts w:hint="default" w:ascii="Times New Roman" w:hAnsi="Times New Roman" w:cs="Times New Roman"/>
          <w:color w:val="auto"/>
          <w:sz w:val="24"/>
          <w:highlight w:val="none"/>
        </w:rPr>
        <w:t>t/a，排放浓度为</w:t>
      </w:r>
      <w:r>
        <w:rPr>
          <w:rFonts w:hint="eastAsia" w:cs="Times New Roman"/>
          <w:color w:val="auto"/>
          <w:sz w:val="24"/>
          <w:highlight w:val="none"/>
          <w:lang w:val="en-US" w:eastAsia="zh-CN"/>
        </w:rPr>
        <w:t>0.86</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本项目</w:t>
      </w:r>
      <w:r>
        <w:rPr>
          <w:rFonts w:hint="eastAsia" w:cs="Times New Roman"/>
          <w:color w:val="auto"/>
          <w:sz w:val="24"/>
          <w:highlight w:val="none"/>
          <w:lang w:eastAsia="zh-CN"/>
        </w:rPr>
        <w:t>建成后食堂</w:t>
      </w:r>
      <w:r>
        <w:rPr>
          <w:rFonts w:hint="default" w:ascii="Times New Roman" w:hAnsi="Times New Roman" w:cs="Times New Roman"/>
          <w:color w:val="auto"/>
          <w:sz w:val="24"/>
          <w:highlight w:val="none"/>
        </w:rPr>
        <w:t>油烟排放可以满足《饮食业油烟排放标准》（GB18483-2001）大型规模标准。处理后的油烟经楼内预留烟道通至</w:t>
      </w:r>
      <w:r>
        <w:rPr>
          <w:rFonts w:hint="eastAsia" w:cs="Times New Roman"/>
          <w:color w:val="auto"/>
          <w:sz w:val="24"/>
          <w:highlight w:val="none"/>
          <w:lang w:val="en-US" w:eastAsia="zh-CN"/>
        </w:rPr>
        <w:t>食堂楼顶</w:t>
      </w:r>
      <w:r>
        <w:rPr>
          <w:rFonts w:hint="default" w:ascii="Times New Roman" w:hAnsi="Times New Roman" w:cs="Times New Roman"/>
          <w:color w:val="auto"/>
          <w:sz w:val="24"/>
          <w:highlight w:val="none"/>
        </w:rPr>
        <w:t>排放</w:t>
      </w:r>
      <w:r>
        <w:rPr>
          <w:rFonts w:hint="eastAsia" w:cs="Times New Roman"/>
          <w:color w:val="auto"/>
          <w:sz w:val="24"/>
          <w:highlight w:val="none"/>
          <w:lang w:eastAsia="zh-CN"/>
        </w:rPr>
        <w:t>，项目的油烟总排放量为</w:t>
      </w:r>
      <w:r>
        <w:rPr>
          <w:rFonts w:hint="eastAsia" w:cs="Times New Roman"/>
          <w:color w:val="auto"/>
          <w:sz w:val="24"/>
          <w:highlight w:val="none"/>
          <w:lang w:val="en-US" w:eastAsia="zh-CN"/>
        </w:rPr>
        <w:t>0.068t/a</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）天然气锅炉燃烧废气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color w:val="auto"/>
          <w:lang w:eastAsia="zh-CN"/>
        </w:rPr>
        <w:t>项目采用直燃型溴化锂空调进行</w:t>
      </w:r>
      <w:r>
        <w:rPr>
          <w:rFonts w:hint="eastAsia" w:ascii="Times New Roman" w:hAnsi="Times New Roman" w:eastAsia="宋体" w:cs="Times New Roman"/>
          <w:color w:val="auto"/>
          <w:kern w:val="2"/>
          <w:sz w:val="24"/>
          <w:szCs w:val="24"/>
          <w:highlight w:val="none"/>
          <w:lang w:val="en-US" w:eastAsia="zh-CN" w:bidi="ar-SA"/>
        </w:rPr>
        <w:t>医技综合楼及感染楼的供热及制冷，直燃机房位于医技综合楼地下一层，共设置两台直燃型溴化锂吸收制冷机组。夏季制冷时空调耗能最大，设计每台设备的最大燃气消耗量为228Nm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/h；冬季供热时能耗较低，约180Nm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/h。本次环评采用保守估计，取夏季最大值进行预测分析。空调采用低氮燃烧技术，</w:t>
      </w:r>
      <w:r>
        <w:rPr>
          <w:rFonts w:hint="eastAsia"/>
          <w:color w:val="auto"/>
          <w:lang w:val="en-US" w:eastAsia="zh-CN"/>
        </w:rPr>
        <w:t>工作时间为8760h/a</w:t>
      </w:r>
      <w:r>
        <w:rPr>
          <w:rFonts w:hint="eastAsia"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outlineLvl w:val="9"/>
        <w:rPr>
          <w:rFonts w:hint="eastAsia"/>
          <w:color w:val="auto"/>
          <w:vertAlign w:val="baseline"/>
          <w:lang w:val="en-US" w:eastAsia="zh-CN"/>
        </w:rPr>
      </w:pPr>
      <w:r>
        <w:rPr>
          <w:rFonts w:hint="default" w:ascii="Times New Roman" w:hAnsi="Times New Roman" w:eastAsia="宋体" w:cs="Times New Roman"/>
          <w:color w:val="auto"/>
          <w:sz w:val="24"/>
          <w:szCs w:val="24"/>
        </w:rPr>
        <w:t>天然气燃烧工业废气量</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二氧化硫</w:t>
      </w:r>
      <w:r>
        <w:rPr>
          <w:rFonts w:hint="eastAsia" w:ascii="Times New Roman" w:hAnsi="Times New Roman" w:eastAsia="宋体" w:cs="Times New Roman"/>
          <w:color w:val="auto"/>
          <w:sz w:val="24"/>
          <w:szCs w:val="24"/>
          <w:lang w:eastAsia="zh-CN"/>
        </w:rPr>
        <w:t>产生量</w:t>
      </w:r>
      <w:r>
        <w:rPr>
          <w:rFonts w:hint="default" w:ascii="Times New Roman" w:hAnsi="Times New Roman" w:eastAsia="宋体" w:cs="Times New Roman"/>
          <w:color w:val="auto"/>
          <w:sz w:val="24"/>
          <w:szCs w:val="24"/>
        </w:rPr>
        <w:t>参照《排放源统计调查产排污核算方法和系数手册》</w:t>
      </w:r>
      <w:r>
        <w:rPr>
          <w:rFonts w:hint="eastAsia" w:ascii="Times New Roman" w:hAnsi="Times New Roman" w:eastAsia="宋体" w:cs="宋体"/>
          <w:color w:val="auto"/>
          <w:sz w:val="24"/>
          <w:szCs w:val="24"/>
          <w:lang w:eastAsia="zh-CN"/>
        </w:rPr>
        <w:t>“</w:t>
      </w:r>
      <w:r>
        <w:rPr>
          <w:rFonts w:hint="default" w:ascii="Times New Roman" w:hAnsi="Times New Roman" w:eastAsia="宋体" w:cs="Times New Roman"/>
          <w:color w:val="auto"/>
          <w:sz w:val="24"/>
          <w:szCs w:val="24"/>
        </w:rPr>
        <w:t>4430工业锅炉（热力供应）行业</w:t>
      </w:r>
      <w:r>
        <w:rPr>
          <w:rFonts w:hint="eastAsia" w:ascii="Times New Roman" w:hAnsi="Times New Roman" w:eastAsia="宋体" w:cs="Times New Roman"/>
          <w:color w:val="auto"/>
          <w:sz w:val="24"/>
          <w:szCs w:val="24"/>
          <w:lang w:eastAsia="zh-CN"/>
        </w:rPr>
        <w:t>系数手册</w:t>
      </w:r>
      <w:r>
        <w:rPr>
          <w:rFonts w:hint="eastAsia" w:ascii="Times New Roman" w:hAnsi="Times New Roman" w:eastAsia="宋体" w:cs="宋体"/>
          <w:color w:val="auto"/>
          <w:sz w:val="24"/>
          <w:szCs w:val="24"/>
          <w:lang w:eastAsia="zh-CN"/>
        </w:rPr>
        <w:t>”</w:t>
      </w:r>
      <w:r>
        <w:rPr>
          <w:rFonts w:hint="default" w:ascii="Times New Roman" w:hAnsi="Times New Roman" w:eastAsia="宋体" w:cs="Times New Roman"/>
          <w:color w:val="auto"/>
          <w:sz w:val="24"/>
          <w:szCs w:val="24"/>
        </w:rPr>
        <w:t>中产污系数</w:t>
      </w:r>
      <w:r>
        <w:rPr>
          <w:rFonts w:hint="eastAsia" w:ascii="Times New Roman" w:hAnsi="Times New Roman" w:eastAsia="宋体" w:cs="Times New Roman"/>
          <w:color w:val="auto"/>
          <w:sz w:val="24"/>
          <w:szCs w:val="24"/>
          <w:lang w:eastAsia="zh-CN"/>
        </w:rPr>
        <w:t>计算，</w:t>
      </w:r>
      <w:r>
        <w:rPr>
          <w:rFonts w:hint="default" w:ascii="Times New Roman" w:hAnsi="Times New Roman" w:eastAsia="宋体" w:cs="Times New Roman"/>
          <w:color w:val="auto"/>
          <w:sz w:val="24"/>
          <w:szCs w:val="24"/>
        </w:rPr>
        <w:t>氮氧化物</w:t>
      </w:r>
      <w:r>
        <w:rPr>
          <w:rFonts w:hint="eastAsia" w:ascii="Times New Roman" w:hAnsi="Times New Roman" w:eastAsia="宋体" w:cs="Times New Roman"/>
          <w:color w:val="auto"/>
          <w:sz w:val="24"/>
          <w:szCs w:val="24"/>
          <w:lang w:eastAsia="zh-CN"/>
        </w:rPr>
        <w:t>产生量</w:t>
      </w:r>
      <w:r>
        <w:rPr>
          <w:rFonts w:hint="default" w:ascii="Times New Roman" w:hAnsi="Times New Roman" w:eastAsia="宋体" w:cs="Times New Roman"/>
          <w:color w:val="auto"/>
          <w:sz w:val="24"/>
          <w:szCs w:val="24"/>
        </w:rPr>
        <w:t>参照《排放源统计调查产排污核算方法和系数手册》</w:t>
      </w:r>
      <w:r>
        <w:rPr>
          <w:rFonts w:hint="eastAsia" w:ascii="Times New Roman" w:hAnsi="Times New Roman" w:eastAsia="宋体" w:cs="宋体"/>
          <w:color w:val="auto"/>
          <w:sz w:val="24"/>
          <w:szCs w:val="24"/>
          <w:lang w:eastAsia="zh-CN"/>
        </w:rPr>
        <w:t>“</w:t>
      </w:r>
      <w:r>
        <w:rPr>
          <w:rFonts w:hint="default" w:ascii="Times New Roman" w:hAnsi="Times New Roman" w:eastAsia="宋体" w:cs="Times New Roman"/>
          <w:color w:val="auto"/>
          <w:sz w:val="24"/>
          <w:szCs w:val="24"/>
        </w:rPr>
        <w:t>4430工业锅炉（热力供应）行业</w:t>
      </w:r>
      <w:r>
        <w:rPr>
          <w:rFonts w:hint="eastAsia" w:ascii="Times New Roman" w:hAnsi="Times New Roman" w:eastAsia="宋体" w:cs="Times New Roman"/>
          <w:color w:val="auto"/>
          <w:sz w:val="24"/>
          <w:szCs w:val="24"/>
          <w:lang w:eastAsia="zh-CN"/>
        </w:rPr>
        <w:t>系数手册</w:t>
      </w:r>
      <w:r>
        <w:rPr>
          <w:rFonts w:hint="eastAsia" w:ascii="Times New Roman" w:hAnsi="Times New Roman" w:eastAsia="宋体" w:cs="宋体"/>
          <w:color w:val="auto"/>
          <w:sz w:val="24"/>
          <w:szCs w:val="24"/>
          <w:lang w:eastAsia="zh-CN"/>
        </w:rPr>
        <w:t>”</w:t>
      </w:r>
      <w:r>
        <w:rPr>
          <w:rFonts w:hint="default" w:ascii="Times New Roman" w:hAnsi="Times New Roman" w:eastAsia="宋体" w:cs="Times New Roman"/>
          <w:color w:val="auto"/>
          <w:sz w:val="24"/>
          <w:szCs w:val="24"/>
        </w:rPr>
        <w:t>中</w:t>
      </w:r>
      <w:r>
        <w:rPr>
          <w:rFonts w:hint="eastAsia" w:ascii="Times New Roman" w:hAnsi="Times New Roman" w:eastAsia="宋体" w:cs="宋体"/>
          <w:color w:val="auto"/>
          <w:sz w:val="24"/>
          <w:szCs w:val="24"/>
          <w:lang w:eastAsia="zh-CN"/>
        </w:rPr>
        <w:t>“</w:t>
      </w:r>
      <w:r>
        <w:rPr>
          <w:rFonts w:hint="eastAsia" w:ascii="Times New Roman" w:hAnsi="Times New Roman" w:eastAsia="宋体" w:cs="Times New Roman"/>
          <w:color w:val="auto"/>
          <w:sz w:val="24"/>
          <w:szCs w:val="24"/>
          <w:lang w:eastAsia="zh-CN"/>
        </w:rPr>
        <w:t>低氮燃烧</w:t>
      </w:r>
      <w:r>
        <w:rPr>
          <w:rFonts w:hint="eastAsia" w:ascii="Times New Roman" w:hAnsi="Times New Roman" w:eastAsia="宋体" w:cs="Times New Roman"/>
          <w:color w:val="auto"/>
          <w:sz w:val="24"/>
          <w:szCs w:val="24"/>
          <w:lang w:val="en-US" w:eastAsia="zh-CN"/>
        </w:rPr>
        <w:t>-国内领先</w:t>
      </w:r>
      <w:r>
        <w:rPr>
          <w:rFonts w:hint="eastAsia" w:ascii="Times New Roman" w:hAnsi="Times New Roman" w:eastAsia="宋体" w:cs="宋体"/>
          <w:color w:val="auto"/>
          <w:sz w:val="24"/>
          <w:szCs w:val="24"/>
          <w:lang w:eastAsia="zh-CN"/>
        </w:rPr>
        <w:t>”</w:t>
      </w:r>
      <w:r>
        <w:rPr>
          <w:rFonts w:hint="default" w:ascii="Times New Roman" w:hAnsi="Times New Roman" w:eastAsia="宋体" w:cs="Times New Roman"/>
          <w:color w:val="auto"/>
          <w:sz w:val="24"/>
          <w:szCs w:val="24"/>
        </w:rPr>
        <w:t>产污系数</w:t>
      </w:r>
      <w:r>
        <w:rPr>
          <w:rFonts w:hint="eastAsia" w:ascii="Times New Roman" w:hAnsi="Times New Roman" w:eastAsia="宋体" w:cs="Times New Roman"/>
          <w:color w:val="auto"/>
          <w:sz w:val="24"/>
          <w:szCs w:val="24"/>
          <w:lang w:eastAsia="zh-CN"/>
        </w:rPr>
        <w:t>计算，</w:t>
      </w:r>
      <w:r>
        <w:rPr>
          <w:rFonts w:hint="default" w:ascii="Times New Roman" w:hAnsi="Times New Roman" w:eastAsia="宋体" w:cs="Times New Roman"/>
          <w:color w:val="auto"/>
          <w:sz w:val="24"/>
          <w:szCs w:val="24"/>
        </w:rPr>
        <w:t>烟尘</w:t>
      </w:r>
      <w:r>
        <w:rPr>
          <w:rFonts w:hint="eastAsia" w:ascii="Times New Roman" w:hAnsi="Times New Roman" w:eastAsia="宋体" w:cs="Times New Roman"/>
          <w:color w:val="auto"/>
          <w:sz w:val="24"/>
          <w:szCs w:val="24"/>
          <w:lang w:eastAsia="zh-CN"/>
        </w:rPr>
        <w:t>产生量根据</w:t>
      </w:r>
      <w:r>
        <w:rPr>
          <w:rFonts w:hint="eastAsia"/>
          <w:color w:val="auto"/>
          <w:lang w:val="en-US" w:eastAsia="zh-CN"/>
        </w:rPr>
        <w:t>《排污许可证申请与核发技术规范 锅炉》（HJ953-2018）附录F 中</w:t>
      </w:r>
      <w:r>
        <w:rPr>
          <w:rFonts w:hint="default" w:ascii="Times New Roman" w:hAnsi="Times New Roman" w:eastAsia="宋体" w:cs="Times New Roman"/>
          <w:color w:val="auto"/>
          <w:sz w:val="24"/>
          <w:szCs w:val="24"/>
        </w:rPr>
        <w:t>产污系数</w:t>
      </w:r>
      <w:r>
        <w:rPr>
          <w:rFonts w:hint="eastAsia"/>
          <w:color w:val="auto"/>
          <w:lang w:val="en-US" w:eastAsia="zh-CN"/>
        </w:rPr>
        <w:t>计算</w:t>
      </w:r>
      <w:r>
        <w:rPr>
          <w:rFonts w:hint="eastAsia"/>
          <w:color w:val="auto"/>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outlineLvl w:val="9"/>
        <w:rPr>
          <w:rFonts w:hint="eastAsia"/>
          <w:color w:val="auto"/>
          <w:vertAlign w:val="baseline"/>
          <w:lang w:val="en-US" w:eastAsia="zh-CN"/>
        </w:rPr>
      </w:pPr>
      <w:r>
        <w:rPr>
          <w:rFonts w:hint="eastAsia"/>
          <w:color w:val="auto"/>
          <w:lang w:eastAsia="zh-CN"/>
        </w:rPr>
        <w:t>空调配套了风量为</w:t>
      </w:r>
      <w:r>
        <w:rPr>
          <w:rFonts w:hint="eastAsia"/>
          <w:color w:val="auto"/>
          <w:lang w:val="en-US" w:eastAsia="zh-CN"/>
        </w:rPr>
        <w:t>10000</w:t>
      </w:r>
      <w:r>
        <w:rPr>
          <w:rFonts w:hint="eastAsia" w:ascii="Times New Roman" w:hAnsi="Times New Roman" w:eastAsia="宋体" w:cs="Times New Roman"/>
          <w:i w:val="0"/>
          <w:color w:val="auto"/>
          <w:kern w:val="0"/>
          <w:sz w:val="21"/>
          <w:szCs w:val="21"/>
          <w:u w:val="none"/>
          <w:lang w:val="en-US" w:eastAsia="zh-CN" w:bidi="ar"/>
        </w:rPr>
        <w:t>m</w:t>
      </w:r>
      <w:r>
        <w:rPr>
          <w:rFonts w:hint="eastAsia" w:ascii="Times New Roman" w:hAnsi="Times New Roman" w:eastAsia="宋体" w:cs="Times New Roman"/>
          <w:i w:val="0"/>
          <w:color w:val="auto"/>
          <w:kern w:val="0"/>
          <w:sz w:val="21"/>
          <w:szCs w:val="21"/>
          <w:u w:val="none"/>
          <w:vertAlign w:val="superscript"/>
          <w:lang w:val="en-US" w:eastAsia="zh-CN" w:bidi="ar"/>
        </w:rPr>
        <w:t>3</w:t>
      </w:r>
      <w:r>
        <w:rPr>
          <w:rFonts w:hint="eastAsia" w:ascii="Times New Roman" w:hAnsi="Times New Roman" w:cs="Times New Roman"/>
          <w:i w:val="0"/>
          <w:iCs w:val="0"/>
          <w:color w:val="auto"/>
          <w:kern w:val="0"/>
          <w:sz w:val="21"/>
          <w:szCs w:val="21"/>
          <w:u w:val="none"/>
          <w:lang w:val="en-US" w:eastAsia="zh-CN" w:bidi="ar"/>
        </w:rPr>
        <w:t>/</w:t>
      </w:r>
      <w:r>
        <w:rPr>
          <w:rFonts w:hint="eastAsia" w:ascii="Times New Roman" w:hAnsi="Times New Roman" w:cs="Times New Roman"/>
          <w:i w:val="0"/>
          <w:iCs w:val="0"/>
          <w:color w:val="auto"/>
          <w:kern w:val="0"/>
          <w:sz w:val="24"/>
          <w:szCs w:val="24"/>
          <w:u w:val="none"/>
          <w:lang w:val="en-US" w:eastAsia="zh-CN" w:bidi="ar"/>
        </w:rPr>
        <w:t>h的风机，</w:t>
      </w:r>
      <w:r>
        <w:rPr>
          <w:rFonts w:hint="eastAsia"/>
          <w:color w:val="auto"/>
          <w:vertAlign w:val="baseline"/>
          <w:lang w:val="en-US" w:eastAsia="zh-CN"/>
        </w:rPr>
        <w:t>燃烧废气经收集后通过医技综合楼预留烟井引至南楼楼顶排放。</w:t>
      </w:r>
      <w:r>
        <w:rPr>
          <w:rFonts w:hint="default" w:ascii="Times New Roman" w:hAnsi="Times New Roman" w:eastAsia="宋体" w:cs="Times New Roman"/>
          <w:color w:val="auto"/>
          <w:sz w:val="24"/>
          <w:szCs w:val="24"/>
          <w:highlight w:val="none"/>
          <w:lang w:val="en-US" w:eastAsia="zh-CN" w:bidi="zh-CN"/>
        </w:rPr>
        <w:t>本项目</w:t>
      </w:r>
      <w:r>
        <w:rPr>
          <w:rFonts w:hint="eastAsia" w:ascii="Times New Roman" w:hAnsi="Times New Roman" w:eastAsia="宋体" w:cs="Times New Roman"/>
          <w:color w:val="auto"/>
          <w:sz w:val="24"/>
          <w:szCs w:val="24"/>
          <w:highlight w:val="none"/>
          <w:lang w:val="en-US" w:eastAsia="zh-CN" w:bidi="zh-CN"/>
        </w:rPr>
        <w:t>溴化锂空调</w:t>
      </w:r>
      <w:r>
        <w:rPr>
          <w:rFonts w:hint="default" w:ascii="Times New Roman" w:hAnsi="Times New Roman" w:eastAsia="宋体" w:cs="Times New Roman"/>
          <w:color w:val="auto"/>
          <w:sz w:val="24"/>
          <w:szCs w:val="24"/>
          <w:highlight w:val="none"/>
          <w:lang w:val="en-US" w:eastAsia="zh-CN" w:bidi="zh-CN"/>
        </w:rPr>
        <w:t>产生的</w:t>
      </w:r>
      <w:r>
        <w:rPr>
          <w:rFonts w:hint="eastAsia" w:ascii="Times New Roman" w:hAnsi="Times New Roman" w:eastAsia="宋体" w:cs="Times New Roman"/>
          <w:color w:val="auto"/>
          <w:sz w:val="24"/>
          <w:szCs w:val="24"/>
          <w:highlight w:val="none"/>
          <w:lang w:val="en-US" w:eastAsia="zh-CN" w:bidi="zh-CN"/>
        </w:rPr>
        <w:t>燃烧</w:t>
      </w:r>
      <w:r>
        <w:rPr>
          <w:rFonts w:hint="default" w:ascii="Times New Roman" w:hAnsi="Times New Roman" w:eastAsia="宋体" w:cs="Times New Roman"/>
          <w:color w:val="auto"/>
          <w:sz w:val="24"/>
          <w:szCs w:val="24"/>
          <w:highlight w:val="none"/>
          <w:lang w:val="en-US" w:eastAsia="zh-CN" w:bidi="zh-CN"/>
        </w:rPr>
        <w:t>废气</w:t>
      </w:r>
      <w:r>
        <w:rPr>
          <w:rFonts w:hint="eastAsia" w:ascii="Times New Roman" w:hAnsi="Times New Roman" w:eastAsia="宋体" w:cs="Times New Roman"/>
          <w:color w:val="auto"/>
          <w:sz w:val="24"/>
          <w:szCs w:val="24"/>
          <w:highlight w:val="none"/>
          <w:lang w:val="en-US" w:eastAsia="zh-CN" w:bidi="zh-CN"/>
        </w:rPr>
        <w:t>核算</w:t>
      </w:r>
      <w:r>
        <w:rPr>
          <w:rFonts w:hint="default" w:ascii="Times New Roman" w:hAnsi="Times New Roman" w:eastAsia="宋体" w:cs="Times New Roman"/>
          <w:color w:val="auto"/>
          <w:sz w:val="24"/>
          <w:szCs w:val="24"/>
          <w:highlight w:val="none"/>
          <w:lang w:val="en-US" w:eastAsia="zh-CN" w:bidi="zh-CN"/>
        </w:rPr>
        <w:t>如下：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lang w:val="en-US" w:eastAsia="zh-CN"/>
        </w:rPr>
      </w:pPr>
      <w:r>
        <w:rPr>
          <w:rFonts w:hint="eastAsia"/>
          <w:b/>
          <w:bCs/>
          <w:color w:val="auto"/>
          <w:sz w:val="21"/>
          <w:szCs w:val="21"/>
          <w:lang w:val="en-US" w:eastAsia="zh-CN"/>
        </w:rPr>
        <w:t>表4.2-19  项目溴化锂空调天然气燃烧废气产污系数核算情况一览表</w:t>
      </w:r>
    </w:p>
    <w:tbl>
      <w:tblPr>
        <w:tblStyle w:val="48"/>
        <w:tblW w:w="501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5"/>
        <w:gridCol w:w="880"/>
        <w:gridCol w:w="1218"/>
        <w:gridCol w:w="1360"/>
        <w:gridCol w:w="1278"/>
        <w:gridCol w:w="1104"/>
        <w:gridCol w:w="915"/>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燃料名称</w:t>
            </w:r>
          </w:p>
        </w:tc>
        <w:tc>
          <w:tcPr>
            <w:tcW w:w="5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用量</w:t>
            </w:r>
          </w:p>
        </w:tc>
        <w:tc>
          <w:tcPr>
            <w:tcW w:w="72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污染物指标</w:t>
            </w:r>
          </w:p>
        </w:tc>
        <w:tc>
          <w:tcPr>
            <w:tcW w:w="8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76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产</w:t>
            </w:r>
            <w:r>
              <w:rPr>
                <w:rFonts w:hint="eastAsia" w:ascii="Times New Roman" w:hAnsi="Times New Roman" w:eastAsia="宋体" w:cs="Times New Roman"/>
                <w:i w:val="0"/>
                <w:iCs w:val="0"/>
                <w:color w:val="auto"/>
                <w:kern w:val="0"/>
                <w:sz w:val="21"/>
                <w:szCs w:val="21"/>
                <w:u w:val="none"/>
                <w:lang w:val="en-US" w:eastAsia="zh-CN" w:bidi="ar"/>
              </w:rPr>
              <w:t>污</w:t>
            </w:r>
            <w:r>
              <w:rPr>
                <w:rFonts w:hint="default" w:ascii="Times New Roman" w:hAnsi="Times New Roman" w:eastAsia="宋体" w:cs="Times New Roman"/>
                <w:i w:val="0"/>
                <w:iCs w:val="0"/>
                <w:color w:val="auto"/>
                <w:kern w:val="0"/>
                <w:sz w:val="21"/>
                <w:szCs w:val="21"/>
                <w:u w:val="none"/>
                <w:lang w:val="en-US" w:eastAsia="zh-CN" w:bidi="ar"/>
              </w:rPr>
              <w:t>系数</w:t>
            </w:r>
          </w:p>
        </w:tc>
        <w:tc>
          <w:tcPr>
            <w:tcW w:w="6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排放</w:t>
            </w:r>
            <w:r>
              <w:rPr>
                <w:rFonts w:hint="default" w:ascii="Times New Roman" w:hAnsi="Times New Roman" w:eastAsia="宋体" w:cs="Times New Roman"/>
                <w:i w:val="0"/>
                <w:iCs w:val="0"/>
                <w:color w:val="auto"/>
                <w:kern w:val="0"/>
                <w:sz w:val="21"/>
                <w:szCs w:val="21"/>
                <w:u w:val="none"/>
                <w:lang w:val="en-US" w:eastAsia="zh-CN" w:bidi="ar"/>
              </w:rPr>
              <w:t>量</w:t>
            </w:r>
          </w:p>
        </w:tc>
        <w:tc>
          <w:tcPr>
            <w:tcW w:w="5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排放速率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Cs/>
                <w:color w:val="auto"/>
                <w:spacing w:val="2"/>
                <w:kern w:val="0"/>
                <w:sz w:val="21"/>
                <w:szCs w:val="21"/>
              </w:rPr>
              <w:t>(kg/h)</w:t>
            </w:r>
          </w:p>
        </w:tc>
        <w:tc>
          <w:tcPr>
            <w:tcW w:w="59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Cs/>
                <w:color w:val="auto"/>
                <w:spacing w:val="2"/>
                <w:kern w:val="0"/>
                <w:sz w:val="21"/>
                <w:szCs w:val="21"/>
              </w:rPr>
              <w:t>排放</w:t>
            </w:r>
            <w:r>
              <w:rPr>
                <w:rFonts w:hint="default" w:ascii="Times New Roman" w:hAnsi="Times New Roman" w:eastAsia="宋体" w:cs="Times New Roman"/>
                <w:i w:val="0"/>
                <w:color w:val="auto"/>
                <w:kern w:val="0"/>
                <w:sz w:val="21"/>
                <w:szCs w:val="21"/>
                <w:u w:val="none"/>
                <w:lang w:val="en-US" w:eastAsia="zh-CN" w:bidi="ar"/>
              </w:rPr>
              <w:t>浓度</w:t>
            </w:r>
            <w:r>
              <w:rPr>
                <w:rFonts w:hint="eastAsia" w:ascii="Times New Roman" w:hAnsi="Times New Roman" w:eastAsia="宋体" w:cs="Times New Roman"/>
                <w:i w:val="0"/>
                <w:color w:val="auto"/>
                <w:kern w:val="0"/>
                <w:sz w:val="21"/>
                <w:szCs w:val="21"/>
                <w:u w:val="none"/>
                <w:lang w:val="en-US" w:eastAsia="zh-CN" w:bidi="ar"/>
              </w:rPr>
              <w:t>（mg/m</w:t>
            </w:r>
            <w:r>
              <w:rPr>
                <w:rFonts w:hint="eastAsia" w:ascii="Times New Roman" w:hAnsi="Times New Roman" w:eastAsia="宋体" w:cs="Times New Roman"/>
                <w:i w:val="0"/>
                <w:color w:val="auto"/>
                <w:kern w:val="0"/>
                <w:sz w:val="21"/>
                <w:szCs w:val="21"/>
                <w:u w:val="none"/>
                <w:vertAlign w:val="superscript"/>
                <w:lang w:val="en-US" w:eastAsia="zh-CN" w:bidi="ar"/>
              </w:rPr>
              <w:t>3</w:t>
            </w:r>
            <w:r>
              <w:rPr>
                <w:rFonts w:hint="eastAsia"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6"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天然</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气</w:t>
            </w:r>
          </w:p>
        </w:tc>
        <w:tc>
          <w:tcPr>
            <w:tcW w:w="527"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400</w:t>
            </w:r>
            <w:r>
              <w:rPr>
                <w:rFonts w:hint="default" w:ascii="Times New Roman" w:hAnsi="Times New Roman" w:eastAsia="宋体" w:cs="Times New Roman"/>
                <w:i w:val="0"/>
                <w:iCs w:val="0"/>
                <w:color w:val="auto"/>
                <w:kern w:val="0"/>
                <w:sz w:val="21"/>
                <w:szCs w:val="21"/>
                <w:u w:val="none"/>
                <w:lang w:val="en-US" w:eastAsia="zh-CN" w:bidi="ar"/>
              </w:rPr>
              <w:t>万m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72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工业废气量</w:t>
            </w:r>
          </w:p>
        </w:tc>
        <w:tc>
          <w:tcPr>
            <w:tcW w:w="8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标立方米/万立方米-燃料</w:t>
            </w:r>
          </w:p>
        </w:tc>
        <w:tc>
          <w:tcPr>
            <w:tcW w:w="76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107753 </w:t>
            </w:r>
          </w:p>
        </w:tc>
        <w:tc>
          <w:tcPr>
            <w:tcW w:w="6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4310</w:t>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cs="Times New Roman"/>
                <w:i w:val="0"/>
                <w:iCs w:val="0"/>
                <w:color w:val="auto"/>
                <w:kern w:val="0"/>
                <w:sz w:val="21"/>
                <w:szCs w:val="21"/>
                <w:u w:val="none"/>
                <w:lang w:val="en-US" w:eastAsia="zh-CN" w:bidi="ar"/>
              </w:rPr>
              <w:t>万</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54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w:t>
            </w:r>
          </w:p>
        </w:tc>
        <w:tc>
          <w:tcPr>
            <w:tcW w:w="59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6"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2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2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8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千</w:t>
            </w:r>
            <w:r>
              <w:rPr>
                <w:rFonts w:hint="default" w:ascii="Times New Roman" w:hAnsi="Times New Roman" w:eastAsia="宋体" w:cs="Times New Roman"/>
                <w:i w:val="0"/>
                <w:iCs w:val="0"/>
                <w:color w:val="auto"/>
                <w:kern w:val="0"/>
                <w:sz w:val="21"/>
                <w:szCs w:val="21"/>
                <w:u w:val="none"/>
                <w:lang w:val="en-US" w:eastAsia="zh-CN" w:bidi="ar"/>
              </w:rPr>
              <w:t>克/万立方米-燃料</w:t>
            </w:r>
          </w:p>
        </w:tc>
        <w:tc>
          <w:tcPr>
            <w:tcW w:w="76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0.02S</w:t>
            </w:r>
          </w:p>
        </w:tc>
        <w:tc>
          <w:tcPr>
            <w:tcW w:w="6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0.8</w:t>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cs="Times New Roman"/>
                <w:i w:val="0"/>
                <w:iCs w:val="0"/>
                <w:color w:val="auto"/>
                <w:kern w:val="0"/>
                <w:sz w:val="21"/>
                <w:szCs w:val="21"/>
                <w:u w:val="none"/>
                <w:lang w:val="en-US" w:eastAsia="zh-CN" w:bidi="ar"/>
              </w:rPr>
              <w:t>t/a</w:t>
            </w:r>
          </w:p>
        </w:tc>
        <w:tc>
          <w:tcPr>
            <w:tcW w:w="91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0.0913 </w:t>
            </w:r>
          </w:p>
        </w:tc>
        <w:tc>
          <w:tcPr>
            <w:tcW w:w="9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6"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2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2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8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千</w:t>
            </w:r>
            <w:r>
              <w:rPr>
                <w:rFonts w:hint="default" w:ascii="Times New Roman" w:hAnsi="Times New Roman" w:eastAsia="宋体" w:cs="Times New Roman"/>
                <w:i w:val="0"/>
                <w:iCs w:val="0"/>
                <w:color w:val="auto"/>
                <w:kern w:val="0"/>
                <w:sz w:val="21"/>
                <w:szCs w:val="21"/>
                <w:u w:val="none"/>
                <w:lang w:val="en-US" w:eastAsia="zh-CN" w:bidi="ar"/>
              </w:rPr>
              <w:t>克/万立方米-燃料</w:t>
            </w:r>
          </w:p>
        </w:tc>
        <w:tc>
          <w:tcPr>
            <w:tcW w:w="76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2.86</w:t>
            </w:r>
          </w:p>
        </w:tc>
        <w:tc>
          <w:tcPr>
            <w:tcW w:w="6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1.144</w:t>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cs="Times New Roman"/>
                <w:i w:val="0"/>
                <w:iCs w:val="0"/>
                <w:color w:val="auto"/>
                <w:kern w:val="0"/>
                <w:sz w:val="21"/>
                <w:szCs w:val="21"/>
                <w:u w:val="none"/>
                <w:lang w:val="en-US" w:eastAsia="zh-CN" w:bidi="ar"/>
              </w:rPr>
              <w:t>t/a</w:t>
            </w:r>
          </w:p>
        </w:tc>
        <w:tc>
          <w:tcPr>
            <w:tcW w:w="91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0.1306 </w:t>
            </w:r>
          </w:p>
        </w:tc>
        <w:tc>
          <w:tcPr>
            <w:tcW w:w="9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6"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2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2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8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千</w:t>
            </w:r>
            <w:r>
              <w:rPr>
                <w:rFonts w:hint="default" w:ascii="Times New Roman" w:hAnsi="Times New Roman" w:eastAsia="宋体" w:cs="Times New Roman"/>
                <w:i w:val="0"/>
                <w:iCs w:val="0"/>
                <w:color w:val="auto"/>
                <w:kern w:val="0"/>
                <w:sz w:val="21"/>
                <w:szCs w:val="21"/>
                <w:u w:val="none"/>
                <w:lang w:val="en-US" w:eastAsia="zh-CN" w:bidi="ar"/>
              </w:rPr>
              <w:t>克/万立方米-燃料</w:t>
            </w:r>
          </w:p>
        </w:tc>
        <w:tc>
          <w:tcPr>
            <w:tcW w:w="76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6.97</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(低氮燃烧)</w:t>
            </w:r>
          </w:p>
        </w:tc>
        <w:tc>
          <w:tcPr>
            <w:tcW w:w="6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2.788</w:t>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cs="Times New Roman"/>
                <w:i w:val="0"/>
                <w:iCs w:val="0"/>
                <w:color w:val="auto"/>
                <w:kern w:val="0"/>
                <w:sz w:val="21"/>
                <w:szCs w:val="21"/>
                <w:u w:val="none"/>
                <w:lang w:val="en-US" w:eastAsia="zh-CN" w:bidi="ar"/>
              </w:rPr>
              <w:t>t/a</w:t>
            </w:r>
          </w:p>
        </w:tc>
        <w:tc>
          <w:tcPr>
            <w:tcW w:w="91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0.3183 </w:t>
            </w:r>
          </w:p>
        </w:tc>
        <w:tc>
          <w:tcPr>
            <w:tcW w:w="9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32 </w:t>
            </w:r>
          </w:p>
        </w:tc>
      </w:tr>
    </w:tbl>
    <w:p>
      <w:pPr>
        <w:widowControl/>
        <w:spacing w:before="79" w:after="79" w:line="240" w:lineRule="auto"/>
        <w:ind w:left="0" w:leftChars="0" w:firstLine="0" w:firstLineChars="0"/>
        <w:rPr>
          <w:color w:val="auto"/>
          <w:sz w:val="21"/>
          <w:szCs w:val="21"/>
        </w:rPr>
      </w:pPr>
      <w:r>
        <w:rPr>
          <w:rFonts w:hint="eastAsia"/>
          <w:color w:val="auto"/>
          <w:sz w:val="21"/>
          <w:szCs w:val="21"/>
        </w:rPr>
        <w:t>注：</w:t>
      </w:r>
      <w:r>
        <w:rPr>
          <w:rFonts w:hint="eastAsia" w:ascii="宋体" w:hAnsi="宋体" w:cs="宋体"/>
          <w:color w:val="auto"/>
          <w:sz w:val="21"/>
          <w:szCs w:val="21"/>
        </w:rPr>
        <w:t>①</w:t>
      </w:r>
      <w:r>
        <w:rPr>
          <w:rFonts w:hint="eastAsia"/>
          <w:color w:val="auto"/>
          <w:sz w:val="21"/>
          <w:szCs w:val="21"/>
        </w:rPr>
        <w:t>产排污系数表中二氧化硫的产排污系数是以含硫量</w:t>
      </w:r>
      <w:r>
        <w:rPr>
          <w:color w:val="auto"/>
          <w:sz w:val="21"/>
          <w:szCs w:val="21"/>
        </w:rPr>
        <w:t>(S)</w:t>
      </w:r>
      <w:r>
        <w:rPr>
          <w:rFonts w:hint="eastAsia"/>
          <w:color w:val="auto"/>
          <w:sz w:val="21"/>
          <w:szCs w:val="21"/>
        </w:rPr>
        <w:t>的形式表示的，其中含硫量</w:t>
      </w:r>
      <w:r>
        <w:rPr>
          <w:color w:val="auto"/>
          <w:sz w:val="21"/>
          <w:szCs w:val="21"/>
        </w:rPr>
        <w:t>(S)</w:t>
      </w:r>
      <w:r>
        <w:rPr>
          <w:rFonts w:hint="eastAsia"/>
          <w:color w:val="auto"/>
          <w:sz w:val="21"/>
          <w:szCs w:val="21"/>
        </w:rPr>
        <w:t>是指燃气硫分含量，单位为</w:t>
      </w:r>
      <w:r>
        <w:rPr>
          <w:color w:val="auto"/>
          <w:sz w:val="21"/>
          <w:szCs w:val="21"/>
        </w:rPr>
        <w:t>mg/m</w:t>
      </w:r>
      <w:r>
        <w:rPr>
          <w:color w:val="auto"/>
          <w:sz w:val="21"/>
          <w:szCs w:val="21"/>
          <w:vertAlign w:val="superscript"/>
        </w:rPr>
        <w:t>3</w:t>
      </w:r>
      <w:r>
        <w:rPr>
          <w:rFonts w:hint="eastAsia" w:cs="宋体"/>
          <w:color w:val="auto"/>
          <w:sz w:val="21"/>
          <w:szCs w:val="21"/>
          <w:lang w:eastAsia="zh-CN"/>
        </w:rPr>
        <w:t>；</w:t>
      </w:r>
      <w:r>
        <w:rPr>
          <w:rFonts w:hint="eastAsia"/>
          <w:color w:val="auto"/>
          <w:sz w:val="21"/>
          <w:szCs w:val="21"/>
          <w:lang w:eastAsia="zh-CN"/>
        </w:rPr>
        <w:t>按照GB17820-201</w:t>
      </w:r>
      <w:r>
        <w:rPr>
          <w:rFonts w:hint="eastAsia"/>
          <w:color w:val="auto"/>
          <w:sz w:val="21"/>
          <w:szCs w:val="21"/>
          <w:lang w:val="en-US" w:eastAsia="zh-CN"/>
        </w:rPr>
        <w:t>8</w:t>
      </w:r>
      <w:r>
        <w:rPr>
          <w:rFonts w:hint="eastAsia"/>
          <w:color w:val="auto"/>
          <w:sz w:val="21"/>
          <w:szCs w:val="21"/>
          <w:lang w:eastAsia="zh-CN"/>
        </w:rPr>
        <w:t>二类天然气总硫含量限值（总硫含量≤</w:t>
      </w:r>
      <w:r>
        <w:rPr>
          <w:rFonts w:hint="eastAsia"/>
          <w:color w:val="auto"/>
          <w:sz w:val="21"/>
          <w:szCs w:val="21"/>
          <w:lang w:val="en-US" w:eastAsia="zh-CN"/>
        </w:rPr>
        <w:t>1</w:t>
      </w:r>
      <w:r>
        <w:rPr>
          <w:rFonts w:hint="eastAsia"/>
          <w:color w:val="auto"/>
          <w:sz w:val="21"/>
          <w:szCs w:val="21"/>
          <w:lang w:eastAsia="zh-CN"/>
        </w:rPr>
        <w:t>00mg/Nm</w:t>
      </w:r>
      <w:r>
        <w:rPr>
          <w:rFonts w:hint="eastAsia"/>
          <w:color w:val="auto"/>
          <w:sz w:val="21"/>
          <w:szCs w:val="21"/>
          <w:vertAlign w:val="superscript"/>
          <w:lang w:eastAsia="zh-CN"/>
        </w:rPr>
        <w:t>3</w:t>
      </w:r>
      <w:r>
        <w:rPr>
          <w:rFonts w:hint="eastAsia"/>
          <w:color w:val="auto"/>
          <w:sz w:val="21"/>
          <w:szCs w:val="21"/>
          <w:lang w:eastAsia="zh-CN"/>
        </w:rPr>
        <w:t>）计算，</w:t>
      </w:r>
      <w:r>
        <w:rPr>
          <w:rFonts w:hint="eastAsia"/>
          <w:color w:val="auto"/>
          <w:sz w:val="21"/>
          <w:szCs w:val="21"/>
          <w:lang w:val="en-US" w:eastAsia="zh-CN"/>
        </w:rPr>
        <w:t>则含硫量S取值10</w:t>
      </w:r>
      <w:r>
        <w:rPr>
          <w:color w:val="auto"/>
          <w:sz w:val="21"/>
          <w:szCs w:val="21"/>
        </w:rPr>
        <w:t>0mg/m</w:t>
      </w:r>
      <w:r>
        <w:rPr>
          <w:color w:val="auto"/>
          <w:sz w:val="21"/>
          <w:szCs w:val="21"/>
          <w:vertAlign w:val="superscript"/>
        </w:rPr>
        <w:t>3</w:t>
      </w:r>
      <w:r>
        <w:rPr>
          <w:rFonts w:hint="eastAsia"/>
          <w:color w:val="auto"/>
          <w:sz w:val="21"/>
          <w:szCs w:val="21"/>
        </w:rPr>
        <w:t>，</w:t>
      </w:r>
      <w:r>
        <w:rPr>
          <w:rFonts w:hint="eastAsia"/>
          <w:color w:val="auto"/>
          <w:sz w:val="21"/>
          <w:szCs w:val="21"/>
          <w:lang w:eastAsia="zh-CN"/>
        </w:rPr>
        <w:t>即</w:t>
      </w:r>
      <w:r>
        <w:rPr>
          <w:color w:val="auto"/>
          <w:sz w:val="21"/>
          <w:szCs w:val="21"/>
        </w:rPr>
        <w:t>S=</w:t>
      </w:r>
      <w:r>
        <w:rPr>
          <w:rFonts w:hint="eastAsia"/>
          <w:color w:val="auto"/>
          <w:sz w:val="21"/>
          <w:szCs w:val="21"/>
          <w:lang w:val="en-US" w:eastAsia="zh-CN"/>
        </w:rPr>
        <w:t>10</w:t>
      </w:r>
      <w:r>
        <w:rPr>
          <w:color w:val="auto"/>
          <w:sz w:val="21"/>
          <w:szCs w:val="21"/>
        </w:rPr>
        <w:t>0</w:t>
      </w:r>
      <w:r>
        <w:rPr>
          <w:rFonts w:hint="eastAsia"/>
          <w:color w:val="auto"/>
          <w:sz w:val="21"/>
          <w:szCs w:val="21"/>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柴油发电机燃油废气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eastAsia="宋体"/>
          <w:color w:val="auto"/>
          <w:sz w:val="24"/>
          <w:szCs w:val="24"/>
          <w:lang w:eastAsia="zh-CN"/>
        </w:rPr>
      </w:pPr>
      <w:r>
        <w:rPr>
          <w:color w:val="auto"/>
          <w:szCs w:val="21"/>
          <w:highlight w:val="none"/>
        </w:rPr>
        <w:t>项目</w:t>
      </w:r>
      <w:r>
        <w:rPr>
          <w:rFonts w:hint="eastAsia"/>
          <w:color w:val="auto"/>
          <w:szCs w:val="21"/>
          <w:highlight w:val="none"/>
          <w:lang w:eastAsia="zh-CN"/>
        </w:rPr>
        <w:t>于地下库</w:t>
      </w:r>
      <w:r>
        <w:rPr>
          <w:color w:val="auto"/>
          <w:sz w:val="24"/>
          <w:szCs w:val="24"/>
          <w:highlight w:val="none"/>
        </w:rPr>
        <w:t>设置一台功率1000kw的备用柴油发电机用于</w:t>
      </w:r>
      <w:r>
        <w:rPr>
          <w:rFonts w:hint="eastAsia"/>
          <w:color w:val="auto"/>
          <w:sz w:val="24"/>
          <w:szCs w:val="24"/>
          <w:highlight w:val="none"/>
          <w:lang w:eastAsia="zh-CN"/>
        </w:rPr>
        <w:t>医院</w:t>
      </w:r>
      <w:r>
        <w:rPr>
          <w:color w:val="auto"/>
          <w:sz w:val="24"/>
          <w:szCs w:val="24"/>
          <w:highlight w:val="none"/>
        </w:rPr>
        <w:t>应急性供电。</w:t>
      </w:r>
      <w:r>
        <w:rPr>
          <w:rFonts w:hint="eastAsia"/>
          <w:color w:val="auto"/>
          <w:sz w:val="24"/>
          <w:szCs w:val="24"/>
          <w:highlight w:val="none"/>
        </w:rPr>
        <w:t>根据《普通柴油》（GB252-2015），2018年1月1日开始，0#柴油含硫量不大于0.001%，因此本项目柴油含硫量按0.001%计</w:t>
      </w:r>
      <w:r>
        <w:rPr>
          <w:rFonts w:hint="eastAsia"/>
          <w:color w:val="auto"/>
          <w:sz w:val="24"/>
          <w:szCs w:val="24"/>
          <w:highlight w:val="none"/>
          <w:lang w:eastAsia="zh-CN"/>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根据《社会区域类环境影响评价环评工程师职业资格登记培训教材社会区域》给出的计算参数：柴油发电机单位耗油量按212.5g/kwh计算。因为医院所在地市政供电能力比较充足，因而发电机使用频率</w:t>
      </w:r>
      <w:r>
        <w:rPr>
          <w:rFonts w:hint="eastAsia"/>
          <w:color w:val="auto"/>
          <w:sz w:val="24"/>
          <w:szCs w:val="24"/>
          <w:lang w:eastAsia="zh-CN"/>
        </w:rPr>
        <w:t>极低，燃油废气属于间歇性排放。根据备用发电机一般的定期保养规程：</w:t>
      </w:r>
      <w:r>
        <w:rPr>
          <w:rFonts w:hint="eastAsia" w:cs="宋体"/>
          <w:color w:val="auto"/>
          <w:sz w:val="24"/>
          <w:szCs w:val="24"/>
          <w:lang w:eastAsia="zh-CN"/>
        </w:rPr>
        <w:t>“</w:t>
      </w:r>
      <w:r>
        <w:rPr>
          <w:rFonts w:hint="eastAsia"/>
          <w:color w:val="auto"/>
          <w:sz w:val="24"/>
          <w:szCs w:val="24"/>
          <w:lang w:eastAsia="zh-CN"/>
        </w:rPr>
        <w:t>每2周需空载运行10分钟，每半年带负载运行半小时</w:t>
      </w:r>
      <w:r>
        <w:rPr>
          <w:rFonts w:hint="eastAsia" w:cs="宋体"/>
          <w:color w:val="auto"/>
          <w:sz w:val="24"/>
          <w:szCs w:val="24"/>
          <w:lang w:eastAsia="zh-CN"/>
        </w:rPr>
        <w:t>”</w:t>
      </w:r>
      <w:r>
        <w:rPr>
          <w:rFonts w:hint="eastAsia"/>
          <w:color w:val="auto"/>
          <w:sz w:val="24"/>
          <w:szCs w:val="24"/>
          <w:lang w:eastAsia="zh-CN"/>
        </w:rPr>
        <w:t>，则发电机年开机维护时间为</w:t>
      </w:r>
      <w:r>
        <w:rPr>
          <w:rFonts w:hint="eastAsia"/>
          <w:color w:val="auto"/>
          <w:sz w:val="24"/>
          <w:szCs w:val="24"/>
          <w:lang w:val="en-US" w:eastAsia="zh-CN"/>
        </w:rPr>
        <w:t>5小时。另外，医院所在地市政供电能力比较充足，</w:t>
      </w:r>
      <w:r>
        <w:rPr>
          <w:rFonts w:hint="eastAsia"/>
          <w:color w:val="auto"/>
          <w:sz w:val="24"/>
          <w:szCs w:val="24"/>
          <w:lang w:eastAsia="zh-CN"/>
        </w:rPr>
        <w:t>备用发电机</w:t>
      </w:r>
      <w:r>
        <w:rPr>
          <w:color w:val="auto"/>
          <w:sz w:val="24"/>
          <w:szCs w:val="24"/>
        </w:rPr>
        <w:t>预计每</w:t>
      </w:r>
      <w:r>
        <w:rPr>
          <w:rFonts w:hint="eastAsia"/>
          <w:color w:val="auto"/>
          <w:sz w:val="24"/>
          <w:szCs w:val="24"/>
          <w:lang w:eastAsia="zh-CN"/>
        </w:rPr>
        <w:t>三个</w:t>
      </w:r>
      <w:r>
        <w:rPr>
          <w:color w:val="auto"/>
          <w:sz w:val="24"/>
          <w:szCs w:val="24"/>
        </w:rPr>
        <w:t>月启动一次，</w:t>
      </w:r>
      <w:r>
        <w:rPr>
          <w:rFonts w:hint="eastAsia"/>
          <w:color w:val="auto"/>
          <w:sz w:val="24"/>
          <w:szCs w:val="24"/>
          <w:lang w:eastAsia="zh-CN"/>
        </w:rPr>
        <w:t>每次</w:t>
      </w:r>
      <w:r>
        <w:rPr>
          <w:color w:val="auto"/>
          <w:sz w:val="24"/>
          <w:szCs w:val="24"/>
        </w:rPr>
        <w:t>开机时间</w:t>
      </w:r>
      <w:r>
        <w:rPr>
          <w:rFonts w:hint="eastAsia"/>
          <w:color w:val="auto"/>
          <w:sz w:val="24"/>
          <w:szCs w:val="24"/>
          <w:lang w:val="en-US" w:eastAsia="zh-CN"/>
        </w:rPr>
        <w:t>4</w:t>
      </w:r>
      <w:r>
        <w:rPr>
          <w:color w:val="auto"/>
          <w:sz w:val="24"/>
          <w:szCs w:val="24"/>
        </w:rPr>
        <w:t>小时计算，则年使用时间约</w:t>
      </w:r>
      <w:r>
        <w:rPr>
          <w:rFonts w:hint="eastAsia"/>
          <w:color w:val="auto"/>
          <w:sz w:val="24"/>
          <w:szCs w:val="24"/>
          <w:lang w:val="en-US" w:eastAsia="zh-CN"/>
        </w:rPr>
        <w:t>12</w:t>
      </w:r>
      <w:r>
        <w:rPr>
          <w:color w:val="auto"/>
          <w:sz w:val="24"/>
          <w:szCs w:val="24"/>
        </w:rPr>
        <w:t>小时</w:t>
      </w:r>
      <w:r>
        <w:rPr>
          <w:rFonts w:hint="eastAsia"/>
          <w:color w:val="auto"/>
          <w:sz w:val="24"/>
          <w:szCs w:val="24"/>
          <w:lang w:eastAsia="zh-CN"/>
        </w:rPr>
        <w:t>。综上，发电机年开机时间为</w:t>
      </w:r>
      <w:r>
        <w:rPr>
          <w:rFonts w:hint="eastAsia"/>
          <w:color w:val="auto"/>
          <w:sz w:val="24"/>
          <w:szCs w:val="24"/>
          <w:lang w:val="en-US" w:eastAsia="zh-CN"/>
        </w:rPr>
        <w:t>17小时。</w:t>
      </w:r>
      <w:r>
        <w:rPr>
          <w:color w:val="auto"/>
          <w:sz w:val="24"/>
          <w:szCs w:val="24"/>
        </w:rPr>
        <w:t>则柴油发电机组全年共耗油</w:t>
      </w:r>
      <w:r>
        <w:rPr>
          <w:rFonts w:hint="eastAsia"/>
          <w:color w:val="auto"/>
          <w:sz w:val="24"/>
          <w:szCs w:val="24"/>
          <w:lang w:val="en-US" w:eastAsia="zh-CN"/>
        </w:rPr>
        <w:t>3.61</w:t>
      </w:r>
      <w:r>
        <w:rPr>
          <w:color w:val="auto"/>
          <w:sz w:val="24"/>
          <w:szCs w:val="24"/>
        </w:rPr>
        <w:t>吨。发电机使用含硫量小于0.00</w:t>
      </w:r>
      <w:r>
        <w:rPr>
          <w:rFonts w:hint="eastAsia"/>
          <w:color w:val="auto"/>
          <w:sz w:val="24"/>
          <w:szCs w:val="24"/>
          <w:lang w:val="en-US" w:eastAsia="zh-CN"/>
        </w:rPr>
        <w:t>1</w:t>
      </w:r>
      <w:r>
        <w:rPr>
          <w:color w:val="auto"/>
          <w:sz w:val="24"/>
          <w:szCs w:val="24"/>
        </w:rPr>
        <w:t>%的优质轻柴油作为燃料。</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sz w:val="24"/>
          <w:szCs w:val="24"/>
        </w:rPr>
      </w:pPr>
      <w:r>
        <w:rPr>
          <w:color w:val="auto"/>
          <w:sz w:val="24"/>
          <w:szCs w:val="24"/>
        </w:rPr>
        <w:t>根据《大气污染工程师手册》，当空气过剩系数为1时，1kg柴油产生的烟气量约为11Nm</w:t>
      </w:r>
      <w:r>
        <w:rPr>
          <w:color w:val="auto"/>
          <w:sz w:val="24"/>
          <w:szCs w:val="24"/>
          <w:vertAlign w:val="superscript"/>
        </w:rPr>
        <w:t>3</w:t>
      </w:r>
      <w:r>
        <w:rPr>
          <w:color w:val="auto"/>
          <w:sz w:val="24"/>
          <w:szCs w:val="24"/>
        </w:rPr>
        <w:t>。一般柴油发电机空气过剩系数为1.8，则发电机每燃烧1kg柴油产生的烟气量为11×1.8≈20Nm</w:t>
      </w:r>
      <w:r>
        <w:rPr>
          <w:color w:val="auto"/>
          <w:sz w:val="24"/>
          <w:szCs w:val="24"/>
          <w:vertAlign w:val="superscript"/>
        </w:rPr>
        <w:t>3</w:t>
      </w:r>
      <w:r>
        <w:rPr>
          <w:color w:val="auto"/>
          <w:sz w:val="24"/>
          <w:szCs w:val="24"/>
        </w:rPr>
        <w:t>，每年产生的烟气量为</w:t>
      </w:r>
      <w:r>
        <w:rPr>
          <w:rFonts w:hint="eastAsia"/>
          <w:color w:val="auto"/>
          <w:sz w:val="24"/>
          <w:szCs w:val="24"/>
          <w:lang w:val="en-US" w:eastAsia="zh-CN"/>
        </w:rPr>
        <w:t>7.15</w:t>
      </w:r>
      <w:r>
        <w:rPr>
          <w:color w:val="auto"/>
          <w:sz w:val="24"/>
          <w:szCs w:val="24"/>
        </w:rPr>
        <w:t>万Nm</w:t>
      </w:r>
      <w:r>
        <w:rPr>
          <w:color w:val="auto"/>
          <w:sz w:val="24"/>
          <w:szCs w:val="24"/>
          <w:vertAlign w:val="superscript"/>
        </w:rPr>
        <w:t>3</w:t>
      </w:r>
      <w:r>
        <w:rPr>
          <w:color w:val="auto"/>
          <w:sz w:val="24"/>
          <w:szCs w:val="24"/>
        </w:rPr>
        <w:t>。</w:t>
      </w:r>
      <w:r>
        <w:rPr>
          <w:color w:val="auto"/>
          <w:sz w:val="24"/>
        </w:rPr>
        <w:t>NO</w:t>
      </w:r>
      <w:r>
        <w:rPr>
          <w:color w:val="auto"/>
          <w:sz w:val="24"/>
          <w:vertAlign w:val="subscript"/>
        </w:rPr>
        <w:t>x</w:t>
      </w:r>
      <w:r>
        <w:rPr>
          <w:color w:val="auto"/>
          <w:sz w:val="24"/>
        </w:rPr>
        <w:t>产生系数可换算为2.36（kg/t油）</w:t>
      </w:r>
      <w:r>
        <w:rPr>
          <w:rFonts w:hint="eastAsia" w:cs="宋体"/>
          <w:color w:val="auto"/>
          <w:sz w:val="24"/>
          <w:lang w:eastAsia="zh-CN"/>
        </w:rPr>
        <w:t>；</w:t>
      </w:r>
      <w:r>
        <w:rPr>
          <w:color w:val="auto"/>
          <w:sz w:val="24"/>
        </w:rPr>
        <w:t>SO</w:t>
      </w:r>
      <w:r>
        <w:rPr>
          <w:color w:val="auto"/>
          <w:sz w:val="24"/>
          <w:vertAlign w:val="subscript"/>
        </w:rPr>
        <w:t>2</w:t>
      </w:r>
      <w:r>
        <w:rPr>
          <w:color w:val="auto"/>
          <w:sz w:val="24"/>
        </w:rPr>
        <w:t>的产生系数为20S*（kg/t油），S*为硫的百分含量%，取S=0.0</w:t>
      </w:r>
      <w:r>
        <w:rPr>
          <w:rFonts w:hint="eastAsia"/>
          <w:color w:val="auto"/>
          <w:sz w:val="24"/>
          <w:lang w:val="en-US" w:eastAsia="zh-CN"/>
        </w:rPr>
        <w:t>01</w:t>
      </w:r>
      <w:r>
        <w:rPr>
          <w:color w:val="auto"/>
          <w:sz w:val="24"/>
        </w:rPr>
        <w:t>，烟尘产生系数为2.2（kg/t油）</w:t>
      </w:r>
      <w:r>
        <w:rPr>
          <w:color w:val="auto"/>
          <w:sz w:val="24"/>
          <w:szCs w:val="24"/>
        </w:rPr>
        <w:t>，计算得备用发电机尾气中各污染物的产生情况如表</w:t>
      </w:r>
      <w:r>
        <w:rPr>
          <w:rFonts w:hint="eastAsia"/>
          <w:color w:val="auto"/>
          <w:sz w:val="24"/>
          <w:szCs w:val="24"/>
          <w:lang w:val="en-US" w:eastAsia="zh-CN"/>
        </w:rPr>
        <w:t>4.2-20</w:t>
      </w:r>
      <w:r>
        <w:rPr>
          <w:color w:val="auto"/>
          <w:sz w:val="24"/>
          <w:szCs w:val="24"/>
        </w:rPr>
        <w:t>所示。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sz w:val="24"/>
          <w:szCs w:val="24"/>
        </w:rPr>
      </w:pPr>
      <w:r>
        <w:rPr>
          <w:rFonts w:hint="eastAsia"/>
          <w:color w:val="auto"/>
          <w:szCs w:val="21"/>
          <w:highlight w:val="none"/>
        </w:rPr>
        <w:t>本环评要求应急柴油发电机设置</w:t>
      </w:r>
      <w:r>
        <w:rPr>
          <w:rFonts w:hint="eastAsia"/>
          <w:color w:val="auto"/>
          <w:szCs w:val="21"/>
          <w:highlight w:val="none"/>
          <w:lang w:val="en-US" w:eastAsia="zh-CN"/>
        </w:rPr>
        <w:t>一个</w:t>
      </w:r>
      <w:r>
        <w:rPr>
          <w:rFonts w:hint="eastAsia"/>
          <w:color w:val="auto"/>
          <w:szCs w:val="21"/>
          <w:highlight w:val="none"/>
        </w:rPr>
        <w:t>配套尾气净化系统（DPF黑烟颗粒捕捉器）</w:t>
      </w:r>
      <w:r>
        <w:rPr>
          <w:rFonts w:hint="eastAsia"/>
          <w:color w:val="auto"/>
          <w:highlight w:val="none"/>
        </w:rPr>
        <w:t>，</w:t>
      </w:r>
      <w:r>
        <w:rPr>
          <w:rFonts w:hint="eastAsia"/>
          <w:color w:val="auto"/>
          <w:highlight w:val="none"/>
          <w:lang w:val="en-US" w:eastAsia="zh-CN"/>
        </w:rPr>
        <w:t>风机风量4000m</w:t>
      </w:r>
      <w:r>
        <w:rPr>
          <w:rFonts w:hint="eastAsia"/>
          <w:color w:val="auto"/>
          <w:highlight w:val="none"/>
          <w:vertAlign w:val="superscript"/>
          <w:lang w:val="en-US" w:eastAsia="zh-CN"/>
        </w:rPr>
        <w:t>3</w:t>
      </w:r>
      <w:r>
        <w:rPr>
          <w:rFonts w:hint="eastAsia"/>
          <w:color w:val="auto"/>
          <w:highlight w:val="none"/>
          <w:lang w:val="en-US" w:eastAsia="zh-CN"/>
        </w:rPr>
        <w:t>/h，</w:t>
      </w:r>
      <w:r>
        <w:rPr>
          <w:rFonts w:hint="eastAsia"/>
          <w:color w:val="auto"/>
          <w:szCs w:val="21"/>
          <w:highlight w:val="none"/>
        </w:rPr>
        <w:t>颗粒物去除效率达90%以上</w:t>
      </w:r>
      <w:r>
        <w:rPr>
          <w:color w:val="auto"/>
          <w:sz w:val="24"/>
          <w:szCs w:val="24"/>
        </w:rPr>
        <w:t>，</w:t>
      </w:r>
      <w:r>
        <w:rPr>
          <w:rFonts w:hint="eastAsia"/>
          <w:color w:val="auto"/>
          <w:sz w:val="24"/>
          <w:szCs w:val="24"/>
          <w:lang w:eastAsia="zh-CN"/>
        </w:rPr>
        <w:t>处理后的废气</w:t>
      </w:r>
      <w:r>
        <w:rPr>
          <w:color w:val="auto"/>
          <w:sz w:val="24"/>
          <w:szCs w:val="24"/>
        </w:rPr>
        <w:t>通过烟井高空排放</w:t>
      </w:r>
      <w:r>
        <w:rPr>
          <w:rFonts w:hint="eastAsia"/>
          <w:color w:val="auto"/>
          <w:sz w:val="24"/>
          <w:szCs w:val="24"/>
          <w:lang w:eastAsia="zh-CN"/>
        </w:rPr>
        <w:t>（综合住院部大楼楼顶，排放高度约</w:t>
      </w:r>
      <w:r>
        <w:rPr>
          <w:rFonts w:hint="eastAsia"/>
          <w:color w:val="auto"/>
          <w:sz w:val="24"/>
          <w:szCs w:val="24"/>
          <w:lang w:val="en-US" w:eastAsia="zh-CN"/>
        </w:rPr>
        <w:t>90.8m</w:t>
      </w:r>
      <w:r>
        <w:rPr>
          <w:rFonts w:hint="eastAsia"/>
          <w:color w:val="auto"/>
          <w:sz w:val="24"/>
          <w:szCs w:val="24"/>
          <w:lang w:eastAsia="zh-CN"/>
        </w:rPr>
        <w:t>）</w:t>
      </w:r>
      <w:r>
        <w:rPr>
          <w:color w:val="auto"/>
          <w:sz w:val="24"/>
          <w:szCs w:val="24"/>
        </w:rPr>
        <w:t>。</w:t>
      </w:r>
    </w:p>
    <w:p>
      <w:pPr>
        <w:keepNext w:val="0"/>
        <w:keepLines w:val="0"/>
        <w:pageBreakBefore w:val="0"/>
        <w:widowControl w:val="0"/>
        <w:tabs>
          <w:tab w:val="left" w:pos="480"/>
        </w:tabs>
        <w:kinsoku/>
        <w:wordWrap/>
        <w:overflowPunct/>
        <w:topLinePunct w:val="0"/>
        <w:autoSpaceDE/>
        <w:autoSpaceDN/>
        <w:bidi w:val="0"/>
        <w:adjustRightInd/>
        <w:snapToGrid/>
        <w:spacing w:line="240" w:lineRule="auto"/>
        <w:jc w:val="center"/>
        <w:textAlignment w:val="auto"/>
        <w:rPr>
          <w:b/>
          <w:color w:val="auto"/>
          <w:sz w:val="21"/>
          <w:szCs w:val="21"/>
        </w:rPr>
      </w:pPr>
      <w:r>
        <w:rPr>
          <w:b/>
          <w:color w:val="auto"/>
          <w:sz w:val="21"/>
          <w:szCs w:val="21"/>
        </w:rPr>
        <w:t>表</w:t>
      </w:r>
      <w:r>
        <w:rPr>
          <w:rFonts w:hint="eastAsia"/>
          <w:b/>
          <w:color w:val="auto"/>
          <w:sz w:val="21"/>
          <w:szCs w:val="21"/>
          <w:lang w:val="en-US" w:eastAsia="zh-CN"/>
        </w:rPr>
        <w:t>4</w:t>
      </w:r>
      <w:r>
        <w:rPr>
          <w:b/>
          <w:color w:val="auto"/>
          <w:sz w:val="21"/>
          <w:szCs w:val="21"/>
        </w:rPr>
        <w:t>.2-</w:t>
      </w:r>
      <w:r>
        <w:rPr>
          <w:rFonts w:hint="eastAsia"/>
          <w:b/>
          <w:color w:val="auto"/>
          <w:sz w:val="21"/>
          <w:szCs w:val="21"/>
          <w:lang w:val="en-US" w:eastAsia="zh-CN"/>
        </w:rPr>
        <w:t>20</w:t>
      </w:r>
      <w:r>
        <w:rPr>
          <w:b/>
          <w:color w:val="auto"/>
          <w:sz w:val="21"/>
          <w:szCs w:val="21"/>
        </w:rPr>
        <w:t xml:space="preserve">  项目发电机主要大气污染物产生及排放情况一览表</w:t>
      </w:r>
    </w:p>
    <w:tbl>
      <w:tblPr>
        <w:tblStyle w:val="48"/>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899"/>
        <w:gridCol w:w="907"/>
        <w:gridCol w:w="430"/>
        <w:gridCol w:w="1218"/>
        <w:gridCol w:w="1272"/>
        <w:gridCol w:w="1308"/>
        <w:gridCol w:w="1139"/>
        <w:gridCol w:w="135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耗油量</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(t/a)</w:t>
            </w:r>
          </w:p>
        </w:tc>
        <w:tc>
          <w:tcPr>
            <w:tcW w:w="5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烟气量</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(m</w:t>
            </w:r>
            <w:r>
              <w:rPr>
                <w:rFonts w:hint="default" w:ascii="Times New Roman" w:hAnsi="Times New Roman" w:eastAsia="宋体" w:cs="Times New Roman"/>
                <w:bCs/>
                <w:color w:val="auto"/>
                <w:spacing w:val="2"/>
                <w:kern w:val="0"/>
                <w:sz w:val="21"/>
                <w:szCs w:val="21"/>
                <w:vertAlign w:val="superscript"/>
              </w:rPr>
              <w:t>3</w:t>
            </w:r>
            <w:r>
              <w:rPr>
                <w:rFonts w:hint="default" w:ascii="Times New Roman" w:hAnsi="Times New Roman" w:eastAsia="宋体" w:cs="Times New Roman"/>
                <w:bCs/>
                <w:color w:val="auto"/>
                <w:spacing w:val="2"/>
                <w:kern w:val="0"/>
                <w:sz w:val="21"/>
                <w:szCs w:val="21"/>
              </w:rPr>
              <w:t>/h)</w:t>
            </w:r>
          </w:p>
        </w:tc>
        <w:tc>
          <w:tcPr>
            <w:tcW w:w="966"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项目</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SO</w:t>
            </w:r>
            <w:r>
              <w:rPr>
                <w:rFonts w:hint="default" w:ascii="Times New Roman" w:hAnsi="Times New Roman" w:eastAsia="宋体" w:cs="Times New Roman"/>
                <w:bCs/>
                <w:color w:val="auto"/>
                <w:spacing w:val="2"/>
                <w:kern w:val="0"/>
                <w:sz w:val="21"/>
                <w:szCs w:val="21"/>
                <w:vertAlign w:val="subscript"/>
              </w:rPr>
              <w:t>2</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NOx</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烟尘</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烟色</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lang w:val="en-US" w:eastAsia="zh-CN"/>
              </w:rPr>
              <w:t>3.61</w:t>
            </w:r>
          </w:p>
        </w:tc>
        <w:tc>
          <w:tcPr>
            <w:tcW w:w="53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4206</w:t>
            </w:r>
          </w:p>
        </w:tc>
        <w:tc>
          <w:tcPr>
            <w:tcW w:w="25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处</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理</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前</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产污系数</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20S*kg/t油</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2.36kg/t油</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2.2kg/t油</w:t>
            </w:r>
          </w:p>
        </w:tc>
        <w:tc>
          <w:tcPr>
            <w:tcW w:w="79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林格曼黑度</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&gt;1级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产生量</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(kg/a)</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lang w:val="en-US" w:eastAsia="zh-CN"/>
              </w:rPr>
              <w:t>0.07</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lang w:val="en-US" w:eastAsia="zh-CN"/>
              </w:rPr>
              <w:t>8.60</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lang w:val="en-US" w:eastAsia="zh-CN"/>
              </w:rPr>
              <w:t>8.02</w:t>
            </w:r>
          </w:p>
        </w:tc>
        <w:tc>
          <w:tcPr>
            <w:tcW w:w="79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产生速率</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(kg/h)</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w:t>
            </w:r>
            <w:r>
              <w:rPr>
                <w:rFonts w:hint="eastAsia" w:ascii="Times New Roman" w:hAnsi="Times New Roman" w:cs="Times New Roman"/>
                <w:bCs/>
                <w:color w:val="auto"/>
                <w:spacing w:val="2"/>
                <w:kern w:val="0"/>
                <w:sz w:val="21"/>
                <w:szCs w:val="21"/>
                <w:lang w:val="en-US" w:eastAsia="zh-CN"/>
              </w:rPr>
              <w:t>004</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0.49</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0.45</w:t>
            </w:r>
          </w:p>
        </w:tc>
        <w:tc>
          <w:tcPr>
            <w:tcW w:w="79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产生浓度</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(mg/m</w:t>
            </w:r>
            <w:r>
              <w:rPr>
                <w:rFonts w:hint="default" w:ascii="Times New Roman" w:hAnsi="Times New Roman" w:eastAsia="宋体" w:cs="Times New Roman"/>
                <w:bCs/>
                <w:color w:val="auto"/>
                <w:spacing w:val="2"/>
                <w:kern w:val="0"/>
                <w:sz w:val="21"/>
                <w:szCs w:val="21"/>
                <w:vertAlign w:val="superscript"/>
              </w:rPr>
              <w:t>3</w:t>
            </w:r>
            <w:r>
              <w:rPr>
                <w:rFonts w:hint="default" w:ascii="Times New Roman" w:hAnsi="Times New Roman" w:eastAsia="宋体" w:cs="Times New Roman"/>
                <w:bCs/>
                <w:color w:val="auto"/>
                <w:spacing w:val="2"/>
                <w:kern w:val="0"/>
                <w:sz w:val="21"/>
                <w:szCs w:val="21"/>
              </w:rPr>
              <w:t>)</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lang w:val="en-US" w:eastAsia="zh-CN"/>
              </w:rPr>
              <w:t>1.0</w:t>
            </w:r>
            <w:r>
              <w:rPr>
                <w:rFonts w:hint="eastAsia" w:ascii="Times New Roman" w:hAnsi="Times New Roman" w:cs="Times New Roman"/>
                <w:bCs/>
                <w:color w:val="auto"/>
                <w:spacing w:val="2"/>
                <w:kern w:val="0"/>
                <w:sz w:val="21"/>
                <w:szCs w:val="21"/>
                <w:lang w:val="en-US" w:eastAsia="zh-CN"/>
              </w:rPr>
              <w:t>6</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115.6</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107.8</w:t>
            </w:r>
          </w:p>
        </w:tc>
        <w:tc>
          <w:tcPr>
            <w:tcW w:w="79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处</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理</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后</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排放量</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(kg/a)</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lang w:val="en-US" w:eastAsia="zh-CN"/>
              </w:rPr>
              <w:t>0.07</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lang w:val="en-US" w:eastAsia="zh-CN"/>
              </w:rPr>
              <w:t>8.60</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cs="Times New Roman"/>
                <w:bCs/>
                <w:color w:val="auto"/>
                <w:spacing w:val="2"/>
                <w:kern w:val="0"/>
                <w:sz w:val="21"/>
                <w:szCs w:val="21"/>
                <w:lang w:val="en-US" w:eastAsia="zh-CN"/>
              </w:rPr>
              <w:t>0.802</w:t>
            </w:r>
          </w:p>
        </w:tc>
        <w:tc>
          <w:tcPr>
            <w:tcW w:w="79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林格曼黑度</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&lt;1级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排放速率</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(kg/h)</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rPr>
              <w:t>0.</w:t>
            </w:r>
            <w:r>
              <w:rPr>
                <w:rFonts w:hint="eastAsia" w:ascii="Times New Roman" w:hAnsi="Times New Roman" w:eastAsia="宋体" w:cs="Times New Roman"/>
                <w:bCs/>
                <w:color w:val="auto"/>
                <w:spacing w:val="2"/>
                <w:kern w:val="0"/>
                <w:sz w:val="21"/>
                <w:szCs w:val="21"/>
                <w:lang w:val="en-US" w:eastAsia="zh-CN"/>
              </w:rPr>
              <w:t>004</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rPr>
              <w:t>0.49</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cs="Times New Roman"/>
                <w:bCs/>
                <w:color w:val="auto"/>
                <w:spacing w:val="2"/>
                <w:kern w:val="0"/>
                <w:sz w:val="21"/>
                <w:szCs w:val="21"/>
                <w:lang w:val="en-US" w:eastAsia="zh-CN"/>
              </w:rPr>
              <w:t>0.045</w:t>
            </w:r>
          </w:p>
        </w:tc>
        <w:tc>
          <w:tcPr>
            <w:tcW w:w="79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排放浓度</w:t>
            </w: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(mg/m</w:t>
            </w:r>
            <w:r>
              <w:rPr>
                <w:rFonts w:hint="default" w:ascii="Times New Roman" w:hAnsi="Times New Roman" w:eastAsia="宋体" w:cs="Times New Roman"/>
                <w:bCs/>
                <w:color w:val="auto"/>
                <w:spacing w:val="2"/>
                <w:kern w:val="0"/>
                <w:sz w:val="21"/>
                <w:szCs w:val="21"/>
                <w:vertAlign w:val="superscript"/>
              </w:rPr>
              <w:t>3</w:t>
            </w:r>
            <w:r>
              <w:rPr>
                <w:rFonts w:hint="default" w:ascii="Times New Roman" w:hAnsi="Times New Roman" w:eastAsia="宋体" w:cs="Times New Roman"/>
                <w:bCs/>
                <w:color w:val="auto"/>
                <w:spacing w:val="2"/>
                <w:kern w:val="0"/>
                <w:sz w:val="21"/>
                <w:szCs w:val="21"/>
              </w:rPr>
              <w:t>)</w:t>
            </w:r>
          </w:p>
        </w:tc>
        <w:tc>
          <w:tcPr>
            <w:tcW w:w="7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lang w:val="en-US" w:eastAsia="zh-CN"/>
              </w:rPr>
              <w:t>1.0</w:t>
            </w:r>
            <w:r>
              <w:rPr>
                <w:rFonts w:hint="eastAsia" w:ascii="Times New Roman" w:hAnsi="Times New Roman" w:eastAsia="宋体" w:cs="Times New Roman"/>
                <w:bCs/>
                <w:color w:val="auto"/>
                <w:spacing w:val="2"/>
                <w:kern w:val="0"/>
                <w:sz w:val="21"/>
                <w:szCs w:val="21"/>
                <w:lang w:val="en-US" w:eastAsia="zh-CN"/>
              </w:rPr>
              <w:t>6</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default" w:ascii="Times New Roman" w:hAnsi="Times New Roman" w:eastAsia="宋体" w:cs="Times New Roman"/>
                <w:bCs/>
                <w:color w:val="auto"/>
                <w:spacing w:val="2"/>
                <w:kern w:val="0"/>
                <w:sz w:val="21"/>
                <w:szCs w:val="21"/>
              </w:rPr>
              <w:t>115.6</w:t>
            </w:r>
          </w:p>
        </w:tc>
        <w:tc>
          <w:tcPr>
            <w:tcW w:w="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cs="Times New Roman"/>
                <w:bCs/>
                <w:color w:val="auto"/>
                <w:spacing w:val="2"/>
                <w:kern w:val="0"/>
                <w:sz w:val="21"/>
                <w:szCs w:val="21"/>
                <w:lang w:val="en-US" w:eastAsia="zh-CN"/>
              </w:rPr>
              <w:t>10.8</w:t>
            </w:r>
          </w:p>
        </w:tc>
        <w:tc>
          <w:tcPr>
            <w:tcW w:w="79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r>
    </w:tbl>
    <w:p>
      <w:pPr>
        <w:pStyle w:val="2"/>
        <w:numPr>
          <w:ilvl w:val="3"/>
          <w:numId w:val="0"/>
        </w:numPr>
        <w:spacing w:line="360" w:lineRule="auto"/>
        <w:rPr>
          <w:rFonts w:hint="eastAsia" w:eastAsia="宋体"/>
          <w:color w:val="auto"/>
          <w:lang w:eastAsia="zh-CN"/>
        </w:rPr>
      </w:pPr>
      <w:r>
        <w:rPr>
          <w:rFonts w:hint="eastAsia"/>
          <w:color w:val="auto"/>
          <w:lang w:val="en-US" w:eastAsia="zh-CN"/>
        </w:rPr>
        <w:t>3.2.2.3</w:t>
      </w:r>
      <w:r>
        <w:rPr>
          <w:rFonts w:hint="eastAsia"/>
          <w:color w:val="auto"/>
        </w:rPr>
        <w:t>营运期噪声源强</w:t>
      </w:r>
      <w:r>
        <w:rPr>
          <w:rFonts w:hint="eastAsia"/>
          <w:color w:val="auto"/>
          <w:lang w:eastAsia="zh-CN"/>
        </w:rPr>
        <w:t>分析</w:t>
      </w:r>
    </w:p>
    <w:p>
      <w:pPr>
        <w:spacing w:line="360" w:lineRule="auto"/>
        <w:ind w:firstLine="480" w:firstLineChars="200"/>
        <w:rPr>
          <w:rFonts w:hint="eastAsia"/>
          <w:color w:val="auto"/>
          <w:sz w:val="28"/>
          <w:szCs w:val="28"/>
          <w:highlight w:val="none"/>
          <w:lang w:val="en-US" w:eastAsia="zh-CN"/>
        </w:rPr>
      </w:pPr>
      <w:r>
        <w:rPr>
          <w:rFonts w:hint="eastAsia"/>
          <w:color w:val="auto"/>
          <w:highlight w:val="none"/>
        </w:rPr>
        <w:t>项目运营期</w:t>
      </w:r>
      <w:r>
        <w:rPr>
          <w:color w:val="auto"/>
          <w:highlight w:val="none"/>
        </w:rPr>
        <w:t>主要噪声源</w:t>
      </w:r>
      <w:r>
        <w:rPr>
          <w:rFonts w:hint="eastAsia"/>
          <w:color w:val="auto"/>
          <w:highlight w:val="none"/>
        </w:rPr>
        <w:t>为水泵房、</w:t>
      </w:r>
      <w:r>
        <w:rPr>
          <w:rFonts w:hint="eastAsia"/>
          <w:color w:val="auto"/>
          <w:highlight w:val="none"/>
          <w:lang w:val="en-US" w:eastAsia="zh-CN"/>
        </w:rPr>
        <w:t>变电所</w:t>
      </w:r>
      <w:r>
        <w:rPr>
          <w:rFonts w:hint="eastAsia"/>
          <w:color w:val="auto"/>
          <w:highlight w:val="none"/>
        </w:rPr>
        <w:t>、地下车库排风口、冷却塔等设备噪声，</w:t>
      </w:r>
      <w:r>
        <w:rPr>
          <w:color w:val="auto"/>
          <w:highlight w:val="none"/>
        </w:rPr>
        <w:t>以及汽车出入地下车库的交通噪声和人员社会活动噪声等</w:t>
      </w:r>
      <w:r>
        <w:rPr>
          <w:rFonts w:hint="eastAsia"/>
          <w:color w:val="auto"/>
          <w:highlight w:val="none"/>
        </w:rPr>
        <w:t>。</w:t>
      </w:r>
      <w:r>
        <w:rPr>
          <w:color w:val="auto"/>
          <w:sz w:val="24"/>
          <w:highlight w:val="none"/>
        </w:rPr>
        <w:t>具体产噪设备的噪声源强见</w:t>
      </w:r>
      <w:r>
        <w:rPr>
          <w:rFonts w:hint="eastAsia"/>
          <w:color w:val="auto"/>
          <w:sz w:val="24"/>
          <w:highlight w:val="none"/>
          <w:lang w:eastAsia="zh-CN"/>
        </w:rPr>
        <w:t>下</w:t>
      </w:r>
      <w:r>
        <w:rPr>
          <w:color w:val="auto"/>
          <w:sz w:val="24"/>
          <w:highlight w:val="none"/>
        </w:rPr>
        <w:t>表</w:t>
      </w:r>
      <w:r>
        <w:rPr>
          <w:rFonts w:hint="eastAsia"/>
          <w:color w:val="auto"/>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Ansi="宋体"/>
          <w:b/>
          <w:color w:val="auto"/>
          <w:sz w:val="21"/>
          <w:szCs w:val="21"/>
        </w:rPr>
      </w:pPr>
      <w:r>
        <w:rPr>
          <w:rFonts w:hAnsi="宋体"/>
          <w:b/>
          <w:color w:val="auto"/>
          <w:sz w:val="21"/>
          <w:szCs w:val="21"/>
        </w:rPr>
        <w:t>表</w:t>
      </w:r>
      <w:r>
        <w:rPr>
          <w:rFonts w:hint="eastAsia"/>
          <w:b/>
          <w:color w:val="auto"/>
          <w:sz w:val="21"/>
          <w:szCs w:val="21"/>
          <w:lang w:val="en-US" w:eastAsia="zh-CN"/>
        </w:rPr>
        <w:t>4</w:t>
      </w:r>
      <w:r>
        <w:rPr>
          <w:b/>
          <w:color w:val="auto"/>
          <w:sz w:val="21"/>
          <w:szCs w:val="21"/>
        </w:rPr>
        <w:t>.2</w:t>
      </w:r>
      <w:r>
        <w:rPr>
          <w:rFonts w:hint="eastAsia"/>
          <w:b/>
          <w:color w:val="auto"/>
          <w:sz w:val="21"/>
          <w:szCs w:val="21"/>
          <w:lang w:val="en-US" w:eastAsia="zh-CN"/>
        </w:rPr>
        <w:t xml:space="preserve">-21 </w:t>
      </w:r>
      <w:r>
        <w:rPr>
          <w:b/>
          <w:color w:val="auto"/>
          <w:sz w:val="21"/>
          <w:szCs w:val="21"/>
        </w:rPr>
        <w:t>项目主要噪声源强分析</w:t>
      </w:r>
    </w:p>
    <w:tbl>
      <w:tblPr>
        <w:tblStyle w:val="48"/>
        <w:tblW w:w="4998" w:type="pct"/>
        <w:tblInd w:w="0" w:type="dxa"/>
        <w:tblLayout w:type="autofit"/>
        <w:tblCellMar>
          <w:top w:w="0" w:type="dxa"/>
          <w:left w:w="0" w:type="dxa"/>
          <w:bottom w:w="0" w:type="dxa"/>
          <w:right w:w="0" w:type="dxa"/>
        </w:tblCellMar>
      </w:tblPr>
      <w:tblGrid>
        <w:gridCol w:w="1559"/>
        <w:gridCol w:w="1295"/>
        <w:gridCol w:w="1363"/>
        <w:gridCol w:w="2580"/>
        <w:gridCol w:w="1542"/>
      </w:tblGrid>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名称</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设备名称</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数量（台）</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位置</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噪声声压级（dB(A)）</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生活</w:t>
            </w:r>
            <w:r>
              <w:rPr>
                <w:rFonts w:hint="eastAsia" w:ascii="Times New Roman" w:hAnsi="Times New Roman" w:eastAsia="宋体" w:cs="Times New Roman"/>
                <w:i w:val="0"/>
                <w:color w:val="auto"/>
                <w:kern w:val="0"/>
                <w:sz w:val="21"/>
                <w:szCs w:val="21"/>
                <w:highlight w:val="none"/>
                <w:u w:val="none"/>
                <w:lang w:val="en-US" w:eastAsia="zh-CN" w:bidi="ar"/>
              </w:rPr>
              <w:t>水</w:t>
            </w:r>
            <w:r>
              <w:rPr>
                <w:rFonts w:hint="default" w:ascii="Times New Roman" w:hAnsi="Times New Roman" w:eastAsia="宋体" w:cs="Times New Roman"/>
                <w:i w:val="0"/>
                <w:color w:val="auto"/>
                <w:kern w:val="0"/>
                <w:sz w:val="21"/>
                <w:szCs w:val="21"/>
                <w:highlight w:val="none"/>
                <w:u w:val="none"/>
                <w:lang w:val="en-US" w:eastAsia="zh-CN" w:bidi="ar"/>
              </w:rPr>
              <w:t>泵房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水泵</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12</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热水泵房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14</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冷却塔补水泵房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新风机房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风机</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75</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吸引机房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风机</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75</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排风机房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风机</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9</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75</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空调水泵房1</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12</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空调水泵房2</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医技综合楼</w:t>
            </w:r>
            <w:r>
              <w:rPr>
                <w:rFonts w:hint="default" w:ascii="Times New Roman" w:hAnsi="Times New Roman" w:eastAsia="宋体" w:cs="Times New Roman"/>
                <w:i w:val="0"/>
                <w:color w:val="auto"/>
                <w:kern w:val="0"/>
                <w:sz w:val="21"/>
                <w:szCs w:val="21"/>
                <w:highlight w:val="none"/>
                <w:u w:val="none"/>
                <w:lang w:val="en-US" w:eastAsia="zh-CN" w:bidi="ar"/>
              </w:rPr>
              <w:t>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变</w:t>
            </w:r>
            <w:r>
              <w:rPr>
                <w:rFonts w:hint="eastAsia" w:cs="Times New Roman"/>
                <w:i w:val="0"/>
                <w:color w:val="auto"/>
                <w:kern w:val="0"/>
                <w:sz w:val="21"/>
                <w:szCs w:val="21"/>
                <w:highlight w:val="none"/>
                <w:u w:val="none"/>
                <w:lang w:val="en-US" w:eastAsia="zh-CN" w:bidi="ar"/>
              </w:rPr>
              <w:t>配</w:t>
            </w:r>
            <w:r>
              <w:rPr>
                <w:rFonts w:hint="default" w:ascii="Times New Roman" w:hAnsi="Times New Roman" w:eastAsia="宋体" w:cs="Times New Roman"/>
                <w:i w:val="0"/>
                <w:color w:val="auto"/>
                <w:kern w:val="0"/>
                <w:sz w:val="21"/>
                <w:szCs w:val="21"/>
                <w:highlight w:val="none"/>
                <w:u w:val="none"/>
                <w:lang w:val="en-US" w:eastAsia="zh-CN" w:bidi="ar"/>
              </w:rPr>
              <w:t>电</w:t>
            </w:r>
            <w:r>
              <w:rPr>
                <w:rFonts w:hint="eastAsia" w:cs="Times New Roman"/>
                <w:i w:val="0"/>
                <w:color w:val="auto"/>
                <w:kern w:val="0"/>
                <w:sz w:val="21"/>
                <w:szCs w:val="21"/>
                <w:highlight w:val="none"/>
                <w:u w:val="none"/>
                <w:lang w:val="en-US" w:eastAsia="zh-CN" w:bidi="ar"/>
              </w:rPr>
              <w:t>所</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eastAsia" w:cs="Times New Roman"/>
                <w:i w:val="0"/>
                <w:color w:val="auto"/>
                <w:kern w:val="0"/>
                <w:sz w:val="21"/>
                <w:szCs w:val="21"/>
                <w:highlight w:val="none"/>
                <w:u w:val="none"/>
                <w:lang w:val="en-US" w:eastAsia="zh-CN" w:bidi="ar"/>
              </w:rPr>
              <w:t>变压器</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9</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w:t>
            </w:r>
            <w:r>
              <w:rPr>
                <w:rFonts w:hint="eastAsia" w:ascii="Times New Roman" w:hAnsi="Times New Roman" w:eastAsia="宋体" w:cs="Times New Roman"/>
                <w:i w:val="0"/>
                <w:color w:val="auto"/>
                <w:kern w:val="0"/>
                <w:sz w:val="21"/>
                <w:szCs w:val="21"/>
                <w:highlight w:val="none"/>
                <w:u w:val="none"/>
                <w:lang w:val="en-US" w:eastAsia="zh-CN" w:bidi="ar"/>
              </w:rPr>
              <w:t>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柴油发电机房</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柴油发电机</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cs="Times New Roman"/>
                <w:i w:val="0"/>
                <w:color w:val="auto"/>
                <w:kern w:val="0"/>
                <w:sz w:val="21"/>
                <w:szCs w:val="21"/>
                <w:highlight w:val="none"/>
                <w:u w:val="none"/>
                <w:lang w:val="en-US" w:eastAsia="zh-CN" w:bidi="ar"/>
              </w:rPr>
              <w:t>90</w:t>
            </w:r>
          </w:p>
        </w:tc>
      </w:tr>
      <w:tr>
        <w:tblPrEx>
          <w:tblCellMar>
            <w:top w:w="0" w:type="dxa"/>
            <w:left w:w="0" w:type="dxa"/>
            <w:bottom w:w="0" w:type="dxa"/>
            <w:right w:w="0" w:type="dxa"/>
          </w:tblCellMar>
        </w:tblPrEx>
        <w:trPr>
          <w:trHeight w:val="397" w:hRule="atLeast"/>
        </w:trPr>
        <w:tc>
          <w:tcPr>
            <w:tcW w:w="93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冷却塔</w:t>
            </w:r>
          </w:p>
        </w:tc>
        <w:tc>
          <w:tcPr>
            <w:tcW w:w="77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冷却塔</w:t>
            </w:r>
          </w:p>
        </w:tc>
        <w:tc>
          <w:tcPr>
            <w:tcW w:w="81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16</w:t>
            </w:r>
          </w:p>
        </w:tc>
        <w:tc>
          <w:tcPr>
            <w:tcW w:w="1546"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综合住院部</w:t>
            </w:r>
            <w:r>
              <w:rPr>
                <w:rFonts w:hint="default" w:ascii="Times New Roman" w:hAnsi="Times New Roman" w:eastAsia="宋体" w:cs="Times New Roman"/>
                <w:i w:val="0"/>
                <w:color w:val="auto"/>
                <w:kern w:val="0"/>
                <w:sz w:val="21"/>
                <w:szCs w:val="21"/>
                <w:highlight w:val="none"/>
                <w:u w:val="none"/>
                <w:lang w:val="en-US" w:eastAsia="zh-CN" w:bidi="ar"/>
              </w:rPr>
              <w:t>楼顶</w:t>
            </w:r>
          </w:p>
        </w:tc>
        <w:tc>
          <w:tcPr>
            <w:tcW w:w="9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i w:val="0"/>
                <w:color w:val="auto"/>
                <w:sz w:val="21"/>
                <w:szCs w:val="21"/>
                <w:highlight w:val="none"/>
                <w:u w:val="none"/>
                <w:lang w:val="en-US" w:eastAsia="zh-CN"/>
              </w:rPr>
            </w:pPr>
            <w:r>
              <w:rPr>
                <w:rFonts w:hint="eastAsia" w:cs="Times New Roman"/>
                <w:b w:val="0"/>
                <w:bCs/>
                <w:i w:val="0"/>
                <w:color w:val="auto"/>
                <w:sz w:val="21"/>
                <w:szCs w:val="21"/>
                <w:highlight w:val="none"/>
                <w:u w:val="none"/>
                <w:lang w:val="en-US" w:eastAsia="zh-CN"/>
              </w:rPr>
              <w:t>85</w:t>
            </w:r>
          </w:p>
        </w:tc>
      </w:tr>
    </w:tbl>
    <w:p>
      <w:pPr>
        <w:spacing w:line="240" w:lineRule="auto"/>
        <w:ind w:left="0" w:leftChars="0" w:firstLine="0" w:firstLineChars="0"/>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int="eastAsia" w:hAnsi="宋体"/>
          <w:b/>
          <w:color w:val="auto"/>
          <w:sz w:val="21"/>
          <w:szCs w:val="21"/>
        </w:rPr>
        <w:t>.2-</w:t>
      </w:r>
      <w:r>
        <w:rPr>
          <w:rFonts w:hint="eastAsia" w:hAnsi="宋体"/>
          <w:b/>
          <w:color w:val="auto"/>
          <w:sz w:val="21"/>
          <w:szCs w:val="21"/>
          <w:lang w:val="en-US" w:eastAsia="zh-CN"/>
        </w:rPr>
        <w:t>22</w:t>
      </w:r>
      <w:r>
        <w:rPr>
          <w:rFonts w:hAnsi="宋体"/>
          <w:b/>
          <w:color w:val="auto"/>
          <w:sz w:val="21"/>
          <w:szCs w:val="21"/>
        </w:rPr>
        <w:t xml:space="preserve">  </w:t>
      </w:r>
      <w:r>
        <w:rPr>
          <w:rFonts w:hint="eastAsia" w:hAnsi="宋体"/>
          <w:b/>
          <w:color w:val="auto"/>
          <w:sz w:val="21"/>
          <w:szCs w:val="21"/>
        </w:rPr>
        <w:t>区内</w:t>
      </w:r>
      <w:r>
        <w:rPr>
          <w:rFonts w:hAnsi="宋体"/>
          <w:b/>
          <w:color w:val="auto"/>
          <w:sz w:val="21"/>
          <w:szCs w:val="21"/>
        </w:rPr>
        <w:t>交通噪声等源强</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3786"/>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声 源</w:t>
            </w:r>
          </w:p>
        </w:tc>
        <w:tc>
          <w:tcPr>
            <w:tcW w:w="2219"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运 行 状 况</w:t>
            </w:r>
          </w:p>
        </w:tc>
        <w:tc>
          <w:tcPr>
            <w:tcW w:w="1948"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声 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vMerge w:val="restar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小型车</w:t>
            </w:r>
          </w:p>
        </w:tc>
        <w:tc>
          <w:tcPr>
            <w:tcW w:w="2219"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怠速行使</w:t>
            </w:r>
          </w:p>
        </w:tc>
        <w:tc>
          <w:tcPr>
            <w:tcW w:w="1948"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59-76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vMerge w:val="continue"/>
            <w:noWrap w:val="0"/>
            <w:vAlign w:val="center"/>
          </w:tcPr>
          <w:p>
            <w:pPr>
              <w:spacing w:line="240" w:lineRule="auto"/>
              <w:ind w:firstLine="0" w:firstLineChars="0"/>
              <w:jc w:val="center"/>
              <w:rPr>
                <w:rFonts w:hAnsi="宋体"/>
                <w:color w:val="auto"/>
                <w:sz w:val="21"/>
                <w:szCs w:val="21"/>
              </w:rPr>
            </w:pPr>
          </w:p>
        </w:tc>
        <w:tc>
          <w:tcPr>
            <w:tcW w:w="2219"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正常行使</w:t>
            </w:r>
          </w:p>
        </w:tc>
        <w:tc>
          <w:tcPr>
            <w:tcW w:w="1948"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61-70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vMerge w:val="continue"/>
            <w:noWrap w:val="0"/>
            <w:vAlign w:val="center"/>
          </w:tcPr>
          <w:p>
            <w:pPr>
              <w:spacing w:line="240" w:lineRule="auto"/>
              <w:ind w:firstLine="0" w:firstLineChars="0"/>
              <w:jc w:val="center"/>
              <w:rPr>
                <w:rFonts w:hAnsi="宋体"/>
                <w:color w:val="auto"/>
                <w:sz w:val="21"/>
                <w:szCs w:val="21"/>
              </w:rPr>
            </w:pPr>
          </w:p>
        </w:tc>
        <w:tc>
          <w:tcPr>
            <w:tcW w:w="2219"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鸣笛</w:t>
            </w:r>
          </w:p>
        </w:tc>
        <w:tc>
          <w:tcPr>
            <w:tcW w:w="1948" w:type="pct"/>
            <w:noWrap w:val="0"/>
            <w:vAlign w:val="center"/>
          </w:tcPr>
          <w:p>
            <w:pPr>
              <w:spacing w:line="240" w:lineRule="auto"/>
              <w:ind w:firstLine="0" w:firstLineChars="0"/>
              <w:jc w:val="center"/>
              <w:rPr>
                <w:rFonts w:hAnsi="宋体"/>
                <w:color w:val="auto"/>
                <w:sz w:val="21"/>
                <w:szCs w:val="21"/>
              </w:rPr>
            </w:pPr>
            <w:r>
              <w:rPr>
                <w:rFonts w:hAnsi="宋体"/>
                <w:color w:val="auto"/>
                <w:sz w:val="21"/>
                <w:szCs w:val="21"/>
              </w:rPr>
              <w:t>78-84</w:t>
            </w:r>
          </w:p>
        </w:tc>
      </w:tr>
    </w:tbl>
    <w:p>
      <w:pPr>
        <w:pStyle w:val="2"/>
        <w:pageBreakBefore w:val="0"/>
        <w:widowControl w:val="0"/>
        <w:numPr>
          <w:ilvl w:val="3"/>
          <w:numId w:val="0"/>
        </w:numPr>
        <w:kinsoku/>
        <w:wordWrap/>
        <w:overflowPunct/>
        <w:topLinePunct w:val="0"/>
        <w:autoSpaceDE/>
        <w:autoSpaceDN/>
        <w:bidi w:val="0"/>
        <w:adjustRightInd/>
        <w:snapToGrid/>
        <w:spacing w:before="0" w:after="0" w:line="360" w:lineRule="auto"/>
        <w:textAlignment w:val="auto"/>
        <w:rPr>
          <w:rFonts w:hint="eastAsia"/>
          <w:color w:val="auto"/>
        </w:rPr>
      </w:pPr>
      <w:r>
        <w:rPr>
          <w:rFonts w:hint="eastAsia"/>
          <w:color w:val="auto"/>
          <w:lang w:val="en-US" w:eastAsia="zh-CN"/>
        </w:rPr>
        <w:t>3.2.2.4</w:t>
      </w:r>
      <w:r>
        <w:rPr>
          <w:rFonts w:hint="eastAsia"/>
          <w:color w:val="auto"/>
        </w:rPr>
        <w:t>营运期固体废物源强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rPr>
      </w:pPr>
      <w:r>
        <w:rPr>
          <w:color w:val="auto"/>
          <w:highlight w:val="none"/>
        </w:rPr>
        <w:t>项目产生的固体废物</w:t>
      </w:r>
      <w:r>
        <w:rPr>
          <w:rFonts w:hint="eastAsia"/>
          <w:color w:val="auto"/>
          <w:highlight w:val="none"/>
        </w:rPr>
        <w:t>主要为医疗废物、生活垃圾</w:t>
      </w:r>
      <w:r>
        <w:rPr>
          <w:rFonts w:hint="eastAsia"/>
          <w:color w:val="auto"/>
          <w:highlight w:val="none"/>
          <w:lang w:eastAsia="zh-CN"/>
        </w:rPr>
        <w:t>、</w:t>
      </w:r>
      <w:r>
        <w:rPr>
          <w:rFonts w:hint="eastAsia"/>
          <w:color w:val="auto"/>
          <w:highlight w:val="none"/>
        </w:rPr>
        <w:t>污水处理站</w:t>
      </w:r>
      <w:r>
        <w:rPr>
          <w:rFonts w:hint="eastAsia"/>
          <w:color w:val="auto"/>
          <w:highlight w:val="none"/>
          <w:lang w:val="en-US" w:eastAsia="zh-CN"/>
        </w:rPr>
        <w:t>及化粪池</w:t>
      </w:r>
      <w:r>
        <w:rPr>
          <w:rFonts w:hint="eastAsia"/>
          <w:color w:val="auto"/>
          <w:highlight w:val="none"/>
        </w:rPr>
        <w:t>污泥</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rPr>
      </w:pPr>
      <w:r>
        <w:rPr>
          <w:rFonts w:hint="eastAsia"/>
          <w:color w:val="auto"/>
        </w:rPr>
        <w:t>（1）医疗废物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Style w:val="125"/>
          <w:rFonts w:hint="default"/>
          <w:color w:val="auto"/>
        </w:rPr>
      </w:pPr>
      <w:r>
        <w:rPr>
          <w:rStyle w:val="125"/>
          <w:rFonts w:hint="default"/>
          <w:color w:val="auto"/>
        </w:rPr>
        <w:t>医疗废物是指医疗卫生机构在医疗、预防、保健以及其他相关活动中产生的具有直接或者间接感染性、毒性以</w:t>
      </w:r>
      <w:r>
        <w:rPr>
          <w:rStyle w:val="125"/>
          <w:rFonts w:hint="default" w:ascii="Times New Roman" w:hAnsi="Times New Roman" w:cs="Times New Roman"/>
          <w:color w:val="auto"/>
        </w:rPr>
        <w:t>及其他危害性的废物。</w:t>
      </w:r>
      <w:r>
        <w:rPr>
          <w:rStyle w:val="125"/>
          <w:rFonts w:hint="default"/>
          <w:color w:val="auto"/>
        </w:rPr>
        <w:t>医疗废物消毒灭活后暂存于医疗废物暂存室</w:t>
      </w:r>
      <w:r>
        <w:rPr>
          <w:rStyle w:val="125"/>
          <w:rFonts w:hint="default"/>
          <w:color w:val="auto"/>
          <w:highlight w:val="none"/>
        </w:rPr>
        <w:t>，及时交</w:t>
      </w:r>
      <w:r>
        <w:rPr>
          <w:rStyle w:val="125"/>
          <w:rFonts w:hint="eastAsia"/>
          <w:color w:val="auto"/>
          <w:highlight w:val="none"/>
          <w:lang w:val="en-US" w:eastAsia="zh-CN"/>
        </w:rPr>
        <w:t>阜阳市利康医疗废物处置有限公司</w:t>
      </w:r>
      <w:r>
        <w:rPr>
          <w:rStyle w:val="125"/>
          <w:rFonts w:hint="default"/>
          <w:color w:val="auto"/>
          <w:highlight w:val="none"/>
        </w:rPr>
        <w:t>进行处置</w:t>
      </w:r>
      <w:r>
        <w:rPr>
          <w:rStyle w:val="125"/>
          <w:rFonts w:hint="default"/>
          <w:color w:val="auto"/>
        </w:rPr>
        <w:t>。根据《医疗废物分类目录》的规定，医疗废物按其性质可分为五大类，即感染性废物、损伤性废物、病理性废物、药物性废物和化学性废物。本项目医疗废物类别、常见组分或废物名称见下表。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宋体" w:hAnsi="宋体"/>
          <w:color w:val="auto"/>
        </w:rPr>
      </w:pPr>
      <w:r>
        <w:rPr>
          <w:rFonts w:hAnsi="宋体"/>
          <w:b/>
          <w:color w:val="auto"/>
          <w:sz w:val="21"/>
          <w:szCs w:val="21"/>
        </w:rPr>
        <w:t>表</w:t>
      </w:r>
      <w:r>
        <w:rPr>
          <w:rFonts w:hint="eastAsia" w:hAnsi="宋体"/>
          <w:b/>
          <w:color w:val="auto"/>
          <w:sz w:val="21"/>
          <w:szCs w:val="21"/>
          <w:lang w:val="en-US" w:eastAsia="zh-CN"/>
        </w:rPr>
        <w:t>4</w:t>
      </w:r>
      <w:r>
        <w:rPr>
          <w:rFonts w:hAnsi="宋体"/>
          <w:b/>
          <w:color w:val="auto"/>
          <w:sz w:val="21"/>
          <w:szCs w:val="21"/>
        </w:rPr>
        <w:t>.</w:t>
      </w:r>
      <w:r>
        <w:rPr>
          <w:rFonts w:hint="eastAsia" w:hAnsi="宋体"/>
          <w:b/>
          <w:color w:val="auto"/>
          <w:sz w:val="21"/>
          <w:szCs w:val="21"/>
        </w:rPr>
        <w:t>2-</w:t>
      </w:r>
      <w:r>
        <w:rPr>
          <w:rFonts w:hint="eastAsia" w:hAnsi="宋体"/>
          <w:b/>
          <w:color w:val="auto"/>
          <w:sz w:val="21"/>
          <w:szCs w:val="21"/>
          <w:lang w:val="en-US" w:eastAsia="zh-CN"/>
        </w:rPr>
        <w:t>23</w:t>
      </w:r>
      <w:r>
        <w:rPr>
          <w:rFonts w:hAnsi="宋体"/>
          <w:b/>
          <w:color w:val="auto"/>
          <w:sz w:val="21"/>
          <w:szCs w:val="21"/>
        </w:rPr>
        <w:t xml:space="preserve">  </w:t>
      </w:r>
      <w:r>
        <w:rPr>
          <w:rFonts w:hint="eastAsia" w:hAnsi="宋体"/>
          <w:b/>
          <w:color w:val="auto"/>
          <w:sz w:val="21"/>
          <w:szCs w:val="21"/>
        </w:rPr>
        <w:t>医疗废物分类名录</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26"/>
        <w:gridCol w:w="6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序号</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医疗废物类别</w:t>
            </w:r>
          </w:p>
        </w:tc>
        <w:tc>
          <w:tcPr>
            <w:tcW w:w="6327" w:type="dxa"/>
            <w:noWrap w:val="0"/>
            <w:vAlign w:val="center"/>
          </w:tcPr>
          <w:p>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rPr>
              <w:t>常见组分或废物</w:t>
            </w:r>
            <w:r>
              <w:rPr>
                <w:rFonts w:hint="eastAsia"/>
                <w:color w:val="auto"/>
                <w:sz w:val="21"/>
                <w:szCs w:val="21"/>
                <w:lang w:eastAsia="zh-CN"/>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1</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感染性废物</w:t>
            </w:r>
          </w:p>
        </w:tc>
        <w:tc>
          <w:tcPr>
            <w:tcW w:w="6327" w:type="dxa"/>
            <w:noWrap w:val="0"/>
            <w:vAlign w:val="center"/>
          </w:tcPr>
          <w:p>
            <w:pPr>
              <w:numPr>
                <w:ilvl w:val="0"/>
                <w:numId w:val="0"/>
              </w:numPr>
              <w:adjustRightInd w:val="0"/>
              <w:snapToGrid w:val="0"/>
              <w:spacing w:line="240" w:lineRule="auto"/>
              <w:ind w:leftChars="0"/>
              <w:jc w:val="left"/>
              <w:rPr>
                <w:rFonts w:hint="eastAsia"/>
                <w:color w:val="auto"/>
                <w:sz w:val="21"/>
                <w:szCs w:val="21"/>
                <w:lang w:eastAsia="zh-CN"/>
              </w:rPr>
            </w:pPr>
            <w:r>
              <w:rPr>
                <w:rFonts w:hint="eastAsia"/>
                <w:color w:val="auto"/>
                <w:sz w:val="21"/>
                <w:szCs w:val="21"/>
                <w:lang w:eastAsia="zh-CN"/>
              </w:rPr>
              <w:t>①被患者血液、体液、排泄物等污染的除锐器以外的废物</w:t>
            </w:r>
            <w:r>
              <w:rPr>
                <w:rFonts w:hint="eastAsia" w:cs="宋体"/>
                <w:color w:val="auto"/>
                <w:sz w:val="21"/>
                <w:szCs w:val="21"/>
                <w:lang w:eastAsia="zh-CN"/>
              </w:rPr>
              <w:t>；</w:t>
            </w:r>
          </w:p>
          <w:p>
            <w:pPr>
              <w:numPr>
                <w:ilvl w:val="0"/>
                <w:numId w:val="0"/>
              </w:numPr>
              <w:adjustRightInd w:val="0"/>
              <w:snapToGrid w:val="0"/>
              <w:spacing w:line="240" w:lineRule="auto"/>
              <w:ind w:leftChars="0"/>
              <w:jc w:val="left"/>
              <w:rPr>
                <w:rFonts w:hint="eastAsia"/>
                <w:color w:val="auto"/>
                <w:sz w:val="21"/>
                <w:szCs w:val="21"/>
                <w:lang w:eastAsia="zh-CN"/>
              </w:rPr>
            </w:pPr>
            <w:r>
              <w:rPr>
                <w:rFonts w:hint="eastAsia" w:ascii="宋体" w:hAnsi="宋体" w:cs="宋体"/>
                <w:color w:val="auto"/>
                <w:sz w:val="21"/>
                <w:szCs w:val="21"/>
              </w:rPr>
              <w:t>②</w:t>
            </w:r>
            <w:r>
              <w:rPr>
                <w:rFonts w:hint="eastAsia"/>
                <w:color w:val="auto"/>
                <w:sz w:val="21"/>
                <w:szCs w:val="21"/>
                <w:lang w:eastAsia="zh-CN"/>
              </w:rPr>
              <w:t>使用后废弃的一次性使用医疗器械，如注射器、输液器、透析器等</w:t>
            </w:r>
            <w:r>
              <w:rPr>
                <w:rFonts w:hint="eastAsia" w:cs="宋体"/>
                <w:color w:val="auto"/>
                <w:sz w:val="21"/>
                <w:szCs w:val="21"/>
                <w:lang w:eastAsia="zh-CN"/>
              </w:rPr>
              <w:t>；</w:t>
            </w:r>
          </w:p>
          <w:p>
            <w:pPr>
              <w:numPr>
                <w:ilvl w:val="0"/>
                <w:numId w:val="0"/>
              </w:numPr>
              <w:adjustRightInd w:val="0"/>
              <w:snapToGrid w:val="0"/>
              <w:spacing w:line="240" w:lineRule="auto"/>
              <w:ind w:leftChars="0"/>
              <w:jc w:val="left"/>
              <w:rPr>
                <w:rFonts w:hint="eastAsia"/>
                <w:color w:val="auto"/>
                <w:sz w:val="21"/>
                <w:szCs w:val="21"/>
                <w:lang w:eastAsia="zh-CN"/>
              </w:rPr>
            </w:pPr>
            <w:r>
              <w:rPr>
                <w:rFonts w:hint="eastAsia" w:ascii="宋体" w:hAnsi="宋体" w:cs="宋体"/>
                <w:color w:val="auto"/>
                <w:sz w:val="21"/>
                <w:szCs w:val="21"/>
              </w:rPr>
              <w:t>③</w:t>
            </w:r>
            <w:r>
              <w:rPr>
                <w:rFonts w:hint="eastAsia"/>
                <w:color w:val="auto"/>
                <w:sz w:val="21"/>
                <w:szCs w:val="21"/>
                <w:lang w:eastAsia="zh-CN"/>
              </w:rPr>
              <w:t>病原微生物实验室废弃的病原体培养基、标本，菌种和毒种保存液及其容器</w:t>
            </w:r>
            <w:r>
              <w:rPr>
                <w:rFonts w:hint="eastAsia" w:cs="宋体"/>
                <w:color w:val="auto"/>
                <w:sz w:val="21"/>
                <w:szCs w:val="21"/>
                <w:lang w:eastAsia="zh-CN"/>
              </w:rPr>
              <w:t>；</w:t>
            </w:r>
            <w:r>
              <w:rPr>
                <w:rFonts w:hint="eastAsia"/>
                <w:color w:val="auto"/>
                <w:sz w:val="21"/>
                <w:szCs w:val="21"/>
                <w:lang w:eastAsia="zh-CN"/>
              </w:rPr>
              <w:t>其他实验室及科室废弃的血液、血清、分泌物等标本和容器</w:t>
            </w:r>
            <w:r>
              <w:rPr>
                <w:rFonts w:hint="eastAsia" w:cs="宋体"/>
                <w:color w:val="auto"/>
                <w:sz w:val="21"/>
                <w:szCs w:val="21"/>
                <w:lang w:eastAsia="zh-CN"/>
              </w:rPr>
              <w:t>；</w:t>
            </w:r>
          </w:p>
          <w:p>
            <w:pPr>
              <w:numPr>
                <w:ilvl w:val="0"/>
                <w:numId w:val="0"/>
              </w:numPr>
              <w:adjustRightInd w:val="0"/>
              <w:snapToGrid w:val="0"/>
              <w:spacing w:line="240" w:lineRule="auto"/>
              <w:ind w:leftChars="0"/>
              <w:jc w:val="left"/>
              <w:rPr>
                <w:rFonts w:hint="eastAsia"/>
                <w:color w:val="auto"/>
                <w:sz w:val="21"/>
                <w:szCs w:val="21"/>
              </w:rPr>
            </w:pPr>
            <w:r>
              <w:rPr>
                <w:rFonts w:hint="eastAsia" w:ascii="宋体" w:hAnsi="宋体" w:cs="宋体"/>
                <w:color w:val="auto"/>
                <w:sz w:val="21"/>
                <w:szCs w:val="21"/>
              </w:rPr>
              <w:t>④</w:t>
            </w:r>
            <w:r>
              <w:rPr>
                <w:rFonts w:hint="eastAsia"/>
                <w:color w:val="auto"/>
                <w:sz w:val="21"/>
                <w:szCs w:val="21"/>
                <w:lang w:eastAsia="zh-CN"/>
              </w:rPr>
              <w:t>隔离传染病患者或者疑似传染病患者产生的废弃物。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2</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损伤性废物</w:t>
            </w:r>
          </w:p>
        </w:tc>
        <w:tc>
          <w:tcPr>
            <w:tcW w:w="6327" w:type="dxa"/>
            <w:noWrap w:val="0"/>
            <w:vAlign w:val="center"/>
          </w:tcPr>
          <w:p>
            <w:pPr>
              <w:adjustRightInd w:val="0"/>
              <w:snapToGrid w:val="0"/>
              <w:spacing w:line="240" w:lineRule="auto"/>
              <w:ind w:firstLine="0" w:firstLineChars="0"/>
              <w:rPr>
                <w:rFonts w:hint="eastAsia" w:ascii="宋体" w:hAnsi="宋体" w:eastAsia="宋体" w:cs="宋体"/>
                <w:color w:val="auto"/>
                <w:sz w:val="21"/>
                <w:szCs w:val="21"/>
                <w:lang w:eastAsia="zh-CN"/>
              </w:rPr>
            </w:pPr>
            <w:r>
              <w:rPr>
                <w:rFonts w:hint="eastAsia"/>
                <w:color w:val="auto"/>
                <w:sz w:val="21"/>
                <w:szCs w:val="21"/>
                <w:lang w:eastAsia="zh-CN"/>
              </w:rPr>
              <w:t>①</w:t>
            </w:r>
            <w:r>
              <w:rPr>
                <w:rFonts w:hint="eastAsia" w:ascii="宋体" w:hAnsi="宋体" w:cs="宋体"/>
                <w:color w:val="auto"/>
                <w:sz w:val="21"/>
                <w:szCs w:val="21"/>
              </w:rPr>
              <w:t>废弃的金属类锐器，如针头、缝合针、针灸针、探针、穿刺针、解剖刀、手术刀、手术锯、备皮刀、钢钉和导丝等</w:t>
            </w:r>
            <w:r>
              <w:rPr>
                <w:rFonts w:hint="eastAsia" w:ascii="宋体" w:hAnsi="宋体" w:cs="宋体"/>
                <w:color w:val="auto"/>
                <w:sz w:val="21"/>
                <w:szCs w:val="21"/>
                <w:lang w:eastAsia="zh-CN"/>
              </w:rPr>
              <w:t>；</w:t>
            </w:r>
          </w:p>
          <w:p>
            <w:pPr>
              <w:adjustRightInd w:val="0"/>
              <w:snapToGrid w:val="0"/>
              <w:spacing w:line="240" w:lineRule="auto"/>
              <w:ind w:firstLine="0" w:firstLineChars="0"/>
              <w:rPr>
                <w:rFonts w:hint="eastAsia" w:ascii="宋体" w:hAnsi="宋体" w:eastAsia="宋体" w:cs="宋体"/>
                <w:color w:val="auto"/>
                <w:sz w:val="21"/>
                <w:szCs w:val="21"/>
                <w:lang w:eastAsia="zh-CN"/>
              </w:rPr>
            </w:pPr>
            <w:r>
              <w:rPr>
                <w:rFonts w:hint="eastAsia" w:ascii="宋体" w:hAnsi="宋体" w:cs="宋体"/>
                <w:color w:val="auto"/>
                <w:sz w:val="21"/>
                <w:szCs w:val="21"/>
              </w:rPr>
              <w:t>②废弃的玻璃类锐器，如盖玻片、载玻片、玻璃安瓿等</w:t>
            </w:r>
            <w:r>
              <w:rPr>
                <w:rFonts w:hint="eastAsia" w:ascii="宋体" w:hAnsi="宋体" w:cs="宋体"/>
                <w:color w:val="auto"/>
                <w:sz w:val="21"/>
                <w:szCs w:val="21"/>
                <w:lang w:eastAsia="zh-CN"/>
              </w:rPr>
              <w:t>；</w:t>
            </w:r>
          </w:p>
          <w:p>
            <w:pPr>
              <w:adjustRightInd w:val="0"/>
              <w:snapToGrid w:val="0"/>
              <w:spacing w:line="240" w:lineRule="auto"/>
              <w:ind w:firstLine="0" w:firstLineChars="0"/>
              <w:rPr>
                <w:rFonts w:hint="eastAsia"/>
                <w:color w:val="auto"/>
                <w:sz w:val="21"/>
                <w:szCs w:val="21"/>
              </w:rPr>
            </w:pPr>
            <w:r>
              <w:rPr>
                <w:rFonts w:hint="eastAsia" w:ascii="宋体" w:hAnsi="宋体" w:cs="宋体"/>
                <w:color w:val="auto"/>
                <w:sz w:val="21"/>
                <w:szCs w:val="21"/>
              </w:rPr>
              <w:t>③废弃的其他材质类锐器。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3</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病理性废物</w:t>
            </w:r>
          </w:p>
        </w:tc>
        <w:tc>
          <w:tcPr>
            <w:tcW w:w="6327" w:type="dxa"/>
            <w:noWrap w:val="0"/>
            <w:vAlign w:val="center"/>
          </w:tcPr>
          <w:p>
            <w:pPr>
              <w:numPr>
                <w:ilvl w:val="0"/>
                <w:numId w:val="0"/>
              </w:numPr>
              <w:adjustRightInd w:val="0"/>
              <w:snapToGrid w:val="0"/>
              <w:spacing w:line="240" w:lineRule="auto"/>
              <w:ind w:leftChars="0"/>
              <w:rPr>
                <w:rFonts w:hint="eastAsia" w:ascii="宋体" w:hAnsi="宋体" w:eastAsia="宋体" w:cs="宋体"/>
                <w:color w:val="auto"/>
                <w:sz w:val="21"/>
                <w:szCs w:val="21"/>
                <w:lang w:eastAsia="zh-CN"/>
              </w:rPr>
            </w:pPr>
            <w:r>
              <w:rPr>
                <w:rFonts w:hint="eastAsia"/>
                <w:color w:val="auto"/>
                <w:sz w:val="21"/>
                <w:szCs w:val="21"/>
                <w:lang w:eastAsia="zh-CN"/>
              </w:rPr>
              <w:t>①</w:t>
            </w:r>
            <w:r>
              <w:rPr>
                <w:rFonts w:hint="eastAsia" w:ascii="宋体" w:hAnsi="宋体" w:cs="宋体"/>
                <w:color w:val="auto"/>
                <w:sz w:val="21"/>
                <w:szCs w:val="21"/>
              </w:rPr>
              <w:t>手术及其他医学服务过程中产生的废弃的人体组织、器官</w:t>
            </w:r>
            <w:r>
              <w:rPr>
                <w:rFonts w:hint="eastAsia" w:ascii="宋体" w:hAnsi="宋体" w:cs="宋体"/>
                <w:color w:val="auto"/>
                <w:sz w:val="21"/>
                <w:szCs w:val="21"/>
                <w:lang w:eastAsia="zh-CN"/>
              </w:rPr>
              <w:t>；</w:t>
            </w:r>
          </w:p>
          <w:p>
            <w:pPr>
              <w:numPr>
                <w:ilvl w:val="0"/>
                <w:numId w:val="0"/>
              </w:numPr>
              <w:adjustRightInd w:val="0"/>
              <w:snapToGrid w:val="0"/>
              <w:spacing w:line="240" w:lineRule="auto"/>
              <w:ind w:leftChars="0"/>
              <w:rPr>
                <w:rFonts w:hint="eastAsia" w:ascii="宋体" w:hAnsi="宋体" w:eastAsia="宋体" w:cs="宋体"/>
                <w:color w:val="auto"/>
                <w:sz w:val="21"/>
                <w:szCs w:val="21"/>
                <w:lang w:eastAsia="zh-CN"/>
              </w:rPr>
            </w:pPr>
            <w:r>
              <w:rPr>
                <w:rFonts w:hint="eastAsia" w:ascii="宋体" w:hAnsi="宋体" w:cs="宋体"/>
                <w:color w:val="auto"/>
                <w:sz w:val="21"/>
                <w:szCs w:val="21"/>
              </w:rPr>
              <w:t>②病理切片后废弃的人体组织、病理蜡块</w:t>
            </w:r>
            <w:r>
              <w:rPr>
                <w:rFonts w:hint="eastAsia" w:ascii="宋体" w:hAnsi="宋体" w:cs="宋体"/>
                <w:color w:val="auto"/>
                <w:sz w:val="21"/>
                <w:szCs w:val="21"/>
                <w:lang w:eastAsia="zh-CN"/>
              </w:rPr>
              <w:t>；</w:t>
            </w:r>
          </w:p>
          <w:p>
            <w:pPr>
              <w:numPr>
                <w:ilvl w:val="0"/>
                <w:numId w:val="0"/>
              </w:numPr>
              <w:adjustRightInd w:val="0"/>
              <w:snapToGrid w:val="0"/>
              <w:spacing w:line="240" w:lineRule="auto"/>
              <w:ind w:leftChars="0"/>
              <w:rPr>
                <w:rFonts w:hint="eastAsia" w:ascii="宋体" w:hAnsi="宋体" w:eastAsia="宋体" w:cs="宋体"/>
                <w:color w:val="auto"/>
                <w:sz w:val="21"/>
                <w:szCs w:val="21"/>
                <w:lang w:eastAsia="zh-CN"/>
              </w:rPr>
            </w:pPr>
            <w:r>
              <w:rPr>
                <w:rFonts w:hint="eastAsia" w:ascii="宋体" w:hAnsi="宋体" w:cs="宋体"/>
                <w:color w:val="auto"/>
                <w:sz w:val="21"/>
                <w:szCs w:val="21"/>
              </w:rPr>
              <w:t>③废弃的医学实验动物的组织和尸体</w:t>
            </w:r>
            <w:r>
              <w:rPr>
                <w:rFonts w:hint="eastAsia" w:ascii="宋体" w:hAnsi="宋体" w:cs="宋体"/>
                <w:color w:val="auto"/>
                <w:sz w:val="21"/>
                <w:szCs w:val="21"/>
                <w:lang w:eastAsia="zh-CN"/>
              </w:rPr>
              <w:t>；</w:t>
            </w:r>
          </w:p>
          <w:p>
            <w:pPr>
              <w:numPr>
                <w:ilvl w:val="0"/>
                <w:numId w:val="0"/>
              </w:numPr>
              <w:adjustRightInd w:val="0"/>
              <w:snapToGrid w:val="0"/>
              <w:spacing w:line="240" w:lineRule="auto"/>
              <w:ind w:leftChars="0"/>
              <w:rPr>
                <w:rFonts w:hint="eastAsia" w:ascii="宋体" w:hAnsi="宋体" w:eastAsia="宋体" w:cs="宋体"/>
                <w:color w:val="auto"/>
                <w:sz w:val="21"/>
                <w:szCs w:val="21"/>
                <w:lang w:eastAsia="zh-CN"/>
              </w:rPr>
            </w:pPr>
            <w:r>
              <w:rPr>
                <w:rFonts w:hint="eastAsia" w:ascii="宋体" w:hAnsi="宋体" w:cs="宋体"/>
                <w:color w:val="auto"/>
                <w:sz w:val="21"/>
                <w:szCs w:val="21"/>
              </w:rPr>
              <w:t>④16周胎龄以下或重量不足500 克的胚胎组织等</w:t>
            </w:r>
            <w:r>
              <w:rPr>
                <w:rFonts w:hint="eastAsia" w:ascii="宋体" w:hAnsi="宋体" w:cs="宋体"/>
                <w:color w:val="auto"/>
                <w:sz w:val="21"/>
                <w:szCs w:val="21"/>
                <w:lang w:eastAsia="zh-CN"/>
              </w:rPr>
              <w:t>；</w:t>
            </w:r>
          </w:p>
          <w:p>
            <w:pPr>
              <w:numPr>
                <w:ilvl w:val="0"/>
                <w:numId w:val="0"/>
              </w:numPr>
              <w:adjustRightInd w:val="0"/>
              <w:snapToGrid w:val="0"/>
              <w:spacing w:line="240" w:lineRule="auto"/>
              <w:ind w:leftChars="0"/>
              <w:rPr>
                <w:rFonts w:ascii="宋体" w:hAnsi="宋体" w:cs="宋体"/>
                <w:color w:val="auto"/>
                <w:sz w:val="21"/>
                <w:szCs w:val="21"/>
              </w:rPr>
            </w:pP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 5 \* GB3 \* MERGEFORMAT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⑤</w:t>
            </w:r>
            <w:r>
              <w:rPr>
                <w:rFonts w:hint="eastAsia" w:ascii="宋体" w:hAnsi="宋体" w:eastAsia="宋体" w:cs="宋体"/>
                <w:color w:val="auto"/>
                <w:sz w:val="21"/>
                <w:szCs w:val="21"/>
              </w:rPr>
              <w:fldChar w:fldCharType="end"/>
            </w:r>
            <w:r>
              <w:rPr>
                <w:rFonts w:hint="eastAsia" w:ascii="宋体" w:hAnsi="宋体" w:cs="宋体"/>
                <w:color w:val="auto"/>
                <w:sz w:val="21"/>
                <w:szCs w:val="21"/>
              </w:rPr>
              <w:t>确诊、疑似传染病或携带传染病病原体的产妇的胎盘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4</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药物性废物</w:t>
            </w:r>
          </w:p>
        </w:tc>
        <w:tc>
          <w:tcPr>
            <w:tcW w:w="6327" w:type="dxa"/>
            <w:noWrap w:val="0"/>
            <w:vAlign w:val="center"/>
          </w:tcPr>
          <w:p>
            <w:pPr>
              <w:adjustRightInd w:val="0"/>
              <w:snapToGrid w:val="0"/>
              <w:spacing w:line="240" w:lineRule="auto"/>
              <w:ind w:firstLine="0" w:firstLineChars="0"/>
              <w:rPr>
                <w:rFonts w:hint="eastAsia" w:eastAsia="宋体"/>
                <w:color w:val="auto"/>
                <w:sz w:val="21"/>
                <w:szCs w:val="21"/>
                <w:lang w:eastAsia="zh-CN"/>
              </w:rPr>
            </w:pPr>
            <w:r>
              <w:rPr>
                <w:rFonts w:hint="eastAsia"/>
                <w:color w:val="auto"/>
                <w:sz w:val="21"/>
                <w:szCs w:val="21"/>
                <w:lang w:eastAsia="zh-CN"/>
              </w:rPr>
              <w:t>①</w:t>
            </w:r>
            <w:r>
              <w:rPr>
                <w:rFonts w:hint="eastAsia"/>
                <w:color w:val="auto"/>
                <w:sz w:val="21"/>
                <w:szCs w:val="21"/>
              </w:rPr>
              <w:t>废弃的一般性药物</w:t>
            </w:r>
            <w:r>
              <w:rPr>
                <w:rFonts w:hint="eastAsia" w:cs="宋体"/>
                <w:color w:val="auto"/>
                <w:sz w:val="21"/>
                <w:szCs w:val="21"/>
                <w:lang w:eastAsia="zh-CN"/>
              </w:rPr>
              <w:t>；</w:t>
            </w:r>
          </w:p>
          <w:p>
            <w:pPr>
              <w:adjustRightInd w:val="0"/>
              <w:snapToGrid w:val="0"/>
              <w:spacing w:line="240" w:lineRule="auto"/>
              <w:ind w:firstLine="0" w:firstLineChars="0"/>
              <w:rPr>
                <w:rFonts w:hint="eastAsia" w:eastAsia="宋体"/>
                <w:color w:val="auto"/>
                <w:sz w:val="21"/>
                <w:szCs w:val="21"/>
                <w:lang w:eastAsia="zh-CN"/>
              </w:rPr>
            </w:pPr>
            <w:r>
              <w:rPr>
                <w:rFonts w:hint="eastAsia" w:ascii="宋体" w:hAnsi="宋体" w:cs="宋体"/>
                <w:color w:val="auto"/>
                <w:sz w:val="21"/>
                <w:szCs w:val="21"/>
              </w:rPr>
              <w:t>②</w:t>
            </w:r>
            <w:r>
              <w:rPr>
                <w:rFonts w:hint="eastAsia"/>
                <w:color w:val="auto"/>
                <w:sz w:val="21"/>
                <w:szCs w:val="21"/>
              </w:rPr>
              <w:t>废弃的细胞毒性药物和遗传毒性药物</w:t>
            </w:r>
            <w:r>
              <w:rPr>
                <w:rFonts w:hint="eastAsia" w:cs="宋体"/>
                <w:color w:val="auto"/>
                <w:sz w:val="21"/>
                <w:szCs w:val="21"/>
                <w:lang w:eastAsia="zh-CN"/>
              </w:rPr>
              <w:t>；</w:t>
            </w:r>
          </w:p>
          <w:p>
            <w:pPr>
              <w:adjustRightInd w:val="0"/>
              <w:snapToGrid w:val="0"/>
              <w:spacing w:line="240" w:lineRule="auto"/>
              <w:ind w:firstLine="0" w:firstLineChars="0"/>
              <w:rPr>
                <w:rFonts w:hint="eastAsia"/>
                <w:color w:val="auto"/>
                <w:sz w:val="21"/>
                <w:szCs w:val="21"/>
              </w:rPr>
            </w:pPr>
            <w:r>
              <w:rPr>
                <w:rFonts w:hint="eastAsia" w:ascii="宋体" w:hAnsi="宋体" w:cs="宋体"/>
                <w:color w:val="auto"/>
                <w:sz w:val="21"/>
                <w:szCs w:val="21"/>
              </w:rPr>
              <w:t>③</w:t>
            </w:r>
            <w:r>
              <w:rPr>
                <w:rFonts w:hint="eastAsia"/>
                <w:color w:val="auto"/>
                <w:sz w:val="21"/>
                <w:szCs w:val="21"/>
              </w:rPr>
              <w:t>废弃的疫苗及血液制品。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5</w:t>
            </w:r>
          </w:p>
        </w:tc>
        <w:tc>
          <w:tcPr>
            <w:tcW w:w="1526"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化学性废物</w:t>
            </w:r>
          </w:p>
        </w:tc>
        <w:tc>
          <w:tcPr>
            <w:tcW w:w="6327" w:type="dxa"/>
            <w:noWrap w:val="0"/>
            <w:vAlign w:val="center"/>
          </w:tcPr>
          <w:p>
            <w:pPr>
              <w:numPr>
                <w:ilvl w:val="0"/>
                <w:numId w:val="0"/>
              </w:numPr>
              <w:adjustRightInd w:val="0"/>
              <w:snapToGrid w:val="0"/>
              <w:spacing w:line="240" w:lineRule="auto"/>
              <w:ind w:leftChars="0"/>
              <w:rPr>
                <w:rFonts w:hint="eastAsia"/>
                <w:color w:val="auto"/>
                <w:sz w:val="21"/>
                <w:szCs w:val="21"/>
              </w:rPr>
            </w:pPr>
            <w:r>
              <w:rPr>
                <w:rFonts w:hint="eastAsia"/>
                <w:color w:val="auto"/>
                <w:sz w:val="21"/>
                <w:szCs w:val="21"/>
                <w:lang w:eastAsia="zh-CN"/>
              </w:rPr>
              <w:t>列入《国家危险废物名录》中的废弃危险化学品，如甲醛、二甲苯等</w:t>
            </w:r>
            <w:r>
              <w:rPr>
                <w:rFonts w:hint="eastAsia" w:cs="宋体"/>
                <w:color w:val="auto"/>
                <w:sz w:val="21"/>
                <w:szCs w:val="21"/>
                <w:lang w:eastAsia="zh-CN"/>
              </w:rPr>
              <w:t>；</w:t>
            </w:r>
            <w:r>
              <w:rPr>
                <w:rFonts w:hint="eastAsia"/>
                <w:color w:val="auto"/>
                <w:sz w:val="21"/>
                <w:szCs w:val="21"/>
                <w:lang w:eastAsia="zh-CN"/>
              </w:rPr>
              <w:t>非特定行业来源的危险废物，如含汞血压计、含汞体温计，废弃的牙科汞合金材料及其残余物等。</w:t>
            </w:r>
          </w:p>
        </w:tc>
      </w:tr>
    </w:tbl>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ascii="宋体" w:hAnsi="宋体"/>
          <w:color w:val="auto"/>
        </w:rPr>
      </w:pPr>
      <w:r>
        <w:rPr>
          <w:rFonts w:hAnsi="宋体"/>
          <w:b/>
          <w:color w:val="auto"/>
          <w:sz w:val="21"/>
          <w:szCs w:val="21"/>
        </w:rPr>
        <w:t>表</w:t>
      </w:r>
      <w:r>
        <w:rPr>
          <w:rFonts w:hint="eastAsia" w:hAnsi="宋体"/>
          <w:b/>
          <w:color w:val="auto"/>
          <w:sz w:val="21"/>
          <w:szCs w:val="21"/>
          <w:lang w:val="en-US" w:eastAsia="zh-CN"/>
        </w:rPr>
        <w:t>4</w:t>
      </w:r>
      <w:r>
        <w:rPr>
          <w:rFonts w:hAnsi="宋体"/>
          <w:b/>
          <w:color w:val="auto"/>
          <w:sz w:val="21"/>
          <w:szCs w:val="21"/>
        </w:rPr>
        <w:t>.</w:t>
      </w:r>
      <w:r>
        <w:rPr>
          <w:rFonts w:hint="eastAsia" w:hAnsi="宋体"/>
          <w:b/>
          <w:color w:val="auto"/>
          <w:sz w:val="21"/>
          <w:szCs w:val="21"/>
        </w:rPr>
        <w:t>2-</w:t>
      </w:r>
      <w:r>
        <w:rPr>
          <w:rFonts w:hint="eastAsia" w:hAnsi="宋体"/>
          <w:b/>
          <w:color w:val="auto"/>
          <w:sz w:val="21"/>
          <w:szCs w:val="21"/>
          <w:lang w:val="en-US" w:eastAsia="zh-CN"/>
        </w:rPr>
        <w:t>24</w:t>
      </w:r>
      <w:r>
        <w:rPr>
          <w:rFonts w:hAnsi="宋体"/>
          <w:b/>
          <w:color w:val="auto"/>
          <w:sz w:val="21"/>
          <w:szCs w:val="21"/>
        </w:rPr>
        <w:t xml:space="preserve">  </w:t>
      </w:r>
      <w:r>
        <w:rPr>
          <w:rFonts w:hint="eastAsia" w:hAnsi="宋体"/>
          <w:b/>
          <w:color w:val="auto"/>
          <w:sz w:val="21"/>
          <w:szCs w:val="21"/>
        </w:rPr>
        <w:t>项目</w:t>
      </w:r>
      <w:r>
        <w:rPr>
          <w:rFonts w:hint="eastAsia" w:hAnsi="宋体"/>
          <w:b/>
          <w:color w:val="auto"/>
          <w:sz w:val="21"/>
          <w:szCs w:val="21"/>
          <w:lang w:eastAsia="zh-CN"/>
        </w:rPr>
        <w:t>医疗</w:t>
      </w:r>
      <w:r>
        <w:rPr>
          <w:rFonts w:hAnsi="宋体"/>
          <w:b/>
          <w:color w:val="auto"/>
          <w:sz w:val="21"/>
          <w:szCs w:val="21"/>
        </w:rPr>
        <w:t>固体废物产生情况表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701"/>
        <w:gridCol w:w="1603"/>
        <w:gridCol w:w="1421"/>
        <w:gridCol w:w="1422"/>
        <w:gridCol w:w="14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noWrap w:val="0"/>
            <w:vAlign w:val="center"/>
          </w:tcPr>
          <w:p>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种类</w:t>
            </w: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类别</w:t>
            </w:r>
          </w:p>
        </w:tc>
        <w:tc>
          <w:tcPr>
            <w:tcW w:w="1603"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单位数量</w:t>
            </w:r>
          </w:p>
        </w:tc>
        <w:tc>
          <w:tcPr>
            <w:tcW w:w="1421" w:type="dxa"/>
            <w:noWrap w:val="0"/>
            <w:vAlign w:val="center"/>
          </w:tcPr>
          <w:p>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eastAsia="zh-CN"/>
              </w:rPr>
              <w:t>床位数（张）</w:t>
            </w:r>
          </w:p>
        </w:tc>
        <w:tc>
          <w:tcPr>
            <w:tcW w:w="1422"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产生量（t/a）</w:t>
            </w:r>
          </w:p>
        </w:tc>
        <w:tc>
          <w:tcPr>
            <w:tcW w:w="1422"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noWrap w:val="0"/>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医疗废物</w:t>
            </w: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感染性废物</w:t>
            </w:r>
          </w:p>
        </w:tc>
        <w:tc>
          <w:tcPr>
            <w:tcW w:w="16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rPr>
            </w:pPr>
            <w:r>
              <w:rPr>
                <w:color w:val="auto"/>
                <w:sz w:val="21"/>
                <w:szCs w:val="21"/>
              </w:rPr>
              <w:t>0.32kg/</w:t>
            </w:r>
            <w:r>
              <w:rPr>
                <w:rFonts w:hAnsi="宋体"/>
                <w:color w:val="auto"/>
                <w:sz w:val="21"/>
                <w:szCs w:val="21"/>
              </w:rPr>
              <w:t>（床</w:t>
            </w:r>
            <w:r>
              <w:rPr>
                <w:color w:val="auto"/>
                <w:sz w:val="21"/>
                <w:szCs w:val="21"/>
              </w:rPr>
              <w:t>·d</w:t>
            </w:r>
            <w:r>
              <w:rPr>
                <w:rFonts w:hAnsi="宋体"/>
                <w:color w:val="auto"/>
                <w:sz w:val="21"/>
                <w:szCs w:val="21"/>
              </w:rPr>
              <w:t>）</w:t>
            </w:r>
          </w:p>
        </w:tc>
        <w:tc>
          <w:tcPr>
            <w:tcW w:w="1421" w:type="dxa"/>
            <w:vMerge w:val="restart"/>
            <w:noWrap w:val="0"/>
            <w:vAlign w:val="center"/>
          </w:tcPr>
          <w:p>
            <w:pPr>
              <w:adjustRightInd w:val="0"/>
              <w:snapToGrid w:val="0"/>
              <w:spacing w:line="240" w:lineRule="auto"/>
              <w:ind w:firstLine="0" w:firstLineChars="0"/>
              <w:jc w:val="center"/>
              <w:rPr>
                <w:rFonts w:hint="default"/>
                <w:color w:val="auto"/>
                <w:sz w:val="21"/>
                <w:szCs w:val="21"/>
                <w:highlight w:val="none"/>
                <w:lang w:val="en-US"/>
              </w:rPr>
            </w:pPr>
            <w:r>
              <w:rPr>
                <w:rFonts w:hint="eastAsia"/>
                <w:color w:val="auto"/>
                <w:sz w:val="21"/>
                <w:szCs w:val="21"/>
                <w:highlight w:val="none"/>
                <w:lang w:val="en-US" w:eastAsia="zh-CN"/>
              </w:rPr>
              <w:t>1500</w:t>
            </w: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175.2</w:t>
            </w:r>
            <w:r>
              <w:rPr>
                <w:rFonts w:hint="eastAsia" w:ascii="Times New Roman" w:hAnsi="Times New Roman" w:eastAsia="宋体" w:cs="Times New Roman"/>
                <w:color w:val="auto"/>
                <w:sz w:val="21"/>
                <w:szCs w:val="21"/>
                <w:lang w:val="en-US" w:eastAsia="zh-CN"/>
              </w:rPr>
              <w:t xml:space="preserve"> </w:t>
            </w:r>
          </w:p>
        </w:tc>
        <w:tc>
          <w:tcPr>
            <w:tcW w:w="1422" w:type="dxa"/>
            <w:vMerge w:val="restart"/>
            <w:noWrap w:val="0"/>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暂存于危废暂存间，后委托有资质的单位进行处理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病理性废物</w:t>
            </w:r>
          </w:p>
        </w:tc>
        <w:tc>
          <w:tcPr>
            <w:tcW w:w="16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rPr>
            </w:pPr>
            <w:r>
              <w:rPr>
                <w:color w:val="auto"/>
                <w:sz w:val="21"/>
                <w:szCs w:val="21"/>
              </w:rPr>
              <w:t>0.38kg/</w:t>
            </w:r>
            <w:r>
              <w:rPr>
                <w:rFonts w:hAnsi="宋体"/>
                <w:color w:val="auto"/>
                <w:sz w:val="21"/>
                <w:szCs w:val="21"/>
              </w:rPr>
              <w:t>（床</w:t>
            </w:r>
            <w:r>
              <w:rPr>
                <w:color w:val="auto"/>
                <w:sz w:val="21"/>
                <w:szCs w:val="21"/>
              </w:rPr>
              <w:t>·d</w:t>
            </w:r>
            <w:r>
              <w:rPr>
                <w:rFonts w:hAnsi="宋体"/>
                <w:color w:val="auto"/>
                <w:sz w:val="21"/>
                <w:szCs w:val="21"/>
              </w:rPr>
              <w:t>）</w:t>
            </w:r>
          </w:p>
        </w:tc>
        <w:tc>
          <w:tcPr>
            <w:tcW w:w="1421" w:type="dxa"/>
            <w:vMerge w:val="continue"/>
            <w:noWrap w:val="0"/>
            <w:vAlign w:val="center"/>
          </w:tcPr>
          <w:p>
            <w:pPr>
              <w:adjustRightInd w:val="0"/>
              <w:snapToGrid w:val="0"/>
              <w:spacing w:line="240" w:lineRule="auto"/>
              <w:ind w:firstLine="0" w:firstLineChars="0"/>
              <w:jc w:val="center"/>
              <w:rPr>
                <w:rFonts w:hint="eastAsia"/>
                <w:color w:val="auto"/>
                <w:sz w:val="21"/>
                <w:szCs w:val="21"/>
                <w:highlight w:val="none"/>
              </w:rPr>
            </w:pP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208.05</w:t>
            </w:r>
          </w:p>
        </w:tc>
        <w:tc>
          <w:tcPr>
            <w:tcW w:w="1422"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损伤性废物</w:t>
            </w:r>
          </w:p>
        </w:tc>
        <w:tc>
          <w:tcPr>
            <w:tcW w:w="16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rPr>
            </w:pPr>
            <w:r>
              <w:rPr>
                <w:color w:val="auto"/>
                <w:sz w:val="21"/>
                <w:szCs w:val="21"/>
              </w:rPr>
              <w:t>0.21kg/</w:t>
            </w:r>
            <w:r>
              <w:rPr>
                <w:rFonts w:hAnsi="宋体"/>
                <w:color w:val="auto"/>
                <w:sz w:val="21"/>
                <w:szCs w:val="21"/>
              </w:rPr>
              <w:t>（床</w:t>
            </w:r>
            <w:r>
              <w:rPr>
                <w:color w:val="auto"/>
                <w:sz w:val="21"/>
                <w:szCs w:val="21"/>
              </w:rPr>
              <w:t>·d</w:t>
            </w:r>
            <w:r>
              <w:rPr>
                <w:rFonts w:hAnsi="宋体"/>
                <w:color w:val="auto"/>
                <w:sz w:val="21"/>
                <w:szCs w:val="21"/>
              </w:rPr>
              <w:t>）</w:t>
            </w:r>
          </w:p>
        </w:tc>
        <w:tc>
          <w:tcPr>
            <w:tcW w:w="1421"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114.975</w:t>
            </w:r>
          </w:p>
        </w:tc>
        <w:tc>
          <w:tcPr>
            <w:tcW w:w="1422"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药物性废物</w:t>
            </w:r>
          </w:p>
        </w:tc>
        <w:tc>
          <w:tcPr>
            <w:tcW w:w="16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rPr>
            </w:pPr>
            <w:r>
              <w:rPr>
                <w:color w:val="auto"/>
                <w:sz w:val="21"/>
                <w:szCs w:val="21"/>
              </w:rPr>
              <w:t>0.08kg/</w:t>
            </w:r>
            <w:r>
              <w:rPr>
                <w:rFonts w:hAnsi="宋体"/>
                <w:color w:val="auto"/>
                <w:sz w:val="21"/>
                <w:szCs w:val="21"/>
              </w:rPr>
              <w:t>（床</w:t>
            </w:r>
            <w:r>
              <w:rPr>
                <w:color w:val="auto"/>
                <w:sz w:val="21"/>
                <w:szCs w:val="21"/>
              </w:rPr>
              <w:t>·d</w:t>
            </w:r>
            <w:r>
              <w:rPr>
                <w:rFonts w:hAnsi="宋体"/>
                <w:color w:val="auto"/>
                <w:sz w:val="21"/>
                <w:szCs w:val="21"/>
              </w:rPr>
              <w:t>）</w:t>
            </w:r>
          </w:p>
        </w:tc>
        <w:tc>
          <w:tcPr>
            <w:tcW w:w="1421"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43.8</w:t>
            </w:r>
          </w:p>
        </w:tc>
        <w:tc>
          <w:tcPr>
            <w:tcW w:w="1422"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701" w:type="dxa"/>
            <w:noWrap w:val="0"/>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化学性废物</w:t>
            </w:r>
          </w:p>
        </w:tc>
        <w:tc>
          <w:tcPr>
            <w:tcW w:w="16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rPr>
            </w:pPr>
            <w:r>
              <w:rPr>
                <w:color w:val="auto"/>
                <w:sz w:val="21"/>
                <w:szCs w:val="21"/>
              </w:rPr>
              <w:t>0.01kg/</w:t>
            </w:r>
            <w:r>
              <w:rPr>
                <w:rFonts w:hAnsi="宋体"/>
                <w:color w:val="auto"/>
                <w:sz w:val="21"/>
                <w:szCs w:val="21"/>
              </w:rPr>
              <w:t>（床</w:t>
            </w:r>
            <w:r>
              <w:rPr>
                <w:color w:val="auto"/>
                <w:sz w:val="21"/>
                <w:szCs w:val="21"/>
              </w:rPr>
              <w:t>·d</w:t>
            </w:r>
            <w:r>
              <w:rPr>
                <w:rFonts w:hAnsi="宋体"/>
                <w:color w:val="auto"/>
                <w:sz w:val="21"/>
                <w:szCs w:val="21"/>
              </w:rPr>
              <w:t>）</w:t>
            </w:r>
          </w:p>
        </w:tc>
        <w:tc>
          <w:tcPr>
            <w:tcW w:w="1421"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5.475</w:t>
            </w:r>
          </w:p>
        </w:tc>
        <w:tc>
          <w:tcPr>
            <w:tcW w:w="1422"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0" w:type="dxa"/>
            <w:gridSpan w:val="2"/>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合计</w:t>
            </w:r>
          </w:p>
        </w:tc>
        <w:tc>
          <w:tcPr>
            <w:tcW w:w="1603"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1.0kg/（</w:t>
            </w:r>
            <w:r>
              <w:rPr>
                <w:rFonts w:hAnsi="宋体"/>
                <w:color w:val="auto"/>
                <w:sz w:val="21"/>
                <w:szCs w:val="21"/>
              </w:rPr>
              <w:t>床</w:t>
            </w:r>
            <w:r>
              <w:rPr>
                <w:color w:val="auto"/>
                <w:sz w:val="21"/>
                <w:szCs w:val="21"/>
              </w:rPr>
              <w:t>·d</w:t>
            </w:r>
            <w:r>
              <w:rPr>
                <w:rFonts w:hint="eastAsia" w:ascii="Times New Roman" w:hAnsi="Times New Roman" w:eastAsia="宋体" w:cs="Times New Roman"/>
                <w:color w:val="auto"/>
                <w:sz w:val="21"/>
                <w:szCs w:val="21"/>
              </w:rPr>
              <w:t>）</w:t>
            </w:r>
          </w:p>
        </w:tc>
        <w:tc>
          <w:tcPr>
            <w:tcW w:w="1421" w:type="dxa"/>
            <w:noWrap w:val="0"/>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1500</w:t>
            </w:r>
          </w:p>
        </w:tc>
        <w:tc>
          <w:tcPr>
            <w:tcW w:w="14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547.5</w:t>
            </w:r>
          </w:p>
        </w:tc>
        <w:tc>
          <w:tcPr>
            <w:tcW w:w="1422" w:type="dxa"/>
            <w:vMerge w:val="continue"/>
            <w:noWrap w:val="0"/>
            <w:vAlign w:val="center"/>
          </w:tcPr>
          <w:p>
            <w:pPr>
              <w:adjustRightInd w:val="0"/>
              <w:snapToGrid w:val="0"/>
              <w:spacing w:line="240" w:lineRule="auto"/>
              <w:ind w:firstLine="0" w:firstLineChars="0"/>
              <w:jc w:val="center"/>
              <w:rPr>
                <w:rFonts w:hint="eastAsia"/>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Ansi="宋体"/>
          <w:b/>
          <w:color w:val="auto"/>
          <w:sz w:val="21"/>
          <w:szCs w:val="21"/>
          <w:highlight w:val="none"/>
        </w:rPr>
      </w:pPr>
      <w:r>
        <w:rPr>
          <w:rFonts w:hint="eastAsia"/>
          <w:color w:val="auto"/>
          <w:sz w:val="21"/>
          <w:szCs w:val="21"/>
          <w:highlight w:val="none"/>
          <w:lang w:eastAsia="zh-CN"/>
        </w:rPr>
        <w:t>注：</w:t>
      </w:r>
      <w:r>
        <w:rPr>
          <w:rFonts w:hint="eastAsia"/>
          <w:color w:val="auto"/>
          <w:sz w:val="21"/>
          <w:szCs w:val="21"/>
          <w:highlight w:val="none"/>
          <w:lang w:val="en-US" w:eastAsia="zh-CN"/>
        </w:rPr>
        <w:t>检测</w:t>
      </w:r>
      <w:r>
        <w:rPr>
          <w:rFonts w:hint="eastAsia"/>
          <w:color w:val="auto"/>
          <w:sz w:val="21"/>
          <w:szCs w:val="21"/>
          <w:highlight w:val="none"/>
          <w:lang w:eastAsia="zh-CN"/>
        </w:rPr>
        <w:t>过程使用到</w:t>
      </w:r>
      <w:r>
        <w:rPr>
          <w:rFonts w:hint="eastAsia"/>
          <w:color w:val="auto"/>
          <w:sz w:val="21"/>
          <w:szCs w:val="21"/>
          <w:highlight w:val="none"/>
        </w:rPr>
        <w:t>成品试剂盒，检验过程中产生</w:t>
      </w:r>
      <w:r>
        <w:rPr>
          <w:rFonts w:hint="eastAsia"/>
          <w:color w:val="auto"/>
          <w:sz w:val="21"/>
          <w:szCs w:val="21"/>
          <w:highlight w:val="none"/>
          <w:lang w:val="en-US" w:eastAsia="zh-CN"/>
        </w:rPr>
        <w:t>废化学试剂属于化学性废物</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lang w:val="en-US" w:eastAsia="zh-CN"/>
        </w:rPr>
      </w:pPr>
      <w:r>
        <w:rPr>
          <w:rFonts w:hint="eastAsia"/>
          <w:color w:val="auto"/>
          <w:lang w:val="en-US" w:eastAsia="zh-CN"/>
        </w:rPr>
        <w:t>一般固体废物：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color w:val="auto"/>
          <w:lang w:val="en-US" w:eastAsia="zh-CN"/>
        </w:rPr>
      </w:pPr>
      <w:r>
        <w:rPr>
          <w:rFonts w:hint="eastAsia"/>
          <w:color w:val="auto"/>
          <w:lang w:val="en-US" w:eastAsia="zh-CN"/>
        </w:rPr>
        <w:t>本项目产生的一般固体废物主要为未被污染的输液瓶（袋）和软水制备过程产生的废离子交换树脂。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1 \* GB3 \* MERGEFORMAT </w:instrText>
      </w:r>
      <w:r>
        <w:rPr>
          <w:rFonts w:hint="eastAsia"/>
          <w:color w:val="auto"/>
          <w:lang w:val="en-US" w:eastAsia="zh-CN"/>
        </w:rPr>
        <w:fldChar w:fldCharType="separate"/>
      </w:r>
      <w:r>
        <w:rPr>
          <w:color w:val="auto"/>
        </w:rPr>
        <w:t>①</w:t>
      </w:r>
      <w:r>
        <w:rPr>
          <w:rFonts w:hint="eastAsia"/>
          <w:color w:val="auto"/>
          <w:lang w:val="en-US" w:eastAsia="zh-CN"/>
        </w:rPr>
        <w:fldChar w:fldCharType="end"/>
      </w:r>
      <w:r>
        <w:rPr>
          <w:rFonts w:hint="eastAsia"/>
          <w:color w:val="auto"/>
          <w:lang w:val="en-US" w:eastAsia="zh-CN"/>
        </w:rPr>
        <w:t>未被污染的输液瓶（袋）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lang w:val="en-US" w:eastAsia="zh-CN"/>
        </w:rPr>
      </w:pPr>
      <w:r>
        <w:rPr>
          <w:rFonts w:hint="eastAsia"/>
          <w:color w:val="auto"/>
          <w:lang w:val="en-US" w:eastAsia="zh-CN"/>
        </w:rPr>
        <w:t>医院运营期会产生一定量的未被污染的输液瓶（袋）</w:t>
      </w:r>
      <w:r>
        <w:rPr>
          <w:rFonts w:hint="eastAsia"/>
          <w:color w:val="auto"/>
          <w:sz w:val="24"/>
          <w:lang w:val="en-US" w:eastAsia="zh-CN"/>
        </w:rPr>
        <w:t>，产生量约10t/a，属于一般固废，</w:t>
      </w:r>
      <w:r>
        <w:rPr>
          <w:rFonts w:hint="eastAsia"/>
          <w:color w:val="auto"/>
          <w:lang w:val="en-US" w:eastAsia="zh-CN"/>
        </w:rPr>
        <w:t>经统一收集后委托其其他单位</w:t>
      </w:r>
      <w:r>
        <w:rPr>
          <w:rFonts w:hint="eastAsia"/>
          <w:color w:val="auto"/>
          <w:sz w:val="24"/>
          <w:lang w:val="en-US" w:eastAsia="zh-CN"/>
        </w:rPr>
        <w:t>回收处理。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color w:val="auto"/>
          <w:sz w:val="24"/>
          <w:lang w:val="en-US" w:eastAsia="zh-CN"/>
        </w:rPr>
      </w:pPr>
      <w:r>
        <w:rPr>
          <w:rFonts w:hint="eastAsia"/>
          <w:color w:val="auto"/>
          <w:sz w:val="24"/>
          <w:lang w:val="en-US" w:eastAsia="zh-CN"/>
        </w:rPr>
        <w:fldChar w:fldCharType="begin"/>
      </w:r>
      <w:r>
        <w:rPr>
          <w:rFonts w:hint="eastAsia"/>
          <w:color w:val="auto"/>
          <w:sz w:val="24"/>
          <w:lang w:val="en-US" w:eastAsia="zh-CN"/>
        </w:rPr>
        <w:instrText xml:space="preserve"> = 2 \* GB3 \* MERGEFORMAT </w:instrText>
      </w:r>
      <w:r>
        <w:rPr>
          <w:rFonts w:hint="eastAsia"/>
          <w:color w:val="auto"/>
          <w:sz w:val="24"/>
          <w:lang w:val="en-US" w:eastAsia="zh-CN"/>
        </w:rPr>
        <w:fldChar w:fldCharType="separate"/>
      </w:r>
      <w:r>
        <w:rPr>
          <w:color w:val="auto"/>
        </w:rPr>
        <w:t>②</w:t>
      </w:r>
      <w:r>
        <w:rPr>
          <w:rFonts w:hint="eastAsia"/>
          <w:color w:val="auto"/>
          <w:sz w:val="24"/>
          <w:lang w:val="en-US" w:eastAsia="zh-CN"/>
        </w:rPr>
        <w:fldChar w:fldCharType="end"/>
      </w:r>
      <w:r>
        <w:rPr>
          <w:rFonts w:hint="eastAsia"/>
          <w:color w:val="auto"/>
          <w:sz w:val="24"/>
          <w:lang w:val="en-US" w:eastAsia="zh-CN"/>
        </w:rPr>
        <w:t>废离子交换树脂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color w:val="auto"/>
          <w:sz w:val="24"/>
          <w:lang w:val="en-US" w:eastAsia="zh-CN"/>
        </w:rPr>
      </w:pPr>
      <w:r>
        <w:rPr>
          <w:rFonts w:hint="eastAsia"/>
          <w:color w:val="auto"/>
          <w:sz w:val="24"/>
          <w:lang w:val="en-US" w:eastAsia="zh-CN"/>
        </w:rPr>
        <w:t>项目软水制备过程产生废离子交换树脂，产生量约2t/a，属于一般固废，每次更换后由设备厂商带走。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③</w:t>
      </w:r>
      <w:r>
        <w:rPr>
          <w:rFonts w:hint="eastAsia" w:ascii="Times New Roman" w:hAnsi="Times New Roman" w:eastAsia="宋体" w:cs="Times New Roman"/>
          <w:color w:val="auto"/>
          <w:sz w:val="24"/>
          <w:lang w:val="en-US" w:eastAsia="zh-CN"/>
        </w:rPr>
        <w:t>废空气过滤器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医院进出风口安装有初、中、高效过滤器，其中初效过滤器3个月更换一次、中效过滤器6个月更换一次、高效过滤器1年更换一次，预计产生废空气过滤器1.1t</w:t>
      </w:r>
      <w:r>
        <w:rPr>
          <w:rFonts w:hint="eastAsia"/>
          <w:color w:val="auto"/>
          <w:sz w:val="24"/>
          <w:lang w:val="en-US" w:eastAsia="zh-CN"/>
        </w:rPr>
        <w:t>/a，属于一般固废，每次更换后由设备厂商带走。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生活垃圾</w:t>
      </w:r>
      <w:r>
        <w:rPr>
          <w:rFonts w:hint="eastAsia"/>
          <w:color w:val="auto"/>
          <w:highlight w:val="none"/>
          <w:lang w:eastAsia="zh-CN"/>
        </w:rPr>
        <w:t>：</w:t>
      </w:r>
      <w:r>
        <w:rPr>
          <w:rFonts w:hint="eastAsia" w:hAnsi="宋体"/>
          <w:color w:val="auto"/>
          <w:highlight w:val="none"/>
          <w:lang w:eastAsia="zh-CN"/>
        </w:rPr>
        <w:t>住院</w:t>
      </w:r>
      <w:r>
        <w:rPr>
          <w:rFonts w:hint="eastAsia" w:hAnsi="宋体"/>
          <w:color w:val="auto"/>
          <w:highlight w:val="none"/>
        </w:rPr>
        <w:t>病人</w:t>
      </w:r>
      <w:r>
        <w:rPr>
          <w:rFonts w:hAnsi="宋体"/>
          <w:color w:val="auto"/>
          <w:highlight w:val="none"/>
        </w:rPr>
        <w:t>每日生活垃圾平均为</w:t>
      </w:r>
      <w:r>
        <w:rPr>
          <w:color w:val="auto"/>
          <w:highlight w:val="none"/>
        </w:rPr>
        <w:t>1.0kg</w:t>
      </w:r>
      <w:r>
        <w:rPr>
          <w:rFonts w:hint="eastAsia"/>
          <w:color w:val="auto"/>
          <w:highlight w:val="none"/>
          <w:lang w:val="en-US" w:eastAsia="zh-CN"/>
        </w:rPr>
        <w:t>/</w:t>
      </w:r>
      <w:r>
        <w:rPr>
          <w:rFonts w:hAnsi="宋体"/>
          <w:color w:val="auto"/>
          <w:highlight w:val="none"/>
        </w:rPr>
        <w:t>床，本项目</w:t>
      </w:r>
      <w:r>
        <w:rPr>
          <w:rFonts w:hint="eastAsia" w:hAnsi="宋体"/>
          <w:color w:val="auto"/>
          <w:highlight w:val="none"/>
          <w:lang w:eastAsia="zh-CN"/>
        </w:rPr>
        <w:t>新增</w:t>
      </w:r>
      <w:r>
        <w:rPr>
          <w:rFonts w:hAnsi="宋体"/>
          <w:color w:val="auto"/>
          <w:highlight w:val="none"/>
        </w:rPr>
        <w:t>住院人数以</w:t>
      </w:r>
      <w:r>
        <w:rPr>
          <w:rFonts w:hint="eastAsia"/>
          <w:color w:val="auto"/>
          <w:highlight w:val="none"/>
          <w:lang w:val="en-US" w:eastAsia="zh-CN"/>
        </w:rPr>
        <w:t>1500</w:t>
      </w:r>
      <w:r>
        <w:rPr>
          <w:rFonts w:hAnsi="宋体"/>
          <w:color w:val="auto"/>
          <w:highlight w:val="none"/>
        </w:rPr>
        <w:t>人计，产生生活垃圾</w:t>
      </w:r>
      <w:r>
        <w:rPr>
          <w:rFonts w:hint="eastAsia"/>
          <w:color w:val="auto"/>
          <w:highlight w:val="none"/>
          <w:lang w:val="en-US" w:eastAsia="zh-CN"/>
        </w:rPr>
        <w:t>1.5</w:t>
      </w:r>
      <w:r>
        <w:rPr>
          <w:rFonts w:hint="eastAsia"/>
          <w:color w:val="auto"/>
          <w:highlight w:val="none"/>
        </w:rPr>
        <w:t>t</w:t>
      </w:r>
      <w:r>
        <w:rPr>
          <w:color w:val="auto"/>
          <w:highlight w:val="none"/>
        </w:rPr>
        <w:t>/d</w:t>
      </w:r>
      <w:r>
        <w:rPr>
          <w:rFonts w:hint="eastAsia" w:hAnsi="宋体" w:cs="宋体"/>
          <w:color w:val="auto"/>
          <w:highlight w:val="none"/>
          <w:lang w:eastAsia="zh-CN"/>
        </w:rPr>
        <w:t>；</w:t>
      </w:r>
      <w:r>
        <w:rPr>
          <w:rFonts w:hAnsi="宋体"/>
          <w:color w:val="auto"/>
          <w:highlight w:val="none"/>
        </w:rPr>
        <w:t>门急诊垃圾按每日每人次产生</w:t>
      </w:r>
      <w:r>
        <w:rPr>
          <w:color w:val="auto"/>
          <w:highlight w:val="none"/>
        </w:rPr>
        <w:t>0.1kg</w:t>
      </w:r>
      <w:r>
        <w:rPr>
          <w:rFonts w:hAnsi="宋体"/>
          <w:color w:val="auto"/>
          <w:highlight w:val="none"/>
        </w:rPr>
        <w:t>计，以每天门诊人数</w:t>
      </w:r>
      <w:r>
        <w:rPr>
          <w:rFonts w:hint="eastAsia"/>
          <w:color w:val="auto"/>
          <w:highlight w:val="none"/>
          <w:lang w:val="en-US" w:eastAsia="zh-CN"/>
        </w:rPr>
        <w:t>4700</w:t>
      </w:r>
      <w:r>
        <w:rPr>
          <w:rFonts w:hAnsi="宋体"/>
          <w:color w:val="auto"/>
          <w:highlight w:val="none"/>
        </w:rPr>
        <w:t>人计，则产生生活垃圾为</w:t>
      </w:r>
      <w:r>
        <w:rPr>
          <w:rFonts w:hint="eastAsia"/>
          <w:color w:val="auto"/>
          <w:highlight w:val="none"/>
          <w:lang w:val="en-US" w:eastAsia="zh-CN"/>
        </w:rPr>
        <w:t>0.47</w:t>
      </w:r>
      <w:r>
        <w:rPr>
          <w:rFonts w:hint="eastAsia"/>
          <w:color w:val="auto"/>
          <w:highlight w:val="none"/>
        </w:rPr>
        <w:t>t</w:t>
      </w:r>
      <w:r>
        <w:rPr>
          <w:color w:val="auto"/>
          <w:highlight w:val="none"/>
        </w:rPr>
        <w:t>/d</w:t>
      </w:r>
      <w:r>
        <w:rPr>
          <w:rFonts w:hAnsi="宋体"/>
          <w:color w:val="auto"/>
          <w:highlight w:val="none"/>
        </w:rPr>
        <w:t>，</w:t>
      </w:r>
      <w:r>
        <w:rPr>
          <w:rFonts w:hint="eastAsia" w:hAnsi="宋体"/>
          <w:color w:val="auto"/>
          <w:highlight w:val="none"/>
          <w:lang w:eastAsia="zh-CN"/>
        </w:rPr>
        <w:t>新增</w:t>
      </w:r>
      <w:r>
        <w:rPr>
          <w:rFonts w:hAnsi="宋体"/>
          <w:color w:val="auto"/>
          <w:highlight w:val="none"/>
        </w:rPr>
        <w:t>医院职工</w:t>
      </w:r>
      <w:r>
        <w:rPr>
          <w:rFonts w:hint="eastAsia" w:hAnsi="宋体"/>
          <w:color w:val="auto"/>
          <w:highlight w:val="none"/>
          <w:lang w:val="en-US" w:eastAsia="zh-CN"/>
        </w:rPr>
        <w:t>3440人，</w:t>
      </w:r>
      <w:r>
        <w:rPr>
          <w:rFonts w:hAnsi="宋体"/>
          <w:color w:val="auto"/>
          <w:highlight w:val="none"/>
        </w:rPr>
        <w:t>每人每日产生生活垃圾按</w:t>
      </w:r>
      <w:r>
        <w:rPr>
          <w:color w:val="auto"/>
          <w:highlight w:val="none"/>
        </w:rPr>
        <w:t>0.5kg</w:t>
      </w:r>
      <w:r>
        <w:rPr>
          <w:rFonts w:hAnsi="宋体"/>
          <w:color w:val="auto"/>
          <w:highlight w:val="none"/>
        </w:rPr>
        <w:t>计，则产生生活垃圾</w:t>
      </w:r>
      <w:r>
        <w:rPr>
          <w:rFonts w:hint="eastAsia" w:hAnsi="宋体"/>
          <w:color w:val="auto"/>
          <w:highlight w:val="none"/>
          <w:lang w:val="en-US" w:eastAsia="zh-CN"/>
        </w:rPr>
        <w:t>1.72</w:t>
      </w:r>
      <w:r>
        <w:rPr>
          <w:rFonts w:hint="eastAsia"/>
          <w:color w:val="auto"/>
          <w:highlight w:val="none"/>
        </w:rPr>
        <w:t>t</w:t>
      </w:r>
      <w:r>
        <w:rPr>
          <w:color w:val="auto"/>
          <w:highlight w:val="none"/>
        </w:rPr>
        <w:t>/d</w:t>
      </w:r>
      <w:r>
        <w:rPr>
          <w:rFonts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rPr>
        <w:t>）污泥</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color w:val="auto"/>
          <w:highlight w:val="none"/>
        </w:rPr>
      </w:pPr>
      <w:r>
        <w:rPr>
          <w:rFonts w:hint="eastAsia"/>
          <w:color w:val="auto"/>
          <w:highlight w:val="none"/>
        </w:rPr>
        <w:t>根据</w:t>
      </w:r>
      <w:r>
        <w:rPr>
          <w:rFonts w:hint="eastAsia"/>
          <w:color w:val="auto"/>
          <w:highlight w:val="none"/>
          <w:lang w:val="en-US" w:eastAsia="zh-CN"/>
        </w:rPr>
        <w:t>安徽医科大学第二附属医院，污水处理规模为2000t/d，实际产生污泥量为6t/a，本项目污水处理工艺与安徽医科大学第二附属医院的类似，因此通过类比，则</w:t>
      </w:r>
      <w:r>
        <w:rPr>
          <w:color w:val="auto"/>
          <w:highlight w:val="none"/>
        </w:rPr>
        <w:t>本项目运营后</w:t>
      </w:r>
      <w:r>
        <w:rPr>
          <w:rFonts w:hint="eastAsia"/>
          <w:color w:val="auto"/>
          <w:highlight w:val="none"/>
          <w:lang w:val="en-US" w:eastAsia="zh-CN"/>
        </w:rPr>
        <w:t>污泥产生量约为6t/a</w:t>
      </w:r>
      <w:r>
        <w:rPr>
          <w:rFonts w:hint="eastAsia"/>
          <w:color w:val="auto"/>
          <w:highlight w:val="none"/>
          <w:lang w:eastAsia="zh-CN"/>
        </w:rPr>
        <w:t>（污泥含水率</w:t>
      </w:r>
      <w:r>
        <w:rPr>
          <w:rFonts w:hint="eastAsia"/>
          <w:color w:val="auto"/>
          <w:highlight w:val="none"/>
          <w:lang w:val="en-US" w:eastAsia="zh-CN"/>
        </w:rPr>
        <w:t>60%</w:t>
      </w:r>
      <w:r>
        <w:rPr>
          <w:rFonts w:hint="eastAsia"/>
          <w:color w:val="auto"/>
          <w:highlight w:val="none"/>
          <w:lang w:eastAsia="zh-CN"/>
        </w:rPr>
        <w:t>），</w:t>
      </w:r>
      <w:r>
        <w:rPr>
          <w:rFonts w:hint="eastAsia" w:cs="Times New Roman"/>
          <w:color w:val="auto"/>
          <w:sz w:val="24"/>
          <w:lang w:eastAsia="zh-CN"/>
        </w:rPr>
        <w:t>属于危险废物，</w:t>
      </w:r>
      <w:r>
        <w:rPr>
          <w:rFonts w:hint="eastAsia" w:cs="Times New Roman"/>
          <w:color w:val="auto"/>
          <w:sz w:val="24"/>
          <w:lang w:val="en-US" w:eastAsia="zh-CN"/>
        </w:rPr>
        <w:t>集中收集后定期委托资质单位处理。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bCs/>
          <w:color w:val="auto"/>
        </w:rPr>
      </w:pPr>
      <w:r>
        <w:rPr>
          <w:rFonts w:hint="eastAsia"/>
          <w:bCs/>
          <w:color w:val="auto"/>
        </w:rPr>
        <w:t>项目固废具体产生情况如下：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2" w:firstLineChars="200"/>
        <w:jc w:val="center"/>
        <w:textAlignment w:val="auto"/>
        <w:outlineLvl w:val="9"/>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Ansi="宋体"/>
          <w:b/>
          <w:color w:val="auto"/>
          <w:sz w:val="21"/>
          <w:szCs w:val="21"/>
        </w:rPr>
        <w:t>.</w:t>
      </w:r>
      <w:r>
        <w:rPr>
          <w:rFonts w:hint="eastAsia" w:hAnsi="宋体"/>
          <w:b/>
          <w:color w:val="auto"/>
          <w:sz w:val="21"/>
          <w:szCs w:val="21"/>
        </w:rPr>
        <w:t>2-</w:t>
      </w:r>
      <w:r>
        <w:rPr>
          <w:rFonts w:hint="eastAsia" w:hAnsi="宋体"/>
          <w:b/>
          <w:color w:val="auto"/>
          <w:sz w:val="21"/>
          <w:szCs w:val="21"/>
          <w:lang w:val="en-US" w:eastAsia="zh-CN"/>
        </w:rPr>
        <w:t>25</w:t>
      </w:r>
      <w:r>
        <w:rPr>
          <w:rFonts w:hAnsi="宋体"/>
          <w:b/>
          <w:color w:val="auto"/>
          <w:sz w:val="21"/>
          <w:szCs w:val="21"/>
        </w:rPr>
        <w:t xml:space="preserve">  </w:t>
      </w:r>
      <w:r>
        <w:rPr>
          <w:rFonts w:hint="eastAsia" w:hAnsi="宋体"/>
          <w:b/>
          <w:color w:val="auto"/>
          <w:sz w:val="21"/>
          <w:szCs w:val="21"/>
        </w:rPr>
        <w:t>项目</w:t>
      </w:r>
      <w:r>
        <w:rPr>
          <w:rFonts w:hAnsi="宋体"/>
          <w:b/>
          <w:color w:val="auto"/>
          <w:sz w:val="21"/>
          <w:szCs w:val="21"/>
        </w:rPr>
        <w:t>固体废物产生情况表</w:t>
      </w:r>
    </w:p>
    <w:tbl>
      <w:tblPr>
        <w:tblStyle w:val="48"/>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6"/>
        <w:gridCol w:w="2656"/>
        <w:gridCol w:w="1985"/>
        <w:gridCol w:w="861"/>
        <w:gridCol w:w="21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序号</w:t>
            </w:r>
          </w:p>
        </w:tc>
        <w:tc>
          <w:tcPr>
            <w:tcW w:w="1592"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污染物名称</w:t>
            </w:r>
          </w:p>
        </w:tc>
        <w:tc>
          <w:tcPr>
            <w:tcW w:w="1190"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产生工序</w:t>
            </w:r>
          </w:p>
        </w:tc>
        <w:tc>
          <w:tcPr>
            <w:tcW w:w="516"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形态</w:t>
            </w:r>
          </w:p>
        </w:tc>
        <w:tc>
          <w:tcPr>
            <w:tcW w:w="1301"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1</w:t>
            </w:r>
          </w:p>
        </w:tc>
        <w:tc>
          <w:tcPr>
            <w:tcW w:w="1592"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生活垃圾</w:t>
            </w:r>
          </w:p>
        </w:tc>
        <w:tc>
          <w:tcPr>
            <w:tcW w:w="1190"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员工生活</w:t>
            </w:r>
          </w:p>
        </w:tc>
        <w:tc>
          <w:tcPr>
            <w:tcW w:w="516"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color w:val="auto"/>
                <w:highlight w:val="none"/>
                <w:lang w:val="en-US" w:eastAsia="zh-CN"/>
              </w:rPr>
              <w:t>1346.85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2</w:t>
            </w:r>
          </w:p>
        </w:tc>
        <w:tc>
          <w:tcPr>
            <w:tcW w:w="1592"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医疗废物</w:t>
            </w:r>
          </w:p>
        </w:tc>
        <w:tc>
          <w:tcPr>
            <w:tcW w:w="1190"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日常营运过程</w:t>
            </w:r>
          </w:p>
        </w:tc>
        <w:tc>
          <w:tcPr>
            <w:tcW w:w="516"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color w:val="auto"/>
                <w:sz w:val="21"/>
                <w:szCs w:val="21"/>
                <w:lang w:val="en-US" w:eastAsia="zh-CN"/>
              </w:rPr>
              <w:t>547.5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3</w:t>
            </w:r>
          </w:p>
        </w:tc>
        <w:tc>
          <w:tcPr>
            <w:tcW w:w="1592" w:type="pct"/>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污泥</w:t>
            </w:r>
          </w:p>
        </w:tc>
        <w:tc>
          <w:tcPr>
            <w:tcW w:w="1190" w:type="pct"/>
            <w:noWrap w:val="0"/>
            <w:vAlign w:val="center"/>
          </w:tcPr>
          <w:p>
            <w:pPr>
              <w:pStyle w:val="89"/>
              <w:adjustRightInd/>
              <w:snapToGrid/>
              <w:spacing w:line="240" w:lineRule="auto"/>
              <w:ind w:left="-120" w:leftChars="-50" w:right="-120" w:rightChars="-50"/>
              <w:rPr>
                <w:rFonts w:hint="default" w:eastAsia="宋体"/>
                <w:color w:val="auto"/>
                <w:highlight w:val="none"/>
                <w:lang w:val="en-US" w:eastAsia="zh-CN"/>
              </w:rPr>
            </w:pPr>
            <w:r>
              <w:rPr>
                <w:rFonts w:hint="eastAsia" w:eastAsia="宋体"/>
                <w:color w:val="auto"/>
                <w:highlight w:val="none"/>
              </w:rPr>
              <w:t>污水处理站</w:t>
            </w:r>
            <w:r>
              <w:rPr>
                <w:rFonts w:hint="eastAsia" w:eastAsia="宋体"/>
                <w:color w:val="auto"/>
                <w:highlight w:val="none"/>
                <w:lang w:eastAsia="zh-CN"/>
              </w:rPr>
              <w:t>、</w:t>
            </w:r>
            <w:r>
              <w:rPr>
                <w:rFonts w:hint="eastAsia" w:eastAsia="宋体"/>
                <w:color w:val="auto"/>
                <w:highlight w:val="none"/>
                <w:lang w:val="en-US" w:eastAsia="zh-CN"/>
              </w:rPr>
              <w:t>化粪池</w:t>
            </w:r>
          </w:p>
        </w:tc>
        <w:tc>
          <w:tcPr>
            <w:tcW w:w="516" w:type="pct"/>
            <w:noWrap w:val="0"/>
            <w:vAlign w:val="center"/>
          </w:tcPr>
          <w:p>
            <w:pPr>
              <w:pStyle w:val="89"/>
              <w:adjustRightInd/>
              <w:snapToGrid/>
              <w:spacing w:line="240" w:lineRule="auto"/>
              <w:ind w:left="-120" w:leftChars="-50" w:right="-120" w:rightChars="-50"/>
              <w:rPr>
                <w:rFonts w:eastAsia="宋体"/>
                <w:color w:val="auto"/>
                <w:highlight w:val="none"/>
              </w:rPr>
            </w:pPr>
            <w:r>
              <w:rPr>
                <w:rFonts w:hint="eastAsia" w:eastAsia="宋体"/>
                <w:color w:val="auto"/>
                <w:highlight w:val="none"/>
              </w:rPr>
              <w:t>半固态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highlight w:val="none"/>
                <w:lang w:val="en-US" w:eastAsia="zh-CN"/>
              </w:rPr>
            </w:pPr>
            <w:r>
              <w:rPr>
                <w:rFonts w:hint="eastAsia" w:eastAsia="宋体"/>
                <w:color w:val="auto"/>
                <w:highlight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4</w:t>
            </w:r>
          </w:p>
        </w:tc>
        <w:tc>
          <w:tcPr>
            <w:tcW w:w="1592"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未被污染的输液瓶（袋）</w:t>
            </w:r>
          </w:p>
        </w:tc>
        <w:tc>
          <w:tcPr>
            <w:tcW w:w="1190" w:type="pct"/>
            <w:noWrap w:val="0"/>
            <w:vAlign w:val="center"/>
          </w:tcPr>
          <w:p>
            <w:pPr>
              <w:pStyle w:val="89"/>
              <w:adjustRightInd/>
              <w:snapToGrid/>
              <w:spacing w:line="240" w:lineRule="auto"/>
              <w:ind w:left="-120" w:leftChars="-50" w:right="-120" w:rightChars="-50" w:firstLine="0" w:firstLineChars="0"/>
              <w:rPr>
                <w:rFonts w:hint="eastAsia" w:eastAsia="宋体"/>
                <w:color w:val="auto"/>
                <w:kern w:val="2"/>
                <w:sz w:val="21"/>
                <w:szCs w:val="20"/>
                <w:lang w:val="en-US" w:eastAsia="zh-CN" w:bidi="ar-SA"/>
              </w:rPr>
            </w:pPr>
            <w:r>
              <w:rPr>
                <w:rFonts w:hint="eastAsia" w:eastAsia="宋体"/>
                <w:color w:val="auto"/>
              </w:rPr>
              <w:t>日常营运过程</w:t>
            </w:r>
          </w:p>
        </w:tc>
        <w:tc>
          <w:tcPr>
            <w:tcW w:w="516" w:type="pct"/>
            <w:noWrap w:val="0"/>
            <w:vAlign w:val="center"/>
          </w:tcPr>
          <w:p>
            <w:pPr>
              <w:pStyle w:val="89"/>
              <w:adjustRightInd/>
              <w:snapToGrid/>
              <w:spacing w:line="240" w:lineRule="auto"/>
              <w:ind w:left="-120" w:leftChars="-50" w:right="-120" w:rightChars="-50" w:firstLine="0" w:firstLineChars="0"/>
              <w:rPr>
                <w:rFonts w:hint="eastAsia" w:eastAsia="宋体"/>
                <w:color w:val="auto"/>
                <w:kern w:val="2"/>
                <w:sz w:val="21"/>
                <w:szCs w:val="20"/>
                <w:lang w:val="en-US" w:eastAsia="zh-CN" w:bidi="ar-SA"/>
              </w:rPr>
            </w:pPr>
            <w:r>
              <w:rPr>
                <w:rFonts w:hint="eastAsia" w:eastAsia="宋体"/>
                <w:color w:val="auto"/>
              </w:rPr>
              <w:t>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5</w:t>
            </w:r>
          </w:p>
        </w:tc>
        <w:tc>
          <w:tcPr>
            <w:tcW w:w="1592" w:type="pct"/>
            <w:noWrap w:val="0"/>
            <w:vAlign w:val="center"/>
          </w:tcPr>
          <w:p>
            <w:pPr>
              <w:pStyle w:val="89"/>
              <w:adjustRightInd/>
              <w:snapToGrid/>
              <w:spacing w:line="240" w:lineRule="auto"/>
              <w:ind w:left="-120" w:leftChars="-50" w:right="-120" w:rightChars="-50"/>
              <w:rPr>
                <w:rFonts w:hint="eastAsia" w:eastAsia="宋体"/>
                <w:color w:val="auto"/>
                <w:lang w:val="en-US" w:eastAsia="zh-CN"/>
              </w:rPr>
            </w:pPr>
            <w:r>
              <w:rPr>
                <w:rFonts w:hint="eastAsia" w:eastAsia="宋体"/>
                <w:color w:val="auto"/>
                <w:lang w:val="en-US" w:eastAsia="zh-CN"/>
              </w:rPr>
              <w:t>废离子交换树脂</w:t>
            </w:r>
          </w:p>
        </w:tc>
        <w:tc>
          <w:tcPr>
            <w:tcW w:w="1190" w:type="pct"/>
            <w:noWrap w:val="0"/>
            <w:vAlign w:val="center"/>
          </w:tcPr>
          <w:p>
            <w:pPr>
              <w:pStyle w:val="89"/>
              <w:adjustRightInd/>
              <w:snapToGrid/>
              <w:spacing w:line="240" w:lineRule="auto"/>
              <w:ind w:left="-120" w:leftChars="-50" w:right="-120" w:rightChars="-50" w:firstLine="0" w:firstLineChars="0"/>
              <w:rPr>
                <w:rFonts w:hint="eastAsia" w:eastAsia="宋体"/>
                <w:color w:val="auto"/>
                <w:lang w:eastAsia="zh-CN"/>
              </w:rPr>
            </w:pPr>
            <w:r>
              <w:rPr>
                <w:rFonts w:hint="eastAsia" w:eastAsia="宋体"/>
                <w:color w:val="auto"/>
                <w:lang w:eastAsia="zh-CN"/>
              </w:rPr>
              <w:t>软水制备</w:t>
            </w:r>
          </w:p>
        </w:tc>
        <w:tc>
          <w:tcPr>
            <w:tcW w:w="516"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6</w:t>
            </w:r>
          </w:p>
        </w:tc>
        <w:tc>
          <w:tcPr>
            <w:tcW w:w="1592" w:type="pct"/>
            <w:noWrap w:val="0"/>
            <w:vAlign w:val="center"/>
          </w:tcPr>
          <w:p>
            <w:pPr>
              <w:pStyle w:val="89"/>
              <w:adjustRightInd/>
              <w:snapToGrid/>
              <w:spacing w:line="240" w:lineRule="auto"/>
              <w:ind w:left="-120" w:leftChars="-50" w:right="-120" w:rightChars="-50"/>
              <w:rPr>
                <w:rFonts w:hint="eastAsia" w:eastAsia="宋体"/>
                <w:color w:val="auto"/>
                <w:lang w:val="en-US" w:eastAsia="zh-CN"/>
              </w:rPr>
            </w:pPr>
            <w:r>
              <w:rPr>
                <w:rFonts w:hint="eastAsia" w:eastAsia="宋体"/>
                <w:color w:val="auto"/>
                <w:lang w:val="en-US" w:eastAsia="zh-CN"/>
              </w:rPr>
              <w:t>废空气过滤器</w:t>
            </w:r>
          </w:p>
        </w:tc>
        <w:tc>
          <w:tcPr>
            <w:tcW w:w="1190" w:type="pct"/>
            <w:noWrap w:val="0"/>
            <w:vAlign w:val="center"/>
          </w:tcPr>
          <w:p>
            <w:pPr>
              <w:pStyle w:val="89"/>
              <w:adjustRightInd/>
              <w:snapToGrid/>
              <w:spacing w:line="240" w:lineRule="auto"/>
              <w:ind w:left="-120" w:leftChars="-50" w:right="-120" w:rightChars="-50" w:firstLine="0" w:firstLineChars="0"/>
              <w:rPr>
                <w:rFonts w:hint="eastAsia" w:eastAsia="宋体"/>
                <w:color w:val="auto"/>
                <w:lang w:eastAsia="zh-CN"/>
              </w:rPr>
            </w:pPr>
            <w:r>
              <w:rPr>
                <w:rFonts w:hint="eastAsia" w:eastAsia="宋体"/>
                <w:color w:val="auto"/>
                <w:lang w:eastAsia="zh-CN"/>
              </w:rPr>
              <w:t>新风系统</w:t>
            </w:r>
          </w:p>
        </w:tc>
        <w:tc>
          <w:tcPr>
            <w:tcW w:w="516"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固态</w:t>
            </w:r>
          </w:p>
        </w:tc>
        <w:tc>
          <w:tcPr>
            <w:tcW w:w="1301"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1.1</w:t>
            </w:r>
          </w:p>
        </w:tc>
      </w:tr>
    </w:tbl>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textAlignment w:val="auto"/>
        <w:outlineLvl w:val="9"/>
        <w:rPr>
          <w:rFonts w:hint="eastAsia" w:hAnsi="宋体"/>
          <w:color w:val="auto"/>
        </w:rPr>
      </w:pPr>
      <w:r>
        <w:rPr>
          <w:rFonts w:hAnsi="宋体"/>
          <w:bCs/>
          <w:color w:val="auto"/>
        </w:rPr>
        <w:t>根据</w:t>
      </w:r>
      <w:r>
        <w:rPr>
          <w:rFonts w:hAnsi="宋体"/>
          <w:color w:val="auto"/>
        </w:rPr>
        <w:t>《固体废物鉴别标准</w:t>
      </w:r>
      <w:r>
        <w:rPr>
          <w:rFonts w:hint="eastAsia" w:hAnsi="宋体"/>
          <w:color w:val="auto"/>
          <w:lang w:val="en-US" w:eastAsia="zh-CN"/>
        </w:rPr>
        <w:t xml:space="preserve"> </w:t>
      </w:r>
      <w:r>
        <w:rPr>
          <w:rFonts w:hAnsi="宋体"/>
          <w:color w:val="auto"/>
        </w:rPr>
        <w:t>通则》（</w:t>
      </w:r>
      <w:r>
        <w:rPr>
          <w:color w:val="auto"/>
        </w:rPr>
        <w:t>GB34330-2017</w:t>
      </w:r>
      <w:r>
        <w:rPr>
          <w:rFonts w:hAnsi="宋体"/>
          <w:color w:val="auto"/>
        </w:rPr>
        <w:t>）</w:t>
      </w:r>
      <w:r>
        <w:rPr>
          <w:rFonts w:hAnsi="宋体"/>
          <w:bCs/>
          <w:color w:val="auto"/>
        </w:rPr>
        <w:t>，判定上述污染物属性情况如下表</w:t>
      </w:r>
      <w:r>
        <w:rPr>
          <w:rFonts w:hint="eastAsia" w:hAnsi="宋体"/>
          <w:bCs/>
          <w:color w:val="auto"/>
        </w:rPr>
        <w:t>：</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22" w:firstLineChars="200"/>
        <w:jc w:val="center"/>
        <w:textAlignment w:val="auto"/>
        <w:outlineLvl w:val="9"/>
        <w:rPr>
          <w:rFonts w:hint="eastAsia"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Ansi="宋体"/>
          <w:b/>
          <w:color w:val="auto"/>
          <w:sz w:val="21"/>
          <w:szCs w:val="21"/>
        </w:rPr>
        <w:t>.</w:t>
      </w:r>
      <w:r>
        <w:rPr>
          <w:rFonts w:hint="eastAsia" w:hAnsi="宋体"/>
          <w:b/>
          <w:color w:val="auto"/>
          <w:sz w:val="21"/>
          <w:szCs w:val="21"/>
        </w:rPr>
        <w:t>2-</w:t>
      </w:r>
      <w:r>
        <w:rPr>
          <w:rFonts w:hint="eastAsia" w:hAnsi="宋体"/>
          <w:b/>
          <w:color w:val="auto"/>
          <w:sz w:val="21"/>
          <w:szCs w:val="21"/>
          <w:lang w:val="en-US" w:eastAsia="zh-CN"/>
        </w:rPr>
        <w:t>26</w:t>
      </w:r>
      <w:r>
        <w:rPr>
          <w:rFonts w:hAnsi="宋体"/>
          <w:b/>
          <w:color w:val="auto"/>
          <w:sz w:val="21"/>
          <w:szCs w:val="21"/>
        </w:rPr>
        <w:t xml:space="preserve"> 项目污染物属性判定表</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1642"/>
        <w:gridCol w:w="1797"/>
        <w:gridCol w:w="918"/>
        <w:gridCol w:w="1754"/>
        <w:gridCol w:w="1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序号</w:t>
            </w:r>
          </w:p>
        </w:tc>
        <w:tc>
          <w:tcPr>
            <w:tcW w:w="962"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污染物名称</w:t>
            </w:r>
          </w:p>
        </w:tc>
        <w:tc>
          <w:tcPr>
            <w:tcW w:w="1053"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产生工序</w:t>
            </w:r>
          </w:p>
        </w:tc>
        <w:tc>
          <w:tcPr>
            <w:tcW w:w="538"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形态</w:t>
            </w:r>
          </w:p>
        </w:tc>
        <w:tc>
          <w:tcPr>
            <w:tcW w:w="1028"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是否属固体废物</w:t>
            </w:r>
          </w:p>
        </w:tc>
        <w:tc>
          <w:tcPr>
            <w:tcW w:w="1017"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1</w:t>
            </w:r>
          </w:p>
        </w:tc>
        <w:tc>
          <w:tcPr>
            <w:tcW w:w="962"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生活垃圾</w:t>
            </w:r>
          </w:p>
        </w:tc>
        <w:tc>
          <w:tcPr>
            <w:tcW w:w="1053"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员工生活</w:t>
            </w:r>
          </w:p>
        </w:tc>
        <w:tc>
          <w:tcPr>
            <w:tcW w:w="53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是</w:t>
            </w:r>
          </w:p>
        </w:tc>
        <w:tc>
          <w:tcPr>
            <w:tcW w:w="1017" w:type="pct"/>
            <w:vMerge w:val="restart"/>
            <w:noWrap w:val="0"/>
            <w:vAlign w:val="center"/>
          </w:tcPr>
          <w:p>
            <w:pPr>
              <w:pStyle w:val="89"/>
              <w:adjustRightInd/>
              <w:snapToGrid/>
              <w:spacing w:line="360" w:lineRule="exact"/>
              <w:ind w:left="-120" w:leftChars="-50" w:right="-120" w:rightChars="-50"/>
              <w:rPr>
                <w:rFonts w:eastAsia="宋体"/>
                <w:color w:val="auto"/>
              </w:rPr>
            </w:pPr>
            <w:r>
              <w:rPr>
                <w:rFonts w:eastAsia="宋体"/>
                <w:color w:val="auto"/>
              </w:rPr>
              <w:t>GB34330-2017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2</w:t>
            </w:r>
          </w:p>
        </w:tc>
        <w:tc>
          <w:tcPr>
            <w:tcW w:w="962"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医疗废物</w:t>
            </w:r>
          </w:p>
        </w:tc>
        <w:tc>
          <w:tcPr>
            <w:tcW w:w="1053" w:type="pct"/>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日常营运过程</w:t>
            </w:r>
          </w:p>
        </w:tc>
        <w:tc>
          <w:tcPr>
            <w:tcW w:w="53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是</w:t>
            </w:r>
          </w:p>
        </w:tc>
        <w:tc>
          <w:tcPr>
            <w:tcW w:w="1017" w:type="pct"/>
            <w:vMerge w:val="continue"/>
            <w:noWrap w:val="0"/>
            <w:vAlign w:val="center"/>
          </w:tcPr>
          <w:p>
            <w:pPr>
              <w:ind w:firstLine="48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3</w:t>
            </w:r>
          </w:p>
        </w:tc>
        <w:tc>
          <w:tcPr>
            <w:tcW w:w="962" w:type="pct"/>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污泥</w:t>
            </w:r>
          </w:p>
        </w:tc>
        <w:tc>
          <w:tcPr>
            <w:tcW w:w="1053" w:type="pct"/>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rPr>
              <w:t>污水处理站</w:t>
            </w:r>
            <w:r>
              <w:rPr>
                <w:rFonts w:hint="eastAsia" w:eastAsia="宋体"/>
                <w:color w:val="auto"/>
                <w:lang w:eastAsia="zh-CN"/>
              </w:rPr>
              <w:t>、</w:t>
            </w:r>
            <w:r>
              <w:rPr>
                <w:rFonts w:hint="eastAsia" w:eastAsia="宋体"/>
                <w:color w:val="auto"/>
                <w:lang w:val="en-US" w:eastAsia="zh-CN"/>
              </w:rPr>
              <w:t>化粪池</w:t>
            </w:r>
          </w:p>
        </w:tc>
        <w:tc>
          <w:tcPr>
            <w:tcW w:w="53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lang w:eastAsia="zh-CN"/>
              </w:rPr>
              <w:t>半</w:t>
            </w: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eastAsia="宋体"/>
                <w:color w:val="auto"/>
              </w:rPr>
            </w:pPr>
            <w:r>
              <w:rPr>
                <w:rFonts w:hint="eastAsia" w:eastAsia="宋体"/>
                <w:color w:val="auto"/>
              </w:rPr>
              <w:t>是</w:t>
            </w:r>
          </w:p>
        </w:tc>
        <w:tc>
          <w:tcPr>
            <w:tcW w:w="1017" w:type="pct"/>
            <w:vMerge w:val="continue"/>
            <w:noWrap w:val="0"/>
            <w:vAlign w:val="center"/>
          </w:tcPr>
          <w:p>
            <w:pPr>
              <w:ind w:firstLine="48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240" w:lineRule="auto"/>
              <w:ind w:left="-120" w:leftChars="-50" w:right="-120" w:rightChars="-50" w:firstLine="0" w:firstLineChars="0"/>
              <w:rPr>
                <w:rFonts w:hint="eastAsia" w:eastAsia="宋体"/>
                <w:color w:val="auto"/>
                <w:lang w:val="en-US" w:eastAsia="zh-CN"/>
              </w:rPr>
            </w:pPr>
            <w:r>
              <w:rPr>
                <w:rFonts w:hint="eastAsia" w:eastAsia="宋体"/>
                <w:color w:val="auto"/>
                <w:lang w:val="en-US" w:eastAsia="zh-CN"/>
              </w:rPr>
              <w:t>4</w:t>
            </w:r>
          </w:p>
        </w:tc>
        <w:tc>
          <w:tcPr>
            <w:tcW w:w="962" w:type="pct"/>
            <w:noWrap w:val="0"/>
            <w:vAlign w:val="center"/>
          </w:tcPr>
          <w:p>
            <w:pPr>
              <w:pStyle w:val="89"/>
              <w:adjustRightInd/>
              <w:snapToGrid/>
              <w:spacing w:line="240" w:lineRule="auto"/>
              <w:ind w:left="-120" w:leftChars="-50" w:right="-120" w:rightChars="-50" w:firstLine="0" w:firstLineChars="0"/>
              <w:rPr>
                <w:rFonts w:hint="eastAsia" w:eastAsia="宋体"/>
                <w:color w:val="auto"/>
                <w:lang w:val="en-US" w:eastAsia="zh-CN"/>
              </w:rPr>
            </w:pPr>
            <w:r>
              <w:rPr>
                <w:rFonts w:hint="eastAsia" w:eastAsia="宋体"/>
                <w:color w:val="auto"/>
                <w:lang w:val="en-US" w:eastAsia="zh-CN"/>
              </w:rPr>
              <w:t>未被污染的输液瓶（袋）</w:t>
            </w:r>
          </w:p>
        </w:tc>
        <w:tc>
          <w:tcPr>
            <w:tcW w:w="1053"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日常营运过程</w:t>
            </w:r>
          </w:p>
        </w:tc>
        <w:tc>
          <w:tcPr>
            <w:tcW w:w="538"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hint="eastAsia" w:eastAsia="宋体"/>
                <w:color w:val="auto"/>
                <w:lang w:val="en-US" w:eastAsia="zh-CN"/>
              </w:rPr>
            </w:pPr>
            <w:r>
              <w:rPr>
                <w:rFonts w:hint="eastAsia" w:eastAsia="宋体"/>
                <w:color w:val="auto"/>
                <w:lang w:val="en-US" w:eastAsia="zh-CN"/>
              </w:rPr>
              <w:t>是</w:t>
            </w:r>
          </w:p>
        </w:tc>
        <w:tc>
          <w:tcPr>
            <w:tcW w:w="1017" w:type="pct"/>
            <w:vMerge w:val="continue"/>
            <w:noWrap w:val="0"/>
            <w:vAlign w:val="center"/>
          </w:tcPr>
          <w:p>
            <w:pPr>
              <w:ind w:firstLine="48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240" w:lineRule="auto"/>
              <w:ind w:left="-120" w:leftChars="-50" w:right="-120" w:rightChars="-50" w:firstLine="0" w:firstLineChars="0"/>
              <w:rPr>
                <w:rFonts w:hint="eastAsia" w:eastAsia="宋体"/>
                <w:color w:val="auto"/>
                <w:lang w:val="en-US" w:eastAsia="zh-CN"/>
              </w:rPr>
            </w:pPr>
            <w:r>
              <w:rPr>
                <w:rFonts w:hint="eastAsia" w:eastAsia="宋体"/>
                <w:color w:val="auto"/>
                <w:lang w:val="en-US" w:eastAsia="zh-CN"/>
              </w:rPr>
              <w:t>5</w:t>
            </w:r>
          </w:p>
        </w:tc>
        <w:tc>
          <w:tcPr>
            <w:tcW w:w="962" w:type="pct"/>
            <w:noWrap w:val="0"/>
            <w:vAlign w:val="center"/>
          </w:tcPr>
          <w:p>
            <w:pPr>
              <w:pStyle w:val="89"/>
              <w:adjustRightInd/>
              <w:snapToGrid/>
              <w:spacing w:line="240" w:lineRule="auto"/>
              <w:ind w:left="-120" w:leftChars="-50" w:right="-120" w:rightChars="-50" w:firstLine="0" w:firstLineChars="0"/>
              <w:rPr>
                <w:rFonts w:hint="eastAsia" w:eastAsia="宋体"/>
                <w:color w:val="auto"/>
                <w:lang w:val="en-US" w:eastAsia="zh-CN"/>
              </w:rPr>
            </w:pPr>
            <w:r>
              <w:rPr>
                <w:rFonts w:hint="eastAsia" w:eastAsia="宋体"/>
                <w:color w:val="auto"/>
                <w:lang w:val="en-US" w:eastAsia="zh-CN"/>
              </w:rPr>
              <w:t>废离子交换树脂</w:t>
            </w:r>
          </w:p>
        </w:tc>
        <w:tc>
          <w:tcPr>
            <w:tcW w:w="1053"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lang w:eastAsia="zh-CN"/>
              </w:rPr>
              <w:t>软水制备</w:t>
            </w:r>
          </w:p>
        </w:tc>
        <w:tc>
          <w:tcPr>
            <w:tcW w:w="538"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hint="eastAsia" w:eastAsia="宋体"/>
                <w:color w:val="auto"/>
                <w:lang w:val="en-US" w:eastAsia="zh-CN"/>
              </w:rPr>
            </w:pPr>
            <w:r>
              <w:rPr>
                <w:rFonts w:hint="eastAsia" w:eastAsia="宋体"/>
                <w:color w:val="auto"/>
                <w:lang w:val="en-US" w:eastAsia="zh-CN"/>
              </w:rPr>
              <w:t>是</w:t>
            </w:r>
          </w:p>
        </w:tc>
        <w:tc>
          <w:tcPr>
            <w:tcW w:w="1017" w:type="pct"/>
            <w:vMerge w:val="continue"/>
            <w:noWrap w:val="0"/>
            <w:vAlign w:val="center"/>
          </w:tcPr>
          <w:p>
            <w:pPr>
              <w:ind w:firstLine="48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6</w:t>
            </w:r>
          </w:p>
        </w:tc>
        <w:tc>
          <w:tcPr>
            <w:tcW w:w="962" w:type="pct"/>
            <w:noWrap w:val="0"/>
            <w:vAlign w:val="center"/>
          </w:tcPr>
          <w:p>
            <w:pPr>
              <w:pStyle w:val="89"/>
              <w:adjustRightInd/>
              <w:snapToGrid/>
              <w:spacing w:line="240" w:lineRule="auto"/>
              <w:ind w:left="-120" w:leftChars="-50" w:right="-120" w:rightChars="-50" w:firstLine="0" w:firstLineChars="0"/>
              <w:rPr>
                <w:rFonts w:hint="eastAsia" w:eastAsia="宋体"/>
                <w:color w:val="auto"/>
                <w:lang w:val="en-US" w:eastAsia="zh-CN"/>
              </w:rPr>
            </w:pPr>
            <w:r>
              <w:rPr>
                <w:rFonts w:hint="eastAsia" w:eastAsia="宋体"/>
                <w:color w:val="auto"/>
                <w:lang w:val="en-US" w:eastAsia="zh-CN"/>
              </w:rPr>
              <w:t>废空气过滤器</w:t>
            </w:r>
          </w:p>
        </w:tc>
        <w:tc>
          <w:tcPr>
            <w:tcW w:w="1053" w:type="pct"/>
            <w:noWrap w:val="0"/>
            <w:vAlign w:val="center"/>
          </w:tcPr>
          <w:p>
            <w:pPr>
              <w:pStyle w:val="89"/>
              <w:adjustRightInd/>
              <w:snapToGrid/>
              <w:spacing w:line="240" w:lineRule="auto"/>
              <w:ind w:left="-120" w:leftChars="-50" w:right="-120" w:rightChars="-50" w:firstLine="0" w:firstLineChars="0"/>
              <w:rPr>
                <w:rFonts w:hint="eastAsia" w:eastAsia="宋体"/>
                <w:color w:val="auto"/>
                <w:lang w:eastAsia="zh-CN"/>
              </w:rPr>
            </w:pPr>
            <w:r>
              <w:rPr>
                <w:rFonts w:hint="eastAsia" w:eastAsia="宋体"/>
                <w:color w:val="auto"/>
                <w:lang w:eastAsia="zh-CN"/>
              </w:rPr>
              <w:t>新风系统</w:t>
            </w:r>
          </w:p>
        </w:tc>
        <w:tc>
          <w:tcPr>
            <w:tcW w:w="538" w:type="pct"/>
            <w:noWrap w:val="0"/>
            <w:vAlign w:val="center"/>
          </w:tcPr>
          <w:p>
            <w:pPr>
              <w:pStyle w:val="89"/>
              <w:adjustRightInd/>
              <w:snapToGrid/>
              <w:spacing w:line="240" w:lineRule="auto"/>
              <w:ind w:left="-120" w:leftChars="-50" w:right="-120" w:rightChars="-50" w:firstLine="0" w:firstLineChars="0"/>
              <w:rPr>
                <w:rFonts w:hint="eastAsia" w:eastAsia="宋体"/>
                <w:color w:val="auto"/>
              </w:rPr>
            </w:pPr>
            <w:r>
              <w:rPr>
                <w:rFonts w:hint="eastAsia" w:eastAsia="宋体"/>
                <w:color w:val="auto"/>
              </w:rPr>
              <w:t>固态</w:t>
            </w:r>
          </w:p>
        </w:tc>
        <w:tc>
          <w:tcPr>
            <w:tcW w:w="1028" w:type="pct"/>
            <w:noWrap w:val="0"/>
            <w:vAlign w:val="center"/>
          </w:tcPr>
          <w:p>
            <w:pPr>
              <w:pStyle w:val="89"/>
              <w:adjustRightInd/>
              <w:snapToGrid/>
              <w:spacing w:line="360" w:lineRule="exact"/>
              <w:ind w:left="-120" w:leftChars="-50" w:right="-120" w:rightChars="-50"/>
              <w:rPr>
                <w:rFonts w:hint="eastAsia" w:eastAsia="宋体"/>
                <w:color w:val="auto"/>
                <w:lang w:val="en-US" w:eastAsia="zh-CN"/>
              </w:rPr>
            </w:pPr>
            <w:r>
              <w:rPr>
                <w:rFonts w:hint="eastAsia" w:eastAsia="宋体"/>
                <w:color w:val="auto"/>
                <w:lang w:val="en-US" w:eastAsia="zh-CN"/>
              </w:rPr>
              <w:t>是</w:t>
            </w:r>
          </w:p>
        </w:tc>
        <w:tc>
          <w:tcPr>
            <w:tcW w:w="1017" w:type="pct"/>
            <w:vMerge w:val="continue"/>
            <w:noWrap w:val="0"/>
            <w:vAlign w:val="center"/>
          </w:tcPr>
          <w:p>
            <w:pPr>
              <w:ind w:firstLine="480"/>
              <w:jc w:val="center"/>
              <w:rPr>
                <w:color w:val="auto"/>
                <w:szCs w:val="21"/>
              </w:rPr>
            </w:pPr>
          </w:p>
        </w:tc>
      </w:tr>
    </w:tbl>
    <w:p>
      <w:pPr>
        <w:ind w:firstLine="480"/>
        <w:rPr>
          <w:rFonts w:hAnsi="宋体"/>
          <w:b/>
          <w:color w:val="auto"/>
          <w:sz w:val="21"/>
          <w:szCs w:val="21"/>
        </w:rPr>
      </w:pPr>
      <w:r>
        <w:rPr>
          <w:color w:val="auto"/>
        </w:rPr>
        <w:t>根据《国家危险废物名录》及《危险废物鉴别标准》，判定是否属于危险废物如下表</w:t>
      </w:r>
      <w:r>
        <w:rPr>
          <w:rFonts w:hint="eastAsia"/>
          <w:color w:val="auto"/>
          <w:lang w:val="en-US" w:eastAsia="zh-CN"/>
        </w:rPr>
        <w:t>4.2-27</w:t>
      </w:r>
      <w:r>
        <w:rPr>
          <w:color w:val="auto"/>
        </w:rPr>
        <w:t>所示</w:t>
      </w:r>
      <w:r>
        <w:rPr>
          <w:rFonts w:hint="eastAsia"/>
          <w:color w:val="auto"/>
        </w:rPr>
        <w:t>。</w:t>
      </w:r>
    </w:p>
    <w:p>
      <w:pPr>
        <w:ind w:firstLine="422"/>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Ansi="宋体"/>
          <w:b/>
          <w:color w:val="auto"/>
          <w:sz w:val="21"/>
          <w:szCs w:val="21"/>
        </w:rPr>
        <w:t>.</w:t>
      </w:r>
      <w:r>
        <w:rPr>
          <w:rFonts w:hint="eastAsia" w:hAnsi="宋体"/>
          <w:b/>
          <w:color w:val="auto"/>
          <w:sz w:val="21"/>
          <w:szCs w:val="21"/>
        </w:rPr>
        <w:t>2-</w:t>
      </w:r>
      <w:r>
        <w:rPr>
          <w:rFonts w:hint="eastAsia" w:hAnsi="宋体"/>
          <w:b/>
          <w:color w:val="auto"/>
          <w:sz w:val="21"/>
          <w:szCs w:val="21"/>
          <w:lang w:val="en-US" w:eastAsia="zh-CN"/>
        </w:rPr>
        <w:t>27</w:t>
      </w:r>
      <w:r>
        <w:rPr>
          <w:rFonts w:hint="eastAsia" w:hAnsi="宋体"/>
          <w:b/>
          <w:color w:val="auto"/>
          <w:sz w:val="21"/>
          <w:szCs w:val="21"/>
        </w:rPr>
        <w:t xml:space="preserve"> </w:t>
      </w:r>
      <w:r>
        <w:rPr>
          <w:rFonts w:hAnsi="宋体"/>
          <w:b/>
          <w:color w:val="auto"/>
          <w:sz w:val="21"/>
          <w:szCs w:val="21"/>
        </w:rPr>
        <w:t>危险废物属性判定表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2111"/>
        <w:gridCol w:w="1574"/>
        <w:gridCol w:w="1765"/>
        <w:gridCol w:w="2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序号</w:t>
            </w:r>
          </w:p>
        </w:tc>
        <w:tc>
          <w:tcPr>
            <w:tcW w:w="2111"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固体废物名称</w:t>
            </w:r>
          </w:p>
        </w:tc>
        <w:tc>
          <w:tcPr>
            <w:tcW w:w="1574"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产生工序</w:t>
            </w:r>
          </w:p>
        </w:tc>
        <w:tc>
          <w:tcPr>
            <w:tcW w:w="176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是否属于危险废物</w:t>
            </w:r>
          </w:p>
        </w:tc>
        <w:tc>
          <w:tcPr>
            <w:tcW w:w="2390"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废物代码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1</w:t>
            </w:r>
          </w:p>
        </w:tc>
        <w:tc>
          <w:tcPr>
            <w:tcW w:w="2111"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生活垃圾</w:t>
            </w:r>
          </w:p>
        </w:tc>
        <w:tc>
          <w:tcPr>
            <w:tcW w:w="1574"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员工生活</w:t>
            </w:r>
          </w:p>
        </w:tc>
        <w:tc>
          <w:tcPr>
            <w:tcW w:w="1765"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否</w:t>
            </w:r>
          </w:p>
        </w:tc>
        <w:tc>
          <w:tcPr>
            <w:tcW w:w="2390"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2</w:t>
            </w:r>
          </w:p>
        </w:tc>
        <w:tc>
          <w:tcPr>
            <w:tcW w:w="2111"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医疗废物</w:t>
            </w:r>
          </w:p>
        </w:tc>
        <w:tc>
          <w:tcPr>
            <w:tcW w:w="1574"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日常营运过程</w:t>
            </w:r>
          </w:p>
        </w:tc>
        <w:tc>
          <w:tcPr>
            <w:tcW w:w="1765"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是</w:t>
            </w:r>
          </w:p>
        </w:tc>
        <w:tc>
          <w:tcPr>
            <w:tcW w:w="2390"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HW01</w:t>
            </w:r>
            <w:r>
              <w:rPr>
                <w:rFonts w:hint="eastAsia" w:eastAsia="宋体"/>
                <w:color w:val="auto"/>
              </w:rPr>
              <w:t>（</w:t>
            </w:r>
            <w:r>
              <w:rPr>
                <w:rFonts w:hint="eastAsia" w:eastAsia="宋体"/>
                <w:color w:val="auto"/>
                <w:lang w:eastAsia="zh-CN"/>
              </w:rPr>
              <w:t>841-</w:t>
            </w:r>
            <w:r>
              <w:rPr>
                <w:rFonts w:eastAsia="宋体"/>
                <w:color w:val="auto"/>
              </w:rPr>
              <w:t>001-01</w:t>
            </w:r>
            <w:r>
              <w:rPr>
                <w:rFonts w:hint="eastAsia" w:eastAsia="宋体"/>
                <w:color w:val="auto"/>
              </w:rPr>
              <w:t>、</w:t>
            </w:r>
            <w:r>
              <w:rPr>
                <w:rFonts w:hint="eastAsia" w:eastAsia="宋体"/>
                <w:color w:val="auto"/>
                <w:lang w:eastAsia="zh-CN"/>
              </w:rPr>
              <w:t>841-</w:t>
            </w:r>
            <w:r>
              <w:rPr>
                <w:rFonts w:eastAsia="宋体"/>
                <w:color w:val="auto"/>
              </w:rPr>
              <w:t>002-01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3</w:t>
            </w:r>
            <w:r>
              <w:rPr>
                <w:rFonts w:eastAsia="宋体"/>
                <w:color w:val="auto"/>
              </w:rPr>
              <w:t>-01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4</w:t>
            </w:r>
            <w:r>
              <w:rPr>
                <w:rFonts w:eastAsia="宋体"/>
                <w:color w:val="auto"/>
              </w:rPr>
              <w:t>-01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5</w:t>
            </w:r>
            <w:r>
              <w:rPr>
                <w:rFonts w:eastAsia="宋体"/>
                <w:color w:val="auto"/>
              </w:rPr>
              <w:t>-01</w:t>
            </w:r>
            <w:r>
              <w:rPr>
                <w:rFonts w:hint="eastAsia"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3</w:t>
            </w:r>
          </w:p>
        </w:tc>
        <w:tc>
          <w:tcPr>
            <w:tcW w:w="2111"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污泥</w:t>
            </w:r>
          </w:p>
        </w:tc>
        <w:tc>
          <w:tcPr>
            <w:tcW w:w="1574"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rPr>
              <w:t>污水处理站</w:t>
            </w:r>
            <w:r>
              <w:rPr>
                <w:rFonts w:hint="eastAsia" w:eastAsia="宋体"/>
                <w:color w:val="auto"/>
                <w:lang w:eastAsia="zh-CN"/>
              </w:rPr>
              <w:t>废水处理</w:t>
            </w:r>
          </w:p>
        </w:tc>
        <w:tc>
          <w:tcPr>
            <w:tcW w:w="176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是</w:t>
            </w:r>
          </w:p>
        </w:tc>
        <w:tc>
          <w:tcPr>
            <w:tcW w:w="2390" w:type="dxa"/>
            <w:noWrap w:val="0"/>
            <w:vAlign w:val="center"/>
          </w:tcPr>
          <w:p>
            <w:pPr>
              <w:pStyle w:val="89"/>
              <w:adjustRightInd/>
              <w:snapToGrid/>
              <w:spacing w:line="240" w:lineRule="auto"/>
              <w:ind w:left="-120" w:leftChars="-50" w:right="-120" w:rightChars="-50"/>
              <w:rPr>
                <w:rFonts w:eastAsia="宋体"/>
                <w:color w:val="auto"/>
              </w:rPr>
            </w:pPr>
            <w:r>
              <w:rPr>
                <w:bCs/>
                <w:color w:val="auto"/>
                <w:szCs w:val="21"/>
              </w:rPr>
              <w:t>HW</w:t>
            </w:r>
            <w:r>
              <w:rPr>
                <w:rFonts w:hint="eastAsia"/>
                <w:bCs/>
                <w:color w:val="auto"/>
                <w:szCs w:val="21"/>
                <w:lang w:val="en-US" w:eastAsia="zh-CN"/>
              </w:rPr>
              <w:t>49</w:t>
            </w:r>
            <w:r>
              <w:rPr>
                <w:rFonts w:hint="eastAsia"/>
                <w:bCs/>
                <w:color w:val="auto"/>
                <w:szCs w:val="21"/>
                <w:lang w:eastAsia="zh-CN"/>
              </w:rPr>
              <w:t>（772-006-49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lang w:val="en-US" w:eastAsia="zh-CN"/>
              </w:rPr>
              <w:t>4</w:t>
            </w:r>
          </w:p>
        </w:tc>
        <w:tc>
          <w:tcPr>
            <w:tcW w:w="2111"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lang w:eastAsia="zh-CN"/>
              </w:rPr>
              <w:t>废活性炭</w:t>
            </w:r>
          </w:p>
        </w:tc>
        <w:tc>
          <w:tcPr>
            <w:tcW w:w="1574"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rPr>
              <w:t>污水处理站</w:t>
            </w:r>
            <w:r>
              <w:rPr>
                <w:rFonts w:hint="eastAsia" w:eastAsia="宋体"/>
                <w:color w:val="auto"/>
                <w:lang w:eastAsia="zh-CN"/>
              </w:rPr>
              <w:t>废气处理</w:t>
            </w:r>
          </w:p>
        </w:tc>
        <w:tc>
          <w:tcPr>
            <w:tcW w:w="176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是</w:t>
            </w:r>
          </w:p>
        </w:tc>
        <w:tc>
          <w:tcPr>
            <w:tcW w:w="2390" w:type="dxa"/>
            <w:noWrap w:val="0"/>
            <w:vAlign w:val="center"/>
          </w:tcPr>
          <w:p>
            <w:pPr>
              <w:pStyle w:val="89"/>
              <w:adjustRightInd/>
              <w:snapToGrid/>
              <w:spacing w:line="240" w:lineRule="auto"/>
              <w:ind w:left="-120" w:leftChars="-50" w:right="-120" w:rightChars="-50"/>
              <w:rPr>
                <w:bCs/>
                <w:color w:val="auto"/>
                <w:szCs w:val="21"/>
              </w:rPr>
            </w:pPr>
            <w:r>
              <w:rPr>
                <w:bCs/>
                <w:color w:val="auto"/>
                <w:szCs w:val="21"/>
              </w:rPr>
              <w:t>HW</w:t>
            </w:r>
            <w:r>
              <w:rPr>
                <w:rFonts w:hint="eastAsia"/>
                <w:bCs/>
                <w:color w:val="auto"/>
                <w:szCs w:val="21"/>
                <w:lang w:val="en-US" w:eastAsia="zh-CN"/>
              </w:rPr>
              <w:t>49</w:t>
            </w:r>
            <w:r>
              <w:rPr>
                <w:rFonts w:hint="eastAsia"/>
                <w:bCs/>
                <w:color w:val="auto"/>
                <w:szCs w:val="21"/>
                <w:lang w:eastAsia="zh-CN"/>
              </w:rPr>
              <w:t>（</w:t>
            </w:r>
            <w:r>
              <w:rPr>
                <w:rFonts w:hint="eastAsia"/>
                <w:bCs/>
                <w:color w:val="auto"/>
                <w:szCs w:val="21"/>
              </w:rPr>
              <w:t xml:space="preserve">900-039-49 </w:t>
            </w:r>
            <w:r>
              <w:rPr>
                <w:rFonts w:hint="eastAsia"/>
                <w:bCs/>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hint="eastAsia" w:eastAsia="宋体"/>
                <w:color w:val="auto"/>
                <w:lang w:val="en-US" w:eastAsia="zh-CN"/>
              </w:rPr>
            </w:pPr>
            <w:r>
              <w:rPr>
                <w:rFonts w:hint="eastAsia" w:eastAsia="宋体"/>
                <w:color w:val="auto"/>
                <w:lang w:val="en-US" w:eastAsia="zh-CN"/>
              </w:rPr>
              <w:t>5</w:t>
            </w:r>
          </w:p>
        </w:tc>
        <w:tc>
          <w:tcPr>
            <w:tcW w:w="2111"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lang w:eastAsia="zh-CN"/>
              </w:rPr>
              <w:t>废离子交换树脂</w:t>
            </w:r>
          </w:p>
        </w:tc>
        <w:tc>
          <w:tcPr>
            <w:tcW w:w="1574"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lang w:eastAsia="zh-CN"/>
              </w:rPr>
              <w:t>软水制备</w:t>
            </w:r>
          </w:p>
        </w:tc>
        <w:tc>
          <w:tcPr>
            <w:tcW w:w="176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否</w:t>
            </w:r>
          </w:p>
        </w:tc>
        <w:tc>
          <w:tcPr>
            <w:tcW w:w="2390" w:type="dxa"/>
            <w:noWrap w:val="0"/>
            <w:vAlign w:val="center"/>
          </w:tcPr>
          <w:p>
            <w:pPr>
              <w:pStyle w:val="89"/>
              <w:adjustRightInd/>
              <w:snapToGrid/>
              <w:spacing w:line="240" w:lineRule="auto"/>
              <w:ind w:left="-120" w:leftChars="-50" w:right="-120" w:rightChars="-50"/>
              <w:rPr>
                <w:bCs/>
                <w:color w:val="auto"/>
                <w:szCs w:val="21"/>
              </w:rPr>
            </w:pPr>
            <w:r>
              <w:rPr>
                <w:rFonts w:hint="eastAsia"/>
                <w:bCs/>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lang w:val="en-US" w:eastAsia="zh-CN"/>
              </w:rPr>
              <w:t>6</w:t>
            </w:r>
          </w:p>
        </w:tc>
        <w:tc>
          <w:tcPr>
            <w:tcW w:w="2111"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未被污染的输液瓶（袋）</w:t>
            </w:r>
          </w:p>
        </w:tc>
        <w:tc>
          <w:tcPr>
            <w:tcW w:w="1574"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rPr>
              <w:t>日常营运过程</w:t>
            </w:r>
          </w:p>
        </w:tc>
        <w:tc>
          <w:tcPr>
            <w:tcW w:w="176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否</w:t>
            </w:r>
          </w:p>
        </w:tc>
        <w:tc>
          <w:tcPr>
            <w:tcW w:w="2390" w:type="dxa"/>
            <w:noWrap w:val="0"/>
            <w:vAlign w:val="center"/>
          </w:tcPr>
          <w:p>
            <w:pPr>
              <w:pStyle w:val="89"/>
              <w:adjustRightInd/>
              <w:snapToGrid/>
              <w:spacing w:line="240" w:lineRule="auto"/>
              <w:ind w:left="-120" w:leftChars="-50" w:right="-120" w:rightChars="-50"/>
              <w:rPr>
                <w:rFonts w:hint="eastAsia" w:eastAsia="仿宋_GB2312"/>
                <w:bCs/>
                <w:color w:val="auto"/>
                <w:szCs w:val="21"/>
                <w:lang w:val="en-US" w:eastAsia="zh-CN"/>
              </w:rPr>
            </w:pPr>
            <w:r>
              <w:rPr>
                <w:rFonts w:hint="eastAsia"/>
                <w:bCs/>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7</w:t>
            </w:r>
          </w:p>
        </w:tc>
        <w:tc>
          <w:tcPr>
            <w:tcW w:w="2111"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废空气过滤器</w:t>
            </w:r>
          </w:p>
        </w:tc>
        <w:tc>
          <w:tcPr>
            <w:tcW w:w="1574"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eastAsia="zh-CN"/>
              </w:rPr>
              <w:t>新风系统</w:t>
            </w:r>
          </w:p>
        </w:tc>
        <w:tc>
          <w:tcPr>
            <w:tcW w:w="1765"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rPr>
              <w:t>否</w:t>
            </w:r>
          </w:p>
        </w:tc>
        <w:tc>
          <w:tcPr>
            <w:tcW w:w="2390" w:type="dxa"/>
            <w:noWrap w:val="0"/>
            <w:vAlign w:val="center"/>
          </w:tcPr>
          <w:p>
            <w:pPr>
              <w:pStyle w:val="89"/>
              <w:adjustRightInd/>
              <w:snapToGrid/>
              <w:spacing w:line="360" w:lineRule="exact"/>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bCs/>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8</w:t>
            </w:r>
          </w:p>
        </w:tc>
        <w:tc>
          <w:tcPr>
            <w:tcW w:w="2111"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lang w:val="en-US" w:eastAsia="zh-CN"/>
              </w:rPr>
              <w:t>废UV灯管</w:t>
            </w:r>
          </w:p>
        </w:tc>
        <w:tc>
          <w:tcPr>
            <w:tcW w:w="1574"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highlight w:val="none"/>
              </w:rPr>
              <w:t>污水处理站</w:t>
            </w:r>
            <w:r>
              <w:rPr>
                <w:rFonts w:hint="eastAsia" w:eastAsia="宋体"/>
                <w:color w:val="auto"/>
                <w:highlight w:val="none"/>
                <w:lang w:eastAsia="zh-CN"/>
              </w:rPr>
              <w:t>臭气处理</w:t>
            </w:r>
          </w:p>
        </w:tc>
        <w:tc>
          <w:tcPr>
            <w:tcW w:w="1765" w:type="dxa"/>
            <w:noWrap w:val="0"/>
            <w:vAlign w:val="center"/>
          </w:tcPr>
          <w:p>
            <w:pPr>
              <w:pStyle w:val="89"/>
              <w:adjustRightInd/>
              <w:snapToGrid/>
              <w:spacing w:line="240" w:lineRule="auto"/>
              <w:ind w:left="-120" w:leftChars="-50" w:right="-120" w:rightChars="-50" w:firstLine="0" w:firstLineChars="0"/>
              <w:rPr>
                <w:rFonts w:hint="eastAsia" w:ascii="Times New Roman" w:hAnsi="Times New Roman" w:eastAsia="宋体"/>
                <w:color w:val="auto"/>
                <w:kern w:val="2"/>
                <w:sz w:val="21"/>
                <w:szCs w:val="20"/>
                <w:lang w:val="en-US" w:eastAsia="zh-CN" w:bidi="ar-SA"/>
              </w:rPr>
            </w:pPr>
            <w:r>
              <w:rPr>
                <w:rFonts w:hint="eastAsia" w:eastAsia="宋体"/>
                <w:color w:val="auto"/>
              </w:rPr>
              <w:t>是</w:t>
            </w:r>
          </w:p>
        </w:tc>
        <w:tc>
          <w:tcPr>
            <w:tcW w:w="2390" w:type="dxa"/>
            <w:noWrap w:val="0"/>
            <w:vAlign w:val="center"/>
          </w:tcPr>
          <w:p>
            <w:pPr>
              <w:pStyle w:val="89"/>
              <w:adjustRightInd/>
              <w:snapToGrid/>
              <w:spacing w:line="360" w:lineRule="exact"/>
              <w:ind w:left="-120" w:leftChars="-50" w:right="-120" w:rightChars="-50" w:firstLine="0" w:firstLineChars="0"/>
              <w:rPr>
                <w:rFonts w:hint="eastAsia" w:ascii="Times New Roman" w:hAnsi="Times New Roman" w:eastAsia="宋体"/>
                <w:color w:val="auto"/>
                <w:kern w:val="2"/>
                <w:sz w:val="21"/>
                <w:szCs w:val="20"/>
                <w:lang w:val="en-US" w:eastAsia="zh-CN" w:bidi="ar-SA"/>
              </w:rPr>
            </w:pPr>
            <w:r>
              <w:rPr>
                <w:bCs/>
                <w:color w:val="auto"/>
                <w:szCs w:val="21"/>
              </w:rPr>
              <w:t>HW</w:t>
            </w:r>
            <w:r>
              <w:rPr>
                <w:rFonts w:hint="eastAsia"/>
                <w:bCs/>
                <w:color w:val="auto"/>
                <w:szCs w:val="21"/>
                <w:lang w:val="en-US" w:eastAsia="zh-CN"/>
              </w:rPr>
              <w:t>29（</w:t>
            </w:r>
            <w:r>
              <w:rPr>
                <w:rFonts w:hint="eastAsia" w:ascii="Times New Roman" w:hAnsi="Times New Roman" w:eastAsia="宋体"/>
                <w:color w:val="auto"/>
                <w:kern w:val="2"/>
                <w:sz w:val="21"/>
                <w:szCs w:val="20"/>
                <w:lang w:val="en-US" w:eastAsia="zh-CN" w:bidi="ar-SA"/>
              </w:rPr>
              <w:t>900-023-29</w:t>
            </w:r>
            <w:r>
              <w:rPr>
                <w:rFonts w:hint="eastAsia"/>
                <w:bCs/>
                <w:color w:val="auto"/>
                <w:szCs w:val="21"/>
                <w:lang w:val="en-US" w:eastAsia="zh-CN"/>
              </w:rPr>
              <w:t>）</w:t>
            </w:r>
          </w:p>
        </w:tc>
      </w:tr>
    </w:tbl>
    <w:p>
      <w:pPr>
        <w:ind w:firstLine="480"/>
        <w:rPr>
          <w:rFonts w:hint="eastAsia"/>
          <w:bCs/>
          <w:color w:val="auto"/>
          <w:lang w:eastAsia="zh-CN"/>
        </w:rPr>
      </w:pPr>
      <w:r>
        <w:rPr>
          <w:rFonts w:hint="eastAsia"/>
          <w:bCs/>
          <w:color w:val="auto"/>
        </w:rPr>
        <w:t>项目</w:t>
      </w:r>
      <w:r>
        <w:rPr>
          <w:rFonts w:hint="eastAsia"/>
          <w:color w:val="auto"/>
          <w:lang w:val="en-US" w:eastAsia="zh-CN"/>
        </w:rPr>
        <w:t>未被污染的输液瓶（袋）经统一收集后委托其他单位</w:t>
      </w:r>
      <w:r>
        <w:rPr>
          <w:rFonts w:hint="eastAsia"/>
          <w:color w:val="auto"/>
          <w:sz w:val="24"/>
          <w:lang w:val="en-US" w:eastAsia="zh-CN"/>
        </w:rPr>
        <w:t>回收处理，废离子交换树脂、废空气过滤器每次更换后由设备厂商带走；</w:t>
      </w:r>
      <w:r>
        <w:rPr>
          <w:rFonts w:hint="eastAsia"/>
          <w:bCs/>
          <w:color w:val="auto"/>
        </w:rPr>
        <w:t>医疗废物经消毒处理后</w:t>
      </w:r>
      <w:r>
        <w:rPr>
          <w:rFonts w:hint="eastAsia"/>
          <w:bCs/>
          <w:color w:val="auto"/>
          <w:lang w:eastAsia="zh-CN"/>
        </w:rPr>
        <w:t>暂存于各层的医疗废物暂存间内</w:t>
      </w:r>
      <w:r>
        <w:rPr>
          <w:rFonts w:hint="eastAsia"/>
          <w:color w:val="auto"/>
          <w:lang w:eastAsia="zh-CN"/>
        </w:rPr>
        <w:t>后集中暂存到地下二层的危废暂存间内</w:t>
      </w:r>
      <w:r>
        <w:rPr>
          <w:rFonts w:hint="eastAsia"/>
          <w:bCs/>
          <w:color w:val="auto"/>
          <w:lang w:eastAsia="zh-CN"/>
        </w:rPr>
        <w:t>，污水站</w:t>
      </w:r>
      <w:r>
        <w:rPr>
          <w:rFonts w:hint="eastAsia"/>
          <w:bCs/>
          <w:color w:val="auto"/>
        </w:rPr>
        <w:t>污泥经消毒处理后暂存在危险废物暂存场所</w:t>
      </w:r>
      <w:r>
        <w:rPr>
          <w:rFonts w:hint="eastAsia"/>
          <w:bCs/>
          <w:color w:val="auto"/>
          <w:lang w:eastAsia="zh-CN"/>
        </w:rPr>
        <w:t>，院区危废分类安全收集并</w:t>
      </w:r>
      <w:r>
        <w:rPr>
          <w:rFonts w:hint="eastAsia"/>
          <w:bCs/>
          <w:color w:val="auto"/>
        </w:rPr>
        <w:t>委托有处理资质的单位进行处理</w:t>
      </w:r>
      <w:r>
        <w:rPr>
          <w:rFonts w:hint="eastAsia" w:cs="宋体"/>
          <w:bCs/>
          <w:color w:val="auto"/>
          <w:lang w:eastAsia="zh-CN"/>
        </w:rPr>
        <w:t>；</w:t>
      </w:r>
      <w:r>
        <w:rPr>
          <w:rFonts w:hint="eastAsia"/>
          <w:bCs/>
          <w:color w:val="auto"/>
        </w:rPr>
        <w:t>生活垃圾收集后委托环卫部门及时清运处理</w:t>
      </w:r>
      <w:r>
        <w:rPr>
          <w:rFonts w:hint="eastAsia"/>
          <w:bCs/>
          <w:color w:val="auto"/>
          <w:lang w:eastAsia="zh-CN"/>
        </w:rPr>
        <w:t>。</w:t>
      </w:r>
    </w:p>
    <w:p>
      <w:pPr>
        <w:ind w:firstLine="480"/>
        <w:rPr>
          <w:rFonts w:hint="eastAsia" w:hAnsi="宋体"/>
          <w:color w:val="auto"/>
        </w:rPr>
      </w:pPr>
      <w:r>
        <w:rPr>
          <w:rFonts w:hint="eastAsia"/>
          <w:bCs/>
          <w:color w:val="auto"/>
        </w:rPr>
        <w:t>固废收集、存放要求：项目在实施过程中，</w:t>
      </w:r>
      <w:r>
        <w:rPr>
          <w:rFonts w:hint="eastAsia"/>
          <w:bCs/>
          <w:color w:val="auto"/>
          <w:lang w:eastAsia="zh-CN"/>
        </w:rPr>
        <w:t>一般固废按照</w:t>
      </w:r>
      <w:r>
        <w:rPr>
          <w:rFonts w:hint="eastAsia"/>
          <w:color w:val="auto"/>
        </w:rPr>
        <w:t>《</w:t>
      </w:r>
      <w:r>
        <w:rPr>
          <w:color w:val="auto"/>
          <w:szCs w:val="21"/>
        </w:rPr>
        <w:t>一般工业固体废物贮存和填埋污染控制标准》（GB 18599-2020）</w:t>
      </w:r>
      <w:r>
        <w:rPr>
          <w:rFonts w:hint="eastAsia"/>
          <w:color w:val="auto"/>
          <w:szCs w:val="21"/>
          <w:lang w:eastAsia="zh-CN"/>
        </w:rPr>
        <w:t>要求执行，危险废物</w:t>
      </w:r>
      <w:r>
        <w:rPr>
          <w:rFonts w:hint="eastAsia"/>
          <w:bCs/>
          <w:color w:val="auto"/>
        </w:rPr>
        <w:t>根据《中华人民共和国固体废物环境污染防治法》和《危险废物贮存污染控制标准》（GB18597-2001）及修改单规定对危险废物执行联单制度和申报登记制度</w:t>
      </w:r>
      <w:r>
        <w:rPr>
          <w:rFonts w:hint="eastAsia" w:cs="宋体"/>
          <w:bCs/>
          <w:color w:val="auto"/>
          <w:lang w:eastAsia="zh-CN"/>
        </w:rPr>
        <w:t>；</w:t>
      </w:r>
      <w:r>
        <w:rPr>
          <w:rFonts w:hint="eastAsia"/>
          <w:bCs/>
          <w:color w:val="auto"/>
        </w:rPr>
        <w:t>对危险废物的容器和包装物以及收集、储存、运输危险废物的设施、场所必须设置危险废物识别标志。运输危险废物必须采取密闭运输等防止污染环境的措施，遵守国家有关危险货物运输管理的规定</w:t>
      </w:r>
      <w:r>
        <w:rPr>
          <w:rFonts w:hint="eastAsia" w:cs="宋体"/>
          <w:bCs/>
          <w:color w:val="auto"/>
          <w:lang w:eastAsia="zh-CN"/>
        </w:rPr>
        <w:t>；</w:t>
      </w:r>
      <w:r>
        <w:rPr>
          <w:rFonts w:hint="eastAsia"/>
          <w:bCs/>
          <w:color w:val="auto"/>
        </w:rPr>
        <w:t>生活垃圾有组织堆放，及时清运，避免因长期堆放而孳生蚊蝇和恶臭。</w:t>
      </w:r>
    </w:p>
    <w:p>
      <w:pPr>
        <w:spacing w:line="440" w:lineRule="exact"/>
        <w:ind w:firstLine="480"/>
        <w:rPr>
          <w:rFonts w:hint="eastAsia" w:hAnsi="宋体" w:eastAsia="宋体"/>
          <w:color w:val="auto"/>
          <w:lang w:eastAsia="zh-CN"/>
        </w:rPr>
      </w:pPr>
      <w:r>
        <w:rPr>
          <w:rFonts w:hint="eastAsia" w:hAnsi="宋体"/>
          <w:color w:val="auto"/>
          <w:lang w:eastAsia="zh-CN"/>
        </w:rPr>
        <w:t>项目</w:t>
      </w:r>
      <w:r>
        <w:rPr>
          <w:rFonts w:hAnsi="宋体"/>
          <w:color w:val="auto"/>
        </w:rPr>
        <w:t>危险废物</w:t>
      </w:r>
      <w:r>
        <w:rPr>
          <w:rFonts w:hint="eastAsia" w:hAnsi="宋体"/>
          <w:color w:val="auto"/>
        </w:rPr>
        <w:t>汇总</w:t>
      </w:r>
      <w:r>
        <w:rPr>
          <w:rFonts w:hAnsi="宋体"/>
          <w:color w:val="auto"/>
        </w:rPr>
        <w:t>情况如下表所示</w:t>
      </w:r>
      <w:r>
        <w:rPr>
          <w:rFonts w:hint="eastAsia" w:hAnsi="宋体"/>
          <w:color w:val="auto"/>
          <w:lang w:eastAsia="zh-CN"/>
        </w:rPr>
        <w:t>：</w:t>
      </w:r>
    </w:p>
    <w:p>
      <w:pPr>
        <w:ind w:left="0" w:leftChars="0" w:firstLine="0" w:firstLineChars="0"/>
        <w:rPr>
          <w:rFonts w:hint="eastAsia" w:hAnsi="宋体"/>
          <w:color w:val="auto"/>
        </w:rPr>
      </w:pPr>
    </w:p>
    <w:p>
      <w:pPr>
        <w:ind w:left="0" w:leftChars="0" w:firstLine="0" w:firstLineChars="0"/>
        <w:rPr>
          <w:rFonts w:hAnsi="宋体"/>
          <w:color w:val="auto"/>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ind w:firstLine="422"/>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int="eastAsia" w:hAnsi="宋体"/>
          <w:b/>
          <w:color w:val="auto"/>
          <w:sz w:val="21"/>
          <w:szCs w:val="21"/>
        </w:rPr>
        <w:t>.2-</w:t>
      </w:r>
      <w:r>
        <w:rPr>
          <w:rFonts w:hint="eastAsia" w:hAnsi="宋体"/>
          <w:b/>
          <w:color w:val="auto"/>
          <w:sz w:val="21"/>
          <w:szCs w:val="21"/>
          <w:lang w:val="en-US" w:eastAsia="zh-CN"/>
        </w:rPr>
        <w:t xml:space="preserve">28  </w:t>
      </w:r>
      <w:r>
        <w:rPr>
          <w:rFonts w:hAnsi="宋体"/>
          <w:b/>
          <w:color w:val="auto"/>
          <w:sz w:val="21"/>
          <w:szCs w:val="21"/>
        </w:rPr>
        <w:t>危险废物汇总表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181"/>
        <w:gridCol w:w="1616"/>
        <w:gridCol w:w="1270"/>
        <w:gridCol w:w="1120"/>
        <w:gridCol w:w="1636"/>
        <w:gridCol w:w="995"/>
        <w:gridCol w:w="1055"/>
        <w:gridCol w:w="1055"/>
        <w:gridCol w:w="1055"/>
        <w:gridCol w:w="1052"/>
        <w:gridCol w:w="1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序号</w:t>
            </w:r>
          </w:p>
        </w:tc>
        <w:tc>
          <w:tcPr>
            <w:tcW w:w="1181"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危险废物名称</w:t>
            </w:r>
          </w:p>
        </w:tc>
        <w:tc>
          <w:tcPr>
            <w:tcW w:w="1616"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危险废物类别</w:t>
            </w:r>
          </w:p>
        </w:tc>
        <w:tc>
          <w:tcPr>
            <w:tcW w:w="1270"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危险废物代码</w:t>
            </w:r>
          </w:p>
        </w:tc>
        <w:tc>
          <w:tcPr>
            <w:tcW w:w="1120"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产生量</w:t>
            </w:r>
          </w:p>
          <w:p>
            <w:pPr>
              <w:pStyle w:val="89"/>
              <w:adjustRightInd/>
              <w:snapToGrid/>
              <w:spacing w:line="240" w:lineRule="auto"/>
              <w:ind w:left="-120" w:leftChars="-50" w:right="-120" w:rightChars="-50"/>
              <w:rPr>
                <w:rFonts w:eastAsia="宋体"/>
                <w:color w:val="auto"/>
              </w:rPr>
            </w:pPr>
            <w:r>
              <w:rPr>
                <w:rFonts w:eastAsia="宋体"/>
                <w:color w:val="auto"/>
              </w:rPr>
              <w:t>（t/a）</w:t>
            </w:r>
          </w:p>
        </w:tc>
        <w:tc>
          <w:tcPr>
            <w:tcW w:w="1636"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产生工序及装置</w:t>
            </w:r>
          </w:p>
        </w:tc>
        <w:tc>
          <w:tcPr>
            <w:tcW w:w="99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形态</w:t>
            </w:r>
          </w:p>
        </w:tc>
        <w:tc>
          <w:tcPr>
            <w:tcW w:w="105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主要</w:t>
            </w:r>
          </w:p>
          <w:p>
            <w:pPr>
              <w:pStyle w:val="89"/>
              <w:adjustRightInd/>
              <w:snapToGrid/>
              <w:spacing w:line="240" w:lineRule="auto"/>
              <w:ind w:left="-120" w:leftChars="-50" w:right="-120" w:rightChars="-50"/>
              <w:rPr>
                <w:rFonts w:eastAsia="宋体"/>
                <w:color w:val="auto"/>
              </w:rPr>
            </w:pPr>
            <w:r>
              <w:rPr>
                <w:rFonts w:eastAsia="宋体"/>
                <w:color w:val="auto"/>
              </w:rPr>
              <w:t>成分</w:t>
            </w:r>
          </w:p>
        </w:tc>
        <w:tc>
          <w:tcPr>
            <w:tcW w:w="105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有害成分</w:t>
            </w:r>
          </w:p>
        </w:tc>
        <w:tc>
          <w:tcPr>
            <w:tcW w:w="105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产废周期</w:t>
            </w:r>
          </w:p>
        </w:tc>
        <w:tc>
          <w:tcPr>
            <w:tcW w:w="1052"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危险特性</w:t>
            </w:r>
          </w:p>
        </w:tc>
        <w:tc>
          <w:tcPr>
            <w:tcW w:w="1715"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1</w:t>
            </w:r>
          </w:p>
        </w:tc>
        <w:tc>
          <w:tcPr>
            <w:tcW w:w="1181"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医疗废物</w:t>
            </w:r>
          </w:p>
        </w:tc>
        <w:tc>
          <w:tcPr>
            <w:tcW w:w="1616"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HW</w:t>
            </w:r>
            <w:r>
              <w:rPr>
                <w:rFonts w:hint="eastAsia" w:eastAsia="宋体"/>
                <w:color w:val="auto"/>
              </w:rPr>
              <w:t>01</w:t>
            </w:r>
          </w:p>
        </w:tc>
        <w:tc>
          <w:tcPr>
            <w:tcW w:w="1270"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lang w:eastAsia="zh-CN"/>
              </w:rPr>
              <w:t>841-</w:t>
            </w:r>
            <w:r>
              <w:rPr>
                <w:rFonts w:eastAsia="宋体"/>
                <w:color w:val="auto"/>
              </w:rPr>
              <w:t>001-01</w:t>
            </w:r>
            <w:r>
              <w:rPr>
                <w:rFonts w:hint="eastAsia" w:eastAsia="宋体"/>
                <w:color w:val="auto"/>
              </w:rPr>
              <w:t>、</w:t>
            </w:r>
            <w:r>
              <w:rPr>
                <w:rFonts w:hint="eastAsia" w:eastAsia="宋体"/>
                <w:color w:val="auto"/>
                <w:lang w:eastAsia="zh-CN"/>
              </w:rPr>
              <w:t>841-</w:t>
            </w:r>
            <w:r>
              <w:rPr>
                <w:rFonts w:eastAsia="宋体"/>
                <w:color w:val="auto"/>
              </w:rPr>
              <w:t>002-01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3</w:t>
            </w:r>
            <w:r>
              <w:rPr>
                <w:rFonts w:eastAsia="宋体"/>
                <w:color w:val="auto"/>
              </w:rPr>
              <w:t>-01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4</w:t>
            </w:r>
            <w:r>
              <w:rPr>
                <w:rFonts w:eastAsia="宋体"/>
                <w:color w:val="auto"/>
              </w:rPr>
              <w:t>-01</w:t>
            </w:r>
            <w:r>
              <w:rPr>
                <w:rFonts w:hint="eastAsia" w:eastAsia="宋体"/>
                <w:color w:val="auto"/>
              </w:rPr>
              <w:t>、</w:t>
            </w:r>
            <w:r>
              <w:rPr>
                <w:rFonts w:hint="eastAsia" w:eastAsia="宋体"/>
                <w:color w:val="auto"/>
                <w:lang w:eastAsia="zh-CN"/>
              </w:rPr>
              <w:t>841-</w:t>
            </w:r>
            <w:r>
              <w:rPr>
                <w:rFonts w:eastAsia="宋体"/>
                <w:color w:val="auto"/>
              </w:rPr>
              <w:t>00</w:t>
            </w:r>
            <w:r>
              <w:rPr>
                <w:rFonts w:hint="eastAsia" w:eastAsia="宋体"/>
                <w:color w:val="auto"/>
              </w:rPr>
              <w:t>5</w:t>
            </w:r>
            <w:r>
              <w:rPr>
                <w:rFonts w:eastAsia="宋体"/>
                <w:color w:val="auto"/>
              </w:rPr>
              <w:t>-01</w:t>
            </w:r>
          </w:p>
        </w:tc>
        <w:tc>
          <w:tcPr>
            <w:tcW w:w="1120" w:type="dxa"/>
            <w:noWrap w:val="0"/>
            <w:vAlign w:val="center"/>
          </w:tcPr>
          <w:p>
            <w:pPr>
              <w:pStyle w:val="89"/>
              <w:adjustRightInd/>
              <w:snapToGrid/>
              <w:spacing w:line="240" w:lineRule="auto"/>
              <w:ind w:left="-120" w:leftChars="-50" w:right="-120" w:rightChars="-50"/>
              <w:rPr>
                <w:rFonts w:hint="default" w:eastAsia="宋体"/>
                <w:color w:val="auto"/>
                <w:highlight w:val="none"/>
                <w:lang w:val="en-US" w:eastAsia="zh-CN"/>
              </w:rPr>
            </w:pPr>
            <w:r>
              <w:rPr>
                <w:rFonts w:hint="eastAsia"/>
                <w:color w:val="auto"/>
                <w:sz w:val="21"/>
                <w:szCs w:val="21"/>
                <w:lang w:val="en-US" w:eastAsia="zh-CN"/>
              </w:rPr>
              <w:t>547.5</w:t>
            </w:r>
          </w:p>
        </w:tc>
        <w:tc>
          <w:tcPr>
            <w:tcW w:w="1636"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日常营运</w:t>
            </w:r>
          </w:p>
        </w:tc>
        <w:tc>
          <w:tcPr>
            <w:tcW w:w="99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固态</w:t>
            </w:r>
          </w:p>
        </w:tc>
        <w:tc>
          <w:tcPr>
            <w:tcW w:w="105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w:t>
            </w:r>
          </w:p>
        </w:tc>
        <w:tc>
          <w:tcPr>
            <w:tcW w:w="1055"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含感染性、损伤性、病理性、化学性以及药物性废物</w:t>
            </w:r>
          </w:p>
        </w:tc>
        <w:tc>
          <w:tcPr>
            <w:tcW w:w="1055"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lang w:eastAsia="zh-CN"/>
              </w:rPr>
              <w:t>每周</w:t>
            </w:r>
          </w:p>
        </w:tc>
        <w:tc>
          <w:tcPr>
            <w:tcW w:w="1052"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 xml:space="preserve">T/C/I/R </w:t>
            </w:r>
            <w:r>
              <w:rPr>
                <w:rFonts w:eastAsia="宋体"/>
                <w:color w:val="auto"/>
              </w:rPr>
              <w:t>/In</w:t>
            </w:r>
          </w:p>
        </w:tc>
        <w:tc>
          <w:tcPr>
            <w:tcW w:w="1715" w:type="dxa"/>
            <w:noWrap w:val="0"/>
            <w:vAlign w:val="center"/>
          </w:tcPr>
          <w:p>
            <w:pPr>
              <w:pStyle w:val="89"/>
              <w:ind w:left="-120" w:leftChars="-50" w:right="-120" w:rightChars="-50"/>
              <w:rPr>
                <w:rFonts w:hint="default" w:eastAsia="宋体"/>
                <w:color w:val="auto"/>
                <w:lang w:val="en-US" w:eastAsia="zh-CN"/>
              </w:rPr>
            </w:pPr>
            <w:r>
              <w:rPr>
                <w:rFonts w:hint="eastAsia" w:eastAsia="宋体"/>
                <w:color w:val="auto"/>
              </w:rPr>
              <w:t>存放于</w:t>
            </w:r>
            <w:r>
              <w:rPr>
                <w:rFonts w:hint="eastAsia" w:eastAsia="宋体"/>
                <w:color w:val="auto"/>
                <w:lang w:eastAsia="zh-CN"/>
              </w:rPr>
              <w:t>医疗废物</w:t>
            </w:r>
            <w:r>
              <w:rPr>
                <w:rFonts w:eastAsia="宋体"/>
                <w:color w:val="auto"/>
              </w:rPr>
              <w:t>暂存</w:t>
            </w:r>
            <w:r>
              <w:rPr>
                <w:rFonts w:hint="eastAsia" w:eastAsia="宋体"/>
                <w:color w:val="auto"/>
              </w:rPr>
              <w:t>间</w:t>
            </w:r>
            <w:r>
              <w:rPr>
                <w:rFonts w:eastAsia="宋体"/>
                <w:color w:val="auto"/>
              </w:rPr>
              <w:t>，定期委托</w:t>
            </w:r>
            <w:r>
              <w:rPr>
                <w:rFonts w:hint="eastAsia" w:eastAsia="宋体"/>
                <w:color w:val="auto"/>
                <w:lang w:val="en-US" w:eastAsia="zh-CN"/>
              </w:rPr>
              <w:t>阜阳市利康医疗废物处置有限公司处置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2</w:t>
            </w:r>
          </w:p>
        </w:tc>
        <w:tc>
          <w:tcPr>
            <w:tcW w:w="1181"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污泥</w:t>
            </w:r>
          </w:p>
        </w:tc>
        <w:tc>
          <w:tcPr>
            <w:tcW w:w="1616" w:type="dxa"/>
            <w:noWrap w:val="0"/>
            <w:vAlign w:val="center"/>
          </w:tcPr>
          <w:p>
            <w:pPr>
              <w:pStyle w:val="89"/>
              <w:adjustRightInd/>
              <w:snapToGrid/>
              <w:spacing w:line="240" w:lineRule="auto"/>
              <w:ind w:left="-120" w:leftChars="-50" w:right="-120" w:rightChars="-50"/>
              <w:rPr>
                <w:rFonts w:hint="default" w:eastAsia="仿宋_GB2312"/>
                <w:color w:val="auto"/>
                <w:lang w:val="en-US" w:eastAsia="zh-CN"/>
              </w:rPr>
            </w:pPr>
            <w:r>
              <w:rPr>
                <w:bCs/>
                <w:color w:val="auto"/>
                <w:szCs w:val="21"/>
              </w:rPr>
              <w:t>HW</w:t>
            </w:r>
            <w:r>
              <w:rPr>
                <w:rFonts w:hint="eastAsia"/>
                <w:bCs/>
                <w:color w:val="auto"/>
                <w:szCs w:val="21"/>
                <w:lang w:val="en-US" w:eastAsia="zh-CN"/>
              </w:rPr>
              <w:t>49</w:t>
            </w:r>
          </w:p>
        </w:tc>
        <w:tc>
          <w:tcPr>
            <w:tcW w:w="1270" w:type="dxa"/>
            <w:noWrap w:val="0"/>
            <w:vAlign w:val="center"/>
          </w:tcPr>
          <w:p>
            <w:pPr>
              <w:pStyle w:val="89"/>
              <w:adjustRightInd/>
              <w:snapToGrid/>
              <w:spacing w:line="240" w:lineRule="auto"/>
              <w:ind w:left="-120" w:leftChars="-50" w:right="-120" w:rightChars="-50"/>
              <w:rPr>
                <w:rFonts w:eastAsia="宋体"/>
                <w:color w:val="auto"/>
              </w:rPr>
            </w:pPr>
            <w:r>
              <w:rPr>
                <w:rFonts w:hint="eastAsia"/>
                <w:bCs/>
                <w:color w:val="auto"/>
                <w:szCs w:val="21"/>
                <w:lang w:eastAsia="zh-CN"/>
              </w:rPr>
              <w:t xml:space="preserve">772-006-49 </w:t>
            </w:r>
          </w:p>
        </w:tc>
        <w:tc>
          <w:tcPr>
            <w:tcW w:w="1120" w:type="dxa"/>
            <w:noWrap w:val="0"/>
            <w:vAlign w:val="center"/>
          </w:tcPr>
          <w:p>
            <w:pPr>
              <w:pStyle w:val="89"/>
              <w:adjustRightInd/>
              <w:snapToGrid/>
              <w:spacing w:line="240" w:lineRule="auto"/>
              <w:ind w:left="-120" w:leftChars="-50" w:right="-120" w:rightChars="-50"/>
              <w:rPr>
                <w:rFonts w:hint="default" w:eastAsia="宋体"/>
                <w:color w:val="auto"/>
                <w:highlight w:val="none"/>
                <w:lang w:val="en-US" w:eastAsia="zh-CN"/>
              </w:rPr>
            </w:pPr>
            <w:r>
              <w:rPr>
                <w:rFonts w:hint="eastAsia" w:eastAsia="宋体"/>
                <w:color w:val="auto"/>
                <w:highlight w:val="none"/>
                <w:lang w:val="en-US" w:eastAsia="zh-CN"/>
              </w:rPr>
              <w:t>6</w:t>
            </w:r>
          </w:p>
        </w:tc>
        <w:tc>
          <w:tcPr>
            <w:tcW w:w="1636" w:type="dxa"/>
            <w:noWrap w:val="0"/>
            <w:vAlign w:val="center"/>
          </w:tcPr>
          <w:p>
            <w:pPr>
              <w:pStyle w:val="89"/>
              <w:adjustRightInd/>
              <w:snapToGrid/>
              <w:spacing w:line="240" w:lineRule="auto"/>
              <w:ind w:left="-120" w:leftChars="-50" w:right="-120" w:rightChars="-50"/>
              <w:rPr>
                <w:rFonts w:hint="default" w:eastAsia="宋体"/>
                <w:color w:val="auto"/>
                <w:lang w:val="en-US" w:eastAsia="zh-CN"/>
              </w:rPr>
            </w:pPr>
            <w:r>
              <w:rPr>
                <w:rFonts w:hint="eastAsia" w:eastAsia="宋体"/>
                <w:color w:val="auto"/>
              </w:rPr>
              <w:t>污水处理站</w:t>
            </w:r>
            <w:r>
              <w:rPr>
                <w:rFonts w:hint="eastAsia" w:eastAsia="宋体"/>
                <w:color w:val="auto"/>
                <w:lang w:eastAsia="zh-CN"/>
              </w:rPr>
              <w:t>、</w:t>
            </w:r>
            <w:r>
              <w:rPr>
                <w:rFonts w:hint="eastAsia" w:eastAsia="宋体"/>
                <w:color w:val="auto"/>
                <w:lang w:val="en-US" w:eastAsia="zh-CN"/>
              </w:rPr>
              <w:t>化粪池</w:t>
            </w:r>
          </w:p>
        </w:tc>
        <w:tc>
          <w:tcPr>
            <w:tcW w:w="995"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半固态</w:t>
            </w:r>
          </w:p>
        </w:tc>
        <w:tc>
          <w:tcPr>
            <w:tcW w:w="1055" w:type="dxa"/>
            <w:noWrap w:val="0"/>
            <w:vAlign w:val="center"/>
          </w:tcPr>
          <w:p>
            <w:pPr>
              <w:pStyle w:val="89"/>
              <w:adjustRightInd/>
              <w:snapToGrid/>
              <w:spacing w:line="240" w:lineRule="auto"/>
              <w:ind w:left="-120" w:leftChars="-50" w:right="-120" w:rightChars="-50"/>
              <w:rPr>
                <w:rFonts w:hint="eastAsia" w:eastAsia="宋体"/>
                <w:color w:val="auto"/>
              </w:rPr>
            </w:pPr>
            <w:r>
              <w:rPr>
                <w:rFonts w:hint="eastAsia" w:eastAsia="宋体"/>
                <w:color w:val="auto"/>
              </w:rPr>
              <w:t>——</w:t>
            </w:r>
          </w:p>
        </w:tc>
        <w:tc>
          <w:tcPr>
            <w:tcW w:w="1055" w:type="dxa"/>
            <w:noWrap w:val="0"/>
            <w:vAlign w:val="center"/>
          </w:tcPr>
          <w:p>
            <w:pPr>
              <w:pStyle w:val="89"/>
              <w:adjustRightInd/>
              <w:snapToGrid/>
              <w:spacing w:line="240" w:lineRule="auto"/>
              <w:ind w:left="-120" w:leftChars="-50" w:right="-120" w:rightChars="-50"/>
              <w:rPr>
                <w:rFonts w:eastAsia="宋体"/>
                <w:color w:val="auto"/>
              </w:rPr>
            </w:pPr>
            <w:r>
              <w:rPr>
                <w:rFonts w:hint="eastAsia" w:eastAsia="宋体"/>
                <w:color w:val="auto"/>
              </w:rPr>
              <w:t>感染性</w:t>
            </w:r>
          </w:p>
        </w:tc>
        <w:tc>
          <w:tcPr>
            <w:tcW w:w="1055" w:type="dxa"/>
            <w:noWrap w:val="0"/>
            <w:vAlign w:val="center"/>
          </w:tcPr>
          <w:p>
            <w:pPr>
              <w:pStyle w:val="89"/>
              <w:adjustRightInd/>
              <w:snapToGrid/>
              <w:spacing w:line="240" w:lineRule="auto"/>
              <w:ind w:left="-120" w:leftChars="-50" w:right="-120" w:rightChars="-50"/>
              <w:rPr>
                <w:rFonts w:hint="eastAsia" w:eastAsia="宋体"/>
                <w:color w:val="auto"/>
                <w:lang w:eastAsia="zh-CN"/>
              </w:rPr>
            </w:pPr>
            <w:r>
              <w:rPr>
                <w:rFonts w:hint="eastAsia" w:eastAsia="宋体"/>
                <w:color w:val="auto"/>
                <w:lang w:eastAsia="zh-CN"/>
              </w:rPr>
              <w:t>每月</w:t>
            </w:r>
          </w:p>
        </w:tc>
        <w:tc>
          <w:tcPr>
            <w:tcW w:w="1052" w:type="dxa"/>
            <w:noWrap w:val="0"/>
            <w:vAlign w:val="center"/>
          </w:tcPr>
          <w:p>
            <w:pPr>
              <w:pStyle w:val="89"/>
              <w:adjustRightInd/>
              <w:snapToGrid/>
              <w:spacing w:line="240" w:lineRule="auto"/>
              <w:ind w:left="-120" w:leftChars="-50" w:right="-120" w:rightChars="-50"/>
              <w:rPr>
                <w:rFonts w:eastAsia="宋体"/>
                <w:color w:val="auto"/>
              </w:rPr>
            </w:pPr>
            <w:r>
              <w:rPr>
                <w:rFonts w:eastAsia="宋体"/>
                <w:color w:val="auto"/>
              </w:rPr>
              <w:t>T/In</w:t>
            </w:r>
          </w:p>
        </w:tc>
        <w:tc>
          <w:tcPr>
            <w:tcW w:w="1715" w:type="dxa"/>
            <w:noWrap w:val="0"/>
            <w:vAlign w:val="center"/>
          </w:tcPr>
          <w:p>
            <w:pPr>
              <w:pStyle w:val="89"/>
              <w:ind w:left="-120" w:leftChars="-50" w:right="-120" w:rightChars="-50"/>
              <w:rPr>
                <w:rFonts w:hint="eastAsia" w:eastAsia="宋体"/>
                <w:color w:val="auto"/>
                <w:lang w:val="en-US" w:eastAsia="zh-CN"/>
              </w:rPr>
            </w:pPr>
            <w:r>
              <w:rPr>
                <w:rFonts w:hint="eastAsia" w:eastAsia="宋体"/>
                <w:color w:val="auto"/>
                <w:lang w:val="en-US" w:eastAsia="zh-CN"/>
              </w:rPr>
              <w:t>存放于危废暂存间，定期委托有处理资质单位处理</w:t>
            </w:r>
          </w:p>
        </w:tc>
      </w:tr>
    </w:tbl>
    <w:p>
      <w:pPr>
        <w:ind w:firstLine="480"/>
        <w:rPr>
          <w:rFonts w:hint="eastAsia" w:hAnsi="宋体"/>
          <w:color w:val="auto"/>
        </w:rPr>
      </w:pPr>
    </w:p>
    <w:p>
      <w:pPr>
        <w:ind w:firstLine="480"/>
        <w:rPr>
          <w:rFonts w:hint="eastAsia" w:hAnsi="宋体"/>
          <w:color w:val="auto"/>
        </w:rPr>
      </w:pPr>
    </w:p>
    <w:p>
      <w:pPr>
        <w:ind w:firstLine="480"/>
        <w:rPr>
          <w:rFonts w:hint="eastAsia" w:hAnsi="宋体"/>
          <w:color w:val="auto"/>
        </w:rPr>
      </w:pPr>
    </w:p>
    <w:p>
      <w:pPr>
        <w:ind w:firstLine="480"/>
        <w:rPr>
          <w:rFonts w:hint="eastAsia" w:hAnsi="宋体"/>
          <w:color w:val="auto"/>
        </w:rPr>
      </w:pPr>
    </w:p>
    <w:p>
      <w:pPr>
        <w:ind w:firstLine="480"/>
        <w:rPr>
          <w:rFonts w:hint="eastAsia" w:hAnsi="宋体"/>
          <w:color w:val="auto"/>
        </w:rPr>
      </w:pPr>
    </w:p>
    <w:p>
      <w:pPr>
        <w:ind w:firstLine="480"/>
        <w:rPr>
          <w:rFonts w:hint="eastAsia" w:hAnsi="宋体"/>
          <w:color w:val="auto"/>
        </w:rPr>
      </w:pPr>
    </w:p>
    <w:p>
      <w:pPr>
        <w:ind w:firstLine="480"/>
        <w:rPr>
          <w:rFonts w:hAnsi="宋体"/>
          <w:color w:val="auto"/>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2"/>
        <w:pageBreakBefore w:val="0"/>
        <w:widowControl w:val="0"/>
        <w:numPr>
          <w:ilvl w:val="3"/>
          <w:numId w:val="0"/>
        </w:numPr>
        <w:kinsoku/>
        <w:wordWrap/>
        <w:overflowPunct/>
        <w:topLinePunct w:val="0"/>
        <w:autoSpaceDE/>
        <w:autoSpaceDN/>
        <w:bidi w:val="0"/>
        <w:adjustRightInd/>
        <w:snapToGrid/>
        <w:spacing w:line="360" w:lineRule="auto"/>
        <w:textAlignment w:val="auto"/>
        <w:rPr>
          <w:rFonts w:hint="eastAsia"/>
          <w:color w:val="auto"/>
        </w:rPr>
      </w:pPr>
      <w:r>
        <w:rPr>
          <w:rFonts w:hint="eastAsia"/>
          <w:color w:val="auto"/>
          <w:lang w:val="en-US" w:eastAsia="zh-CN"/>
        </w:rPr>
        <w:t>3.2.2.5</w:t>
      </w:r>
      <w:r>
        <w:rPr>
          <w:rFonts w:hint="eastAsia"/>
          <w:color w:val="auto"/>
        </w:rPr>
        <w:t>辐射</w:t>
      </w:r>
    </w:p>
    <w:p>
      <w:pPr>
        <w:pStyle w:val="27"/>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本项目</w:t>
      </w:r>
      <w:r>
        <w:rPr>
          <w:rFonts w:hint="eastAsia"/>
          <w:color w:val="auto"/>
          <w:sz w:val="24"/>
          <w:szCs w:val="24"/>
        </w:rPr>
        <w:t>涉及放射及电磁辐射内容</w:t>
      </w:r>
      <w:r>
        <w:rPr>
          <w:color w:val="auto"/>
          <w:sz w:val="24"/>
          <w:szCs w:val="24"/>
        </w:rPr>
        <w:t>，</w:t>
      </w:r>
      <w:r>
        <w:rPr>
          <w:rFonts w:hint="eastAsia"/>
          <w:color w:val="auto"/>
          <w:sz w:val="24"/>
          <w:szCs w:val="24"/>
          <w:lang w:val="en-US" w:eastAsia="zh-CN"/>
        </w:rPr>
        <w:t>不在本次评价范围内，需另行评价。</w:t>
      </w:r>
    </w:p>
    <w:p>
      <w:pPr>
        <w:pStyle w:val="2"/>
        <w:pageBreakBefore w:val="0"/>
        <w:widowControl w:val="0"/>
        <w:numPr>
          <w:ilvl w:val="3"/>
          <w:numId w:val="0"/>
        </w:numPr>
        <w:kinsoku/>
        <w:wordWrap/>
        <w:overflowPunct/>
        <w:topLinePunct w:val="0"/>
        <w:autoSpaceDE/>
        <w:autoSpaceDN/>
        <w:bidi w:val="0"/>
        <w:adjustRightInd/>
        <w:snapToGrid/>
        <w:spacing w:line="360" w:lineRule="auto"/>
        <w:textAlignment w:val="auto"/>
        <w:rPr>
          <w:rFonts w:hint="eastAsia"/>
          <w:color w:val="auto"/>
        </w:rPr>
      </w:pPr>
      <w:r>
        <w:rPr>
          <w:rFonts w:hint="eastAsia"/>
          <w:color w:val="auto"/>
          <w:lang w:val="en-US" w:eastAsia="zh-CN"/>
        </w:rPr>
        <w:t>3.2.2.6</w:t>
      </w:r>
      <w:r>
        <w:rPr>
          <w:rFonts w:hint="eastAsia"/>
          <w:color w:val="auto"/>
        </w:rPr>
        <w:t>营运期污染物排放情况汇总</w:t>
      </w:r>
    </w:p>
    <w:p>
      <w:pPr>
        <w:pStyle w:val="27"/>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营运期各种污染物的产生源强见表</w:t>
      </w:r>
      <w:r>
        <w:rPr>
          <w:rFonts w:hint="eastAsia"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2</w:t>
      </w:r>
      <w:r>
        <w:rPr>
          <w:rFonts w:hint="eastAsia" w:ascii="Times New Roman" w:hAnsi="Times New Roman"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表</w:t>
      </w:r>
      <w:r>
        <w:rPr>
          <w:rFonts w:hint="eastAsia"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rPr>
        <w:t>.2-</w:t>
      </w:r>
      <w:r>
        <w:rPr>
          <w:rFonts w:hint="eastAsia"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rPr>
        <w:t>。</w:t>
      </w:r>
    </w:p>
    <w:p>
      <w:pPr>
        <w:keepNext w:val="0"/>
        <w:keepLines w:val="0"/>
        <w:pageBreakBefore w:val="0"/>
        <w:kinsoku/>
        <w:wordWrap/>
        <w:overflowPunct/>
        <w:topLinePunct w:val="0"/>
        <w:bidi w:val="0"/>
        <w:spacing w:line="240" w:lineRule="auto"/>
        <w:ind w:firstLine="0" w:firstLineChars="0"/>
        <w:jc w:val="center"/>
        <w:rPr>
          <w:b/>
          <w:color w:val="auto"/>
          <w:sz w:val="21"/>
          <w:szCs w:val="21"/>
        </w:rPr>
      </w:pPr>
      <w:r>
        <w:rPr>
          <w:b/>
          <w:color w:val="auto"/>
          <w:sz w:val="21"/>
          <w:szCs w:val="21"/>
        </w:rPr>
        <w:t>表</w:t>
      </w:r>
      <w:r>
        <w:rPr>
          <w:rFonts w:hint="eastAsia"/>
          <w:b/>
          <w:color w:val="auto"/>
          <w:sz w:val="21"/>
          <w:szCs w:val="21"/>
          <w:lang w:val="en-US" w:eastAsia="zh-CN"/>
        </w:rPr>
        <w:t>3</w:t>
      </w:r>
      <w:r>
        <w:rPr>
          <w:rFonts w:hint="eastAsia"/>
          <w:b/>
          <w:color w:val="auto"/>
          <w:sz w:val="21"/>
          <w:szCs w:val="21"/>
        </w:rPr>
        <w:t>.</w:t>
      </w:r>
      <w:r>
        <w:rPr>
          <w:rFonts w:hint="eastAsia"/>
          <w:b/>
          <w:color w:val="auto"/>
          <w:sz w:val="21"/>
          <w:szCs w:val="21"/>
          <w:lang w:val="en-US" w:eastAsia="zh-CN"/>
        </w:rPr>
        <w:t>2</w:t>
      </w:r>
      <w:r>
        <w:rPr>
          <w:b/>
          <w:color w:val="auto"/>
          <w:sz w:val="21"/>
          <w:szCs w:val="21"/>
        </w:rPr>
        <w:t>-</w:t>
      </w:r>
      <w:r>
        <w:rPr>
          <w:rFonts w:hint="eastAsia"/>
          <w:b/>
          <w:color w:val="auto"/>
          <w:sz w:val="21"/>
          <w:szCs w:val="21"/>
          <w:lang w:val="en-US" w:eastAsia="zh-CN"/>
        </w:rPr>
        <w:t xml:space="preserve">29 </w:t>
      </w:r>
      <w:r>
        <w:rPr>
          <w:b/>
          <w:color w:val="auto"/>
          <w:sz w:val="21"/>
          <w:szCs w:val="21"/>
        </w:rPr>
        <w:t xml:space="preserve"> </w:t>
      </w:r>
      <w:r>
        <w:rPr>
          <w:rFonts w:hint="eastAsia"/>
          <w:b/>
          <w:color w:val="auto"/>
          <w:sz w:val="21"/>
          <w:szCs w:val="21"/>
        </w:rPr>
        <w:t>本项目</w:t>
      </w:r>
      <w:r>
        <w:rPr>
          <w:b/>
          <w:color w:val="auto"/>
          <w:sz w:val="21"/>
          <w:szCs w:val="21"/>
        </w:rPr>
        <w:t>污染物排放汇总表   单位：t/a</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240"/>
        <w:gridCol w:w="3079"/>
        <w:gridCol w:w="1272"/>
        <w:gridCol w:w="1213"/>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16" w:type="pct"/>
            <w:gridSpan w:val="2"/>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种类</w:t>
            </w: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color w:val="auto"/>
                <w:sz w:val="21"/>
                <w:szCs w:val="21"/>
              </w:rPr>
            </w:pPr>
            <w:r>
              <w:rPr>
                <w:rFonts w:hint="eastAsia"/>
                <w:color w:val="auto"/>
                <w:sz w:val="21"/>
                <w:szCs w:val="21"/>
              </w:rPr>
              <w:t>污染物</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color w:val="auto"/>
                <w:sz w:val="21"/>
                <w:szCs w:val="21"/>
              </w:rPr>
            </w:pPr>
            <w:r>
              <w:rPr>
                <w:rFonts w:hint="eastAsia"/>
                <w:color w:val="auto"/>
                <w:sz w:val="21"/>
                <w:szCs w:val="21"/>
              </w:rPr>
              <w:t>产生量</w:t>
            </w:r>
          </w:p>
        </w:tc>
        <w:tc>
          <w:tcPr>
            <w:tcW w:w="711"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color w:val="auto"/>
                <w:sz w:val="21"/>
                <w:szCs w:val="21"/>
              </w:rPr>
            </w:pPr>
            <w:r>
              <w:rPr>
                <w:rFonts w:hint="eastAsia"/>
                <w:color w:val="auto"/>
                <w:sz w:val="21"/>
                <w:szCs w:val="21"/>
              </w:rPr>
              <w:t>削减量</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color w:val="auto"/>
                <w:sz w:val="21"/>
                <w:szCs w:val="21"/>
              </w:rPr>
            </w:pPr>
            <w:r>
              <w:rPr>
                <w:rFonts w:hint="eastAsia"/>
                <w:color w:val="auto"/>
                <w:sz w:val="21"/>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废水</w:t>
            </w: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污水总排口废水</w:t>
            </w: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废水量</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350327</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350327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COD</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105.1</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89.33</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BOD</w:t>
            </w:r>
            <w:r>
              <w:rPr>
                <w:color w:val="auto"/>
                <w:sz w:val="21"/>
                <w:szCs w:val="21"/>
                <w:vertAlign w:val="subscript"/>
              </w:rPr>
              <w:t>5</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52.55</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49.75</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SS</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42.04</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35.38</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17.52</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8.06</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动植物油</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0.35</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0.23</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废气</w:t>
            </w: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color w:val="auto"/>
                <w:sz w:val="21"/>
                <w:szCs w:val="21"/>
              </w:rPr>
              <w:t>污水处理站</w:t>
            </w: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rPr>
              <w:t>NH</w:t>
            </w:r>
            <w:r>
              <w:rPr>
                <w:rFonts w:hint="eastAsia"/>
                <w:color w:val="auto"/>
                <w:sz w:val="21"/>
                <w:szCs w:val="21"/>
                <w:vertAlign w:val="subscript"/>
              </w:rPr>
              <w:t>3</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0.1550 </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0.1381 </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0.0169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olor w:val="auto"/>
                <w:kern w:val="2"/>
                <w:sz w:val="21"/>
                <w:szCs w:val="21"/>
                <w:lang w:val="en-US" w:eastAsia="zh-CN" w:bidi="ar-SA"/>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74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0.0060 </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0.0053 </w:t>
            </w:r>
          </w:p>
        </w:tc>
        <w:tc>
          <w:tcPr>
            <w:tcW w:w="72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0.0007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rPr>
              <w:t>食堂</w:t>
            </w: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rPr>
              <w:t>油烟</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0.456</w:t>
            </w:r>
          </w:p>
        </w:tc>
        <w:tc>
          <w:tcPr>
            <w:tcW w:w="711"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0.388</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溴化锂空调</w:t>
            </w:r>
          </w:p>
        </w:tc>
        <w:tc>
          <w:tcPr>
            <w:tcW w:w="1805" w:type="pct"/>
            <w:noWrap w:val="0"/>
            <w:vAlign w:val="center"/>
          </w:tcPr>
          <w:p>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snapToGrid w:val="0"/>
                <w:color w:val="auto"/>
                <w:kern w:val="0"/>
                <w:sz w:val="21"/>
                <w:szCs w:val="21"/>
                <w:vertAlign w:val="baseline"/>
                <w:lang w:val="en-US" w:eastAsia="zh-CN" w:bidi="ar-SA"/>
              </w:rPr>
            </w:pPr>
            <w:r>
              <w:rPr>
                <w:rFonts w:hint="eastAsia"/>
                <w:color w:val="auto"/>
                <w:sz w:val="21"/>
                <w:szCs w:val="21"/>
                <w:lang w:val="en-US" w:eastAsia="zh-CN"/>
              </w:rPr>
              <w:t>SO</w:t>
            </w:r>
            <w:r>
              <w:rPr>
                <w:rFonts w:hint="eastAsia"/>
                <w:color w:val="auto"/>
                <w:sz w:val="21"/>
                <w:szCs w:val="21"/>
                <w:vertAlign w:val="subscript"/>
                <w:lang w:val="en-US" w:eastAsia="zh-CN"/>
              </w:rPr>
              <w:t>2</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snapToGrid w:val="0"/>
                <w:color w:val="auto"/>
                <w:kern w:val="0"/>
                <w:sz w:val="21"/>
                <w:szCs w:val="21"/>
                <w:vertAlign w:val="baseline"/>
                <w:lang w:val="en-US" w:eastAsia="zh-CN" w:bidi="ar-SA"/>
              </w:rPr>
            </w:pPr>
            <w:r>
              <w:rPr>
                <w:rFonts w:hint="eastAsia"/>
                <w:color w:val="auto"/>
                <w:sz w:val="21"/>
                <w:szCs w:val="21"/>
                <w:lang w:val="en-US" w:eastAsia="zh-CN"/>
              </w:rPr>
              <w:t>NO</w:t>
            </w:r>
            <w:r>
              <w:rPr>
                <w:rFonts w:hint="eastAsia"/>
                <w:color w:val="auto"/>
                <w:sz w:val="21"/>
                <w:szCs w:val="21"/>
                <w:vertAlign w:val="subscript"/>
                <w:lang w:val="en-US" w:eastAsia="zh-CN"/>
              </w:rPr>
              <w:t>X</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2.788</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snapToGrid w:val="0"/>
                <w:color w:val="auto"/>
                <w:kern w:val="0"/>
                <w:sz w:val="21"/>
                <w:szCs w:val="21"/>
                <w:vertAlign w:val="baseline"/>
                <w:lang w:val="en-US" w:eastAsia="zh-CN" w:bidi="ar-SA"/>
              </w:rPr>
            </w:pPr>
            <w:r>
              <w:rPr>
                <w:rFonts w:hint="eastAsia"/>
                <w:color w:val="auto"/>
                <w:sz w:val="21"/>
                <w:szCs w:val="21"/>
                <w:lang w:val="en-US" w:eastAsia="zh-CN"/>
              </w:rPr>
              <w:t>烟尘</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1.144</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olor w:val="auto"/>
                <w:kern w:val="2"/>
                <w:sz w:val="21"/>
                <w:szCs w:val="21"/>
                <w:lang w:val="en-US" w:eastAsia="zh-CN" w:bidi="ar-SA"/>
              </w:rPr>
            </w:pPr>
            <w:r>
              <w:rPr>
                <w:color w:val="auto"/>
                <w:sz w:val="21"/>
                <w:szCs w:val="21"/>
              </w:rPr>
              <w:t>柴油发电机</w:t>
            </w:r>
          </w:p>
        </w:tc>
        <w:tc>
          <w:tcPr>
            <w:tcW w:w="1805" w:type="pct"/>
            <w:noWrap w:val="0"/>
            <w:vAlign w:val="center"/>
          </w:tcPr>
          <w:p>
            <w:pPr>
              <w:keepNext w:val="0"/>
              <w:keepLines w:val="0"/>
              <w:pageBreakBefore w:val="0"/>
              <w:tabs>
                <w:tab w:val="left" w:pos="567"/>
              </w:tabs>
              <w:kinsoku/>
              <w:wordWrap/>
              <w:overflowPunct/>
              <w:topLinePunct w:val="0"/>
              <w:bidi w:val="0"/>
              <w:snapToGrid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color w:val="auto"/>
                <w:sz w:val="21"/>
                <w:szCs w:val="21"/>
              </w:rPr>
              <w:t>SO</w:t>
            </w:r>
            <w:r>
              <w:rPr>
                <w:color w:val="auto"/>
                <w:sz w:val="21"/>
                <w:szCs w:val="21"/>
                <w:vertAlign w:val="subscript"/>
              </w:rPr>
              <w:t>2</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0.00007</w:t>
            </w:r>
          </w:p>
        </w:tc>
        <w:tc>
          <w:tcPr>
            <w:tcW w:w="711"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67"/>
              </w:tabs>
              <w:kinsoku/>
              <w:wordWrap/>
              <w:overflowPunct/>
              <w:topLinePunct w:val="0"/>
              <w:bidi w:val="0"/>
              <w:snapToGrid w:val="0"/>
              <w:spacing w:line="240" w:lineRule="auto"/>
              <w:ind w:firstLine="0" w:firstLineChars="0"/>
              <w:jc w:val="center"/>
              <w:rPr>
                <w:rFonts w:hint="eastAsia" w:ascii="Times New Roman" w:hAnsi="Times New Roman" w:eastAsia="Calibri"/>
                <w:color w:val="auto"/>
                <w:kern w:val="2"/>
                <w:sz w:val="21"/>
                <w:szCs w:val="21"/>
                <w:lang w:val="en-US" w:eastAsia="zh-CN" w:bidi="ar-SA"/>
              </w:rPr>
            </w:pPr>
            <w:r>
              <w:rPr>
                <w:rFonts w:hint="eastAsia"/>
                <w:color w:val="auto"/>
                <w:sz w:val="21"/>
                <w:szCs w:val="21"/>
                <w:lang w:val="en-US" w:eastAsia="zh-CN"/>
              </w:rPr>
              <w:t>NOx</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0.0086</w:t>
            </w:r>
          </w:p>
        </w:tc>
        <w:tc>
          <w:tcPr>
            <w:tcW w:w="711"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67"/>
              </w:tabs>
              <w:kinsoku/>
              <w:wordWrap/>
              <w:overflowPunct/>
              <w:topLinePunct w:val="0"/>
              <w:bidi w:val="0"/>
              <w:snapToGrid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color w:val="auto"/>
                <w:sz w:val="21"/>
                <w:szCs w:val="21"/>
              </w:rPr>
              <w:t>烟尘</w:t>
            </w:r>
          </w:p>
        </w:tc>
        <w:tc>
          <w:tcPr>
            <w:tcW w:w="746"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0.00802</w:t>
            </w:r>
          </w:p>
        </w:tc>
        <w:tc>
          <w:tcPr>
            <w:tcW w:w="711"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0.0072</w:t>
            </w:r>
            <w:r>
              <w:rPr>
                <w:rFonts w:hint="eastAsia" w:ascii="Times New Roman" w:hAnsi="Times New Roman" w:eastAsia="宋体" w:cs="Times New Roman"/>
                <w:color w:val="auto"/>
                <w:sz w:val="21"/>
                <w:szCs w:val="21"/>
                <w:highlight w:val="none"/>
                <w:lang w:val="en-US" w:eastAsia="zh-CN"/>
              </w:rPr>
              <w:t>2</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固废</w:t>
            </w:r>
          </w:p>
        </w:tc>
        <w:tc>
          <w:tcPr>
            <w:tcW w:w="727"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办公、生活垃圾</w:t>
            </w: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r>
              <w:rPr>
                <w:color w:val="auto"/>
                <w:sz w:val="21"/>
                <w:szCs w:val="21"/>
              </w:rPr>
              <w:t>医务、管理人员、普通病人生活垃圾</w:t>
            </w:r>
            <w:r>
              <w:rPr>
                <w:rFonts w:hint="eastAsia" w:cs="宋体"/>
                <w:color w:val="auto"/>
                <w:sz w:val="21"/>
                <w:szCs w:val="21"/>
                <w:lang w:eastAsia="zh-CN"/>
              </w:rPr>
              <w:t>；</w:t>
            </w:r>
            <w:r>
              <w:rPr>
                <w:color w:val="auto"/>
                <w:sz w:val="21"/>
                <w:szCs w:val="21"/>
              </w:rPr>
              <w:t>医务、管理人员办公垃圾</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542.025</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542.025</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一般废物</w:t>
            </w: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未被污染的输液瓶（袋）</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10</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10</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lang w:val="en-US" w:eastAsia="zh-CN"/>
              </w:rPr>
              <w:t>废离子交换树脂</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ascii="Times New Roman" w:hAnsi="Times New Roman" w:eastAsia="Calibri"/>
                <w:color w:val="auto"/>
                <w:kern w:val="2"/>
                <w:sz w:val="21"/>
                <w:szCs w:val="21"/>
                <w:lang w:val="en-US" w:eastAsia="zh-CN" w:bidi="ar-SA"/>
              </w:rPr>
            </w:pPr>
            <w:r>
              <w:rPr>
                <w:rFonts w:hint="eastAsia" w:eastAsia="Calibri"/>
                <w:color w:val="auto"/>
                <w:sz w:val="21"/>
                <w:szCs w:val="21"/>
                <w:lang w:val="en-US" w:eastAsia="zh-CN"/>
              </w:rPr>
              <w:t>2</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ascii="Times New Roman" w:hAnsi="Times New Roman" w:eastAsia="Calibri"/>
                <w:color w:val="auto"/>
                <w:kern w:val="2"/>
                <w:sz w:val="21"/>
                <w:szCs w:val="21"/>
                <w:lang w:val="en-US" w:eastAsia="zh-CN" w:bidi="ar-SA"/>
              </w:rPr>
            </w:pPr>
            <w:r>
              <w:rPr>
                <w:rFonts w:hint="eastAsia" w:eastAsia="Calibri"/>
                <w:color w:val="auto"/>
                <w:sz w:val="21"/>
                <w:szCs w:val="21"/>
                <w:lang w:val="en-US" w:eastAsia="zh-CN"/>
              </w:rPr>
              <w:t>2</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废空气过滤器</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1.1</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1.1</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危险废物</w:t>
            </w: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r>
              <w:rPr>
                <w:color w:val="auto"/>
                <w:sz w:val="21"/>
                <w:szCs w:val="21"/>
              </w:rPr>
              <w:t>病理性废物（</w:t>
            </w:r>
            <w:r>
              <w:rPr>
                <w:color w:val="auto"/>
                <w:kern w:val="0"/>
                <w:sz w:val="21"/>
                <w:szCs w:val="21"/>
              </w:rPr>
              <w:t>HW851-001-01）</w:t>
            </w:r>
          </w:p>
        </w:tc>
        <w:tc>
          <w:tcPr>
            <w:tcW w:w="746" w:type="pct"/>
            <w:vMerge w:val="restar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eastAsia="Calibri"/>
                <w:color w:val="auto"/>
                <w:sz w:val="21"/>
                <w:szCs w:val="21"/>
                <w:lang w:val="en-US" w:eastAsia="zh-CN"/>
              </w:rPr>
              <w:t>547.5</w:t>
            </w:r>
          </w:p>
        </w:tc>
        <w:tc>
          <w:tcPr>
            <w:tcW w:w="711" w:type="pct"/>
            <w:vMerge w:val="restar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color w:val="auto"/>
                <w:sz w:val="21"/>
                <w:szCs w:val="21"/>
                <w:lang w:val="en-US" w:eastAsia="zh-CN"/>
              </w:rPr>
              <w:t>547.5</w:t>
            </w:r>
          </w:p>
        </w:tc>
        <w:tc>
          <w:tcPr>
            <w:tcW w:w="720" w:type="pct"/>
            <w:vMerge w:val="restar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r>
              <w:rPr>
                <w:color w:val="auto"/>
                <w:sz w:val="21"/>
                <w:szCs w:val="21"/>
              </w:rPr>
              <w:t>损伤性废物（</w:t>
            </w:r>
            <w:r>
              <w:rPr>
                <w:color w:val="auto"/>
                <w:kern w:val="0"/>
                <w:sz w:val="21"/>
                <w:szCs w:val="21"/>
              </w:rPr>
              <w:t>HW851-001-01）</w:t>
            </w:r>
          </w:p>
        </w:tc>
        <w:tc>
          <w:tcPr>
            <w:tcW w:w="746"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p>
        </w:tc>
        <w:tc>
          <w:tcPr>
            <w:tcW w:w="711"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p>
        </w:tc>
        <w:tc>
          <w:tcPr>
            <w:tcW w:w="720"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r>
              <w:rPr>
                <w:color w:val="auto"/>
                <w:sz w:val="21"/>
                <w:szCs w:val="21"/>
              </w:rPr>
              <w:t>药物性废物（</w:t>
            </w:r>
            <w:r>
              <w:rPr>
                <w:color w:val="auto"/>
                <w:kern w:val="0"/>
                <w:sz w:val="21"/>
                <w:szCs w:val="21"/>
              </w:rPr>
              <w:t>HW900-002-03）</w:t>
            </w:r>
          </w:p>
        </w:tc>
        <w:tc>
          <w:tcPr>
            <w:tcW w:w="746"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p>
        </w:tc>
        <w:tc>
          <w:tcPr>
            <w:tcW w:w="711"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p>
        </w:tc>
        <w:tc>
          <w:tcPr>
            <w:tcW w:w="720"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color w:val="auto"/>
                <w:sz w:val="21"/>
                <w:szCs w:val="21"/>
              </w:rPr>
            </w:pPr>
            <w:r>
              <w:rPr>
                <w:rFonts w:hint="eastAsia"/>
                <w:color w:val="auto"/>
                <w:sz w:val="21"/>
                <w:szCs w:val="21"/>
              </w:rPr>
              <w:t>化学性废物（HW851-001-01</w:t>
            </w:r>
            <w:r>
              <w:rPr>
                <w:rFonts w:hint="eastAsia" w:ascii="宋体" w:cs="宋体"/>
                <w:color w:val="auto"/>
                <w:kern w:val="0"/>
                <w:sz w:val="21"/>
                <w:szCs w:val="21"/>
              </w:rPr>
              <w:t>）</w:t>
            </w:r>
          </w:p>
        </w:tc>
        <w:tc>
          <w:tcPr>
            <w:tcW w:w="746"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color w:val="auto"/>
                <w:sz w:val="21"/>
                <w:szCs w:val="21"/>
              </w:rPr>
            </w:pPr>
          </w:p>
        </w:tc>
        <w:tc>
          <w:tcPr>
            <w:tcW w:w="711" w:type="pct"/>
            <w:vMerge w:val="continue"/>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color w:val="auto"/>
                <w:sz w:val="21"/>
                <w:szCs w:val="21"/>
              </w:rPr>
            </w:pPr>
          </w:p>
        </w:tc>
        <w:tc>
          <w:tcPr>
            <w:tcW w:w="720"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 xml:space="preserve">废活性炭（ </w:t>
            </w:r>
            <w:r>
              <w:rPr>
                <w:color w:val="auto"/>
                <w:kern w:val="0"/>
                <w:sz w:val="21"/>
                <w:szCs w:val="21"/>
              </w:rPr>
              <w:t>HW</w:t>
            </w:r>
            <w:r>
              <w:rPr>
                <w:rFonts w:hint="eastAsia"/>
                <w:color w:val="auto"/>
                <w:sz w:val="21"/>
                <w:szCs w:val="21"/>
                <w:lang w:eastAsia="zh-CN"/>
              </w:rPr>
              <w:t xml:space="preserve">900-039-49） </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0.775</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0.775</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rFonts w:hint="eastAsia"/>
                <w:color w:val="auto"/>
                <w:sz w:val="21"/>
                <w:szCs w:val="21"/>
                <w:lang w:eastAsia="zh-CN"/>
              </w:rPr>
            </w:pPr>
            <w:r>
              <w:rPr>
                <w:rFonts w:hint="eastAsia"/>
                <w:color w:val="auto"/>
                <w:sz w:val="21"/>
                <w:szCs w:val="21"/>
                <w:lang w:eastAsia="zh-CN"/>
              </w:rPr>
              <w:t>废UV灯管（</w:t>
            </w:r>
            <w:r>
              <w:rPr>
                <w:color w:val="auto"/>
                <w:kern w:val="0"/>
                <w:sz w:val="21"/>
                <w:szCs w:val="21"/>
              </w:rPr>
              <w:t>HW</w:t>
            </w:r>
            <w:r>
              <w:rPr>
                <w:rFonts w:hint="eastAsia"/>
                <w:color w:val="auto"/>
                <w:sz w:val="21"/>
                <w:szCs w:val="21"/>
                <w:lang w:eastAsia="zh-CN"/>
              </w:rPr>
              <w:t>900-023-29）</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0.02</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0.02</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9"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727" w:type="pct"/>
            <w:vMerge w:val="continue"/>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p>
        </w:tc>
        <w:tc>
          <w:tcPr>
            <w:tcW w:w="1805"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废水处理污泥（</w:t>
            </w:r>
            <w:r>
              <w:rPr>
                <w:color w:val="auto"/>
                <w:kern w:val="0"/>
                <w:sz w:val="21"/>
                <w:szCs w:val="21"/>
              </w:rPr>
              <w:t>HW851-001-01）</w:t>
            </w:r>
          </w:p>
        </w:tc>
        <w:tc>
          <w:tcPr>
            <w:tcW w:w="746"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color w:val="auto"/>
                <w:sz w:val="21"/>
                <w:szCs w:val="21"/>
                <w:lang w:val="en-US" w:eastAsia="zh-CN"/>
              </w:rPr>
              <w:t>3.6</w:t>
            </w:r>
          </w:p>
        </w:tc>
        <w:tc>
          <w:tcPr>
            <w:tcW w:w="711" w:type="pct"/>
            <w:noWrap w:val="0"/>
            <w:vAlign w:val="center"/>
          </w:tcPr>
          <w:p>
            <w:pPr>
              <w:keepNext w:val="0"/>
              <w:keepLines w:val="0"/>
              <w:pageBreakBefore w:val="0"/>
              <w:tabs>
                <w:tab w:val="left" w:pos="5226"/>
              </w:tabs>
              <w:kinsoku/>
              <w:wordWrap/>
              <w:overflowPunct/>
              <w:topLinePunct w:val="0"/>
              <w:bidi w:val="0"/>
              <w:spacing w:line="240" w:lineRule="auto"/>
              <w:ind w:firstLine="0" w:firstLineChars="0"/>
              <w:jc w:val="center"/>
              <w:rPr>
                <w:rFonts w:hint="default" w:eastAsia="Calibri"/>
                <w:color w:val="auto"/>
                <w:sz w:val="21"/>
                <w:szCs w:val="21"/>
                <w:lang w:val="en-US" w:eastAsia="zh-CN"/>
              </w:rPr>
            </w:pPr>
            <w:r>
              <w:rPr>
                <w:rFonts w:hint="eastAsia"/>
                <w:color w:val="auto"/>
                <w:sz w:val="21"/>
                <w:szCs w:val="21"/>
                <w:lang w:val="en-US" w:eastAsia="zh-CN"/>
              </w:rPr>
              <w:t>3.6</w:t>
            </w:r>
          </w:p>
        </w:tc>
        <w:tc>
          <w:tcPr>
            <w:tcW w:w="720" w:type="pct"/>
            <w:noWrap w:val="0"/>
            <w:vAlign w:val="center"/>
          </w:tcPr>
          <w:p>
            <w:pPr>
              <w:keepNext w:val="0"/>
              <w:keepLines w:val="0"/>
              <w:pageBreakBefore w:val="0"/>
              <w:kinsoku/>
              <w:wordWrap/>
              <w:overflowPunct/>
              <w:topLinePunct w:val="0"/>
              <w:bidi w:val="0"/>
              <w:spacing w:line="240" w:lineRule="auto"/>
              <w:ind w:firstLine="0" w:firstLineChars="0"/>
              <w:jc w:val="center"/>
              <w:rPr>
                <w:color w:val="auto"/>
                <w:sz w:val="21"/>
                <w:szCs w:val="21"/>
              </w:rPr>
            </w:pPr>
            <w:r>
              <w:rPr>
                <w:color w:val="auto"/>
                <w:sz w:val="21"/>
                <w:szCs w:val="21"/>
              </w:rPr>
              <w:t>0</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rPr>
      </w:pPr>
      <w:r>
        <w:rPr>
          <w:rFonts w:hint="eastAsia"/>
          <w:b/>
          <w:bCs/>
          <w:color w:val="auto"/>
          <w:sz w:val="21"/>
          <w:szCs w:val="21"/>
        </w:rPr>
        <w:t>注：固废所列数据为产生量，均通过安全处置，不外排，排放量为0。</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color w:val="auto"/>
          <w:sz w:val="21"/>
          <w:szCs w:val="21"/>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3"/>
        <w:keepNext/>
        <w:keepLines/>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color w:val="auto"/>
        </w:rPr>
      </w:pPr>
      <w:bookmarkStart w:id="48" w:name="_Toc7331"/>
      <w:r>
        <w:rPr>
          <w:rFonts w:hint="eastAsia"/>
          <w:color w:val="auto"/>
          <w:lang w:val="en-US" w:eastAsia="zh-CN"/>
        </w:rPr>
        <w:t>4</w:t>
      </w:r>
      <w:r>
        <w:rPr>
          <w:rFonts w:hint="eastAsia"/>
          <w:color w:val="auto"/>
        </w:rPr>
        <w:t>环境质量现状评价</w:t>
      </w:r>
      <w:bookmarkEnd w:id="48"/>
    </w:p>
    <w:p>
      <w:pPr>
        <w:pStyle w:val="4"/>
        <w:numPr>
          <w:ilvl w:val="1"/>
          <w:numId w:val="0"/>
        </w:numPr>
        <w:spacing w:line="540" w:lineRule="exact"/>
        <w:ind w:leftChars="0"/>
        <w:rPr>
          <w:rFonts w:hint="eastAsia" w:ascii="Times New Roman" w:hAnsi="Times New Roman"/>
          <w:b/>
          <w:bCs w:val="0"/>
          <w:color w:val="auto"/>
          <w:sz w:val="28"/>
          <w:szCs w:val="28"/>
        </w:rPr>
      </w:pPr>
      <w:bookmarkStart w:id="49" w:name="_Toc29498"/>
      <w:bookmarkStart w:id="50" w:name="_Toc453837805"/>
      <w:bookmarkStart w:id="51" w:name="_Toc403136474"/>
      <w:bookmarkStart w:id="52" w:name="_Toc135"/>
      <w:bookmarkStart w:id="53" w:name="_Toc20186"/>
      <w:bookmarkStart w:id="54" w:name="_Toc367606165"/>
      <w:bookmarkStart w:id="55" w:name="_Toc24064"/>
      <w:r>
        <w:rPr>
          <w:rFonts w:hint="eastAsia"/>
          <w:b/>
          <w:bCs w:val="0"/>
          <w:color w:val="auto"/>
          <w:sz w:val="28"/>
          <w:szCs w:val="28"/>
          <w:lang w:val="en-US" w:eastAsia="zh-CN"/>
        </w:rPr>
        <w:t>4</w:t>
      </w:r>
      <w:r>
        <w:rPr>
          <w:rFonts w:hint="eastAsia" w:ascii="Times New Roman" w:hAnsi="Times New Roman"/>
          <w:b/>
          <w:bCs w:val="0"/>
          <w:color w:val="auto"/>
          <w:sz w:val="28"/>
          <w:szCs w:val="28"/>
        </w:rPr>
        <w:t>.1自然环境</w:t>
      </w:r>
      <w:bookmarkEnd w:id="49"/>
      <w:bookmarkEnd w:id="50"/>
      <w:bookmarkEnd w:id="51"/>
      <w:bookmarkEnd w:id="52"/>
      <w:bookmarkEnd w:id="53"/>
      <w:bookmarkEnd w:id="54"/>
      <w:bookmarkEnd w:id="55"/>
    </w:p>
    <w:p>
      <w:pPr>
        <w:pStyle w:val="5"/>
        <w:numPr>
          <w:ilvl w:val="2"/>
          <w:numId w:val="0"/>
        </w:numPr>
        <w:spacing w:before="120" w:after="120" w:line="360" w:lineRule="auto"/>
        <w:jc w:val="both"/>
        <w:rPr>
          <w:rFonts w:hint="eastAsia"/>
          <w:color w:val="auto"/>
          <w:sz w:val="24"/>
          <w:szCs w:val="24"/>
          <w:lang w:val="en-US" w:eastAsia="zh-CN"/>
        </w:rPr>
      </w:pPr>
      <w:bookmarkStart w:id="56" w:name="_Toc453837806"/>
      <w:bookmarkStart w:id="57" w:name="_Toc447722167"/>
      <w:bookmarkStart w:id="58" w:name="_Toc13773"/>
      <w:r>
        <w:rPr>
          <w:rFonts w:hint="eastAsia"/>
          <w:color w:val="auto"/>
          <w:sz w:val="24"/>
          <w:szCs w:val="24"/>
          <w:lang w:val="en-US" w:eastAsia="zh-CN"/>
        </w:rPr>
        <w:t>4</w:t>
      </w:r>
      <w:r>
        <w:rPr>
          <w:rFonts w:hint="eastAsia"/>
          <w:color w:val="auto"/>
          <w:sz w:val="24"/>
          <w:szCs w:val="24"/>
        </w:rPr>
        <w:t>.1.1</w:t>
      </w:r>
      <w:r>
        <w:rPr>
          <w:rFonts w:hint="eastAsia"/>
          <w:color w:val="auto"/>
          <w:sz w:val="24"/>
          <w:szCs w:val="24"/>
          <w:lang w:val="en-US" w:eastAsia="zh-CN"/>
        </w:rPr>
        <w:t>地理位置</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eastAsia="宋体" w:cs="Times New Roman"/>
          <w:color w:val="auto"/>
          <w:szCs w:val="22"/>
        </w:rPr>
        <w:t>合肥市位于安徽省中部，北纬 31 度 52 分、东经 117 度 17 分。北与淮南市接壤，南与安庆市相连，东与滁州市、马鞍山市、芜湖市毗邻，西与六安市交界。合肥市辖区庐阳区、包河区、瑶海区、蜀山区、巢湖市、肥东县、肥西县、长丰县，并赋予合肥高新技术产业开发区、合肥经济开发区、合肥空港经济示范区、巢湖经辖区济开发区市级管理权限。全市面积 11408.48平方公里（其中巢湖水面面积 769.5 平方公里），市区总面积 838.52 平方公里，建成区面积 360 平方公里</w:t>
      </w:r>
      <w:r>
        <w:rPr>
          <w:rFonts w:hint="default" w:ascii="Times New Roman" w:hAnsi="Times New Roman" w:cs="Times New Roman"/>
          <w:color w:val="auto"/>
          <w:sz w:val="24"/>
        </w:rPr>
        <w:t>。</w:t>
      </w:r>
    </w:p>
    <w:p>
      <w:pPr>
        <w:pStyle w:val="5"/>
        <w:numPr>
          <w:ilvl w:val="2"/>
          <w:numId w:val="0"/>
        </w:numPr>
        <w:spacing w:before="120" w:after="120" w:line="360" w:lineRule="auto"/>
        <w:jc w:val="both"/>
        <w:rPr>
          <w:rFonts w:hint="eastAsia"/>
          <w:color w:val="auto"/>
          <w:sz w:val="24"/>
          <w:szCs w:val="24"/>
        </w:rPr>
      </w:pPr>
      <w:r>
        <w:rPr>
          <w:rFonts w:hint="eastAsia"/>
          <w:color w:val="auto"/>
          <w:sz w:val="24"/>
          <w:szCs w:val="24"/>
          <w:lang w:val="en-US" w:eastAsia="zh-CN"/>
        </w:rPr>
        <w:t>4.1.2</w:t>
      </w:r>
      <w:r>
        <w:rPr>
          <w:rFonts w:hint="eastAsia"/>
          <w:color w:val="auto"/>
          <w:sz w:val="24"/>
          <w:szCs w:val="24"/>
        </w:rPr>
        <w:t>地形、地貌、地质</w:t>
      </w:r>
      <w:bookmarkEnd w:id="56"/>
      <w:bookmarkEnd w:id="57"/>
      <w:bookmarkEnd w:id="58"/>
    </w:p>
    <w:p>
      <w:pPr>
        <w:spacing w:line="360" w:lineRule="auto"/>
        <w:ind w:firstLine="480" w:firstLineChars="200"/>
        <w:rPr>
          <w:rFonts w:hint="default" w:ascii="Times New Roman" w:hAnsi="Times New Roman" w:eastAsia="宋体" w:cs="Times New Roman"/>
          <w:color w:val="auto"/>
        </w:rPr>
      </w:pPr>
      <w:bookmarkStart w:id="59" w:name="_Toc453837808"/>
      <w:bookmarkStart w:id="60" w:name="_Toc11134"/>
      <w:bookmarkStart w:id="61" w:name="_Toc447722169"/>
      <w:r>
        <w:rPr>
          <w:rFonts w:hint="default" w:ascii="Times New Roman" w:hAnsi="Times New Roman" w:eastAsia="宋体" w:cs="Times New Roman"/>
          <w:color w:val="auto"/>
        </w:rPr>
        <w:t xml:space="preserve">合肥市处于古老的江淮丘陵，北起舜耕山南，南至巢湖盆地周围，大部分地域岗冲起伏，垄畈相间。江淮分水岭横贯市域中部，以南为长江水系，地势由北向南倾斜，沿巢湖一带形成冲积平原，地势平坦，土地肥沃，圩畈延绵；以北为淮河水系，地势由南向北倾斜，大部分为海拔 30-50m 的台地，沿瓦埠湖、高塘湖周围有小块狭长的冲积平原。合肥市地势西北高、东南低、地貌波状起伏，以侵蚀堆积地形和堆积地形为主，可分为丘陵、缓低岗和平原 3 个地貌单元，大蜀山平地突起，山峰海拔 282 米，为市区最高点。滨湖平原位于巢湖北岸，包括大圩、义城等乡镇的圩区。巢湖沿岸海拔仅 3~5m，是合肥最低的地方。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合肥地区属于下扬子海槽和淮阳古陆边缘地带。震旦纪前，该地为烟波浩淼的海浸区，吕梁造山运动，产生了淮阳高地与古大别山。白垩纪的燕山运动，江淮间出现皱褶，形成了江淮丘陵。第四纪的喜马拉雅运动，地壳升降、断裂、波折，出现西东走向的江淮分水岭，形成江淮分水格局。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合肥地区断层较为发育，除郯庐（山东省郯城至安徽省庐江）深断裂通过其东部外，境内断层纵横。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1、肥中断裂（F1）：总体走向近东西，压扭性，形成时期较早，是合肥纬向构造带的断裂之一。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2、合肥－义城集断裂（F2）：总体走向 NNW，压扭性，东盘北移，西盘南移，贯穿整个区域。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3、合肥－东关断裂（F3）：走向 NW，压扭性，形成时期较晚，切割区内的断裂构造。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4、合肥－千人桥断裂（F4）：走向 NNE，压性，贯穿整个区域。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5、义城集－三河镇断裂（F5）：走向 NNE，压性，贯穿整个区域，与 F4均属于新华夏构造体系中的断裂。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6、肥东－西山驿断裂（F6）：走向 NW，压扭性，穿过肥东县城。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7、六安－合肥断裂（F7）：总体走向近 EW，压扭性。 </w:t>
      </w:r>
    </w:p>
    <w:p>
      <w:pPr>
        <w:spacing w:line="360" w:lineRule="auto"/>
        <w:ind w:firstLine="480" w:firstLineChars="200"/>
        <w:rPr>
          <w:rFonts w:hint="default" w:ascii="Times New Roman" w:hAnsi="Times New Roman" w:eastAsia="宋体" w:cs="Times New Roman"/>
          <w:color w:val="auto"/>
          <w:szCs w:val="22"/>
        </w:rPr>
      </w:pPr>
      <w:r>
        <w:rPr>
          <w:rFonts w:hint="default" w:ascii="Times New Roman" w:hAnsi="Times New Roman" w:eastAsia="宋体" w:cs="Times New Roman"/>
          <w:color w:val="auto"/>
          <w:szCs w:val="22"/>
        </w:rPr>
        <w:t xml:space="preserve">从区域构造上，合肥市受东部五河～合肥断裂(郯～庐断裂带的西界断裂)的影响。合肥～巢湖一带有记载的有感地震约 70 次，其中五级以上 3 次。 </w:t>
      </w:r>
    </w:p>
    <w:p>
      <w:pPr>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eastAsia="宋体" w:cs="Times New Roman"/>
          <w:color w:val="auto"/>
          <w:szCs w:val="22"/>
        </w:rPr>
        <w:t>国家地震部门在综合分析的基础上，确定合肥市抗震设防烈度为 7 度</w:t>
      </w:r>
      <w:r>
        <w:rPr>
          <w:rFonts w:hint="default" w:ascii="Times New Roman" w:hAnsi="Times New Roman" w:cs="Times New Roman"/>
          <w:color w:val="auto"/>
          <w:sz w:val="24"/>
        </w:rPr>
        <w:t>。</w:t>
      </w:r>
    </w:p>
    <w:p>
      <w:pPr>
        <w:pStyle w:val="5"/>
        <w:numPr>
          <w:ilvl w:val="2"/>
          <w:numId w:val="0"/>
        </w:numPr>
        <w:spacing w:before="120" w:after="120" w:line="360" w:lineRule="auto"/>
        <w:rPr>
          <w:rFonts w:hint="eastAsia" w:eastAsia="宋体"/>
          <w:color w:val="auto"/>
          <w:sz w:val="24"/>
          <w:szCs w:val="24"/>
          <w:lang w:val="en-US" w:eastAsia="zh-CN"/>
        </w:rPr>
      </w:pPr>
      <w:r>
        <w:rPr>
          <w:rFonts w:hint="eastAsia"/>
          <w:color w:val="auto"/>
          <w:sz w:val="24"/>
          <w:szCs w:val="24"/>
          <w:lang w:val="en-US" w:eastAsia="zh-CN"/>
        </w:rPr>
        <w:t>4</w:t>
      </w:r>
      <w:r>
        <w:rPr>
          <w:rFonts w:hint="eastAsia"/>
          <w:color w:val="auto"/>
          <w:sz w:val="24"/>
          <w:szCs w:val="24"/>
        </w:rPr>
        <w:t>.1.3</w:t>
      </w:r>
      <w:bookmarkEnd w:id="59"/>
      <w:bookmarkEnd w:id="60"/>
      <w:bookmarkEnd w:id="61"/>
      <w:r>
        <w:rPr>
          <w:rFonts w:hint="eastAsia"/>
          <w:color w:val="auto"/>
          <w:sz w:val="24"/>
          <w:szCs w:val="24"/>
          <w:lang w:eastAsia="zh-CN"/>
        </w:rPr>
        <w:t>气候、气象</w:t>
      </w:r>
    </w:p>
    <w:p>
      <w:pPr>
        <w:spacing w:line="360" w:lineRule="auto"/>
        <w:ind w:firstLine="480" w:firstLineChars="200"/>
        <w:rPr>
          <w:rFonts w:hint="default" w:ascii="Times New Roman" w:hAnsi="Times New Roman" w:eastAsia="宋体" w:cs="Times New Roman"/>
          <w:color w:val="auto"/>
        </w:rPr>
      </w:pPr>
      <w:bookmarkStart w:id="62" w:name="_Toc447722170"/>
      <w:bookmarkStart w:id="63" w:name="_Toc453837809"/>
      <w:r>
        <w:rPr>
          <w:rFonts w:hint="default" w:ascii="Times New Roman" w:hAnsi="Times New Roman" w:eastAsia="宋体" w:cs="Times New Roman"/>
          <w:color w:val="auto"/>
        </w:rPr>
        <w:t>项目所在地区属亚热带季风湿润气候区，具有四季分明、气候温和、日照充足、雨量充沛、无霜期较长的特点。年平均气温16℃，极端最高气温41.0℃，极端最低气温-20.6℃。</w:t>
      </w:r>
    </w:p>
    <w:p>
      <w:pPr>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合肥市平均降水量为998.4mm，最大降水量1541.96mm（1954年），最小降水量573.0mm（1978年），降水量年内分配明显不均，其中6～8月份降水量最多，约为全年的42％，历年年平均蒸发量1495.1mm。</w:t>
      </w:r>
    </w:p>
    <w:p>
      <w:pPr>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rPr>
        <w:t>合肥市全年主要风向为东（E）风，夏季多东（E）风和东南偏东（ESE）风，冬季多东（E）风和西北偏北（NWN）风。历年最大风速为21.3m/s，多年平均风速为2.8m/s</w:t>
      </w:r>
      <w:r>
        <w:rPr>
          <w:rFonts w:hint="default" w:ascii="Times New Roman" w:hAnsi="Times New Roman" w:cs="Times New Roman"/>
          <w:color w:val="auto"/>
          <w:sz w:val="24"/>
        </w:rPr>
        <w:t>。</w:t>
      </w:r>
    </w:p>
    <w:p>
      <w:pPr>
        <w:pStyle w:val="5"/>
        <w:numPr>
          <w:ilvl w:val="2"/>
          <w:numId w:val="0"/>
        </w:numPr>
        <w:spacing w:before="120" w:after="120" w:line="360" w:lineRule="auto"/>
        <w:rPr>
          <w:rFonts w:hint="eastAsia" w:eastAsia="宋体"/>
          <w:color w:val="auto"/>
          <w:sz w:val="24"/>
          <w:szCs w:val="24"/>
          <w:lang w:eastAsia="zh-CN"/>
        </w:rPr>
      </w:pPr>
      <w:r>
        <w:rPr>
          <w:rFonts w:hint="eastAsia"/>
          <w:color w:val="auto"/>
          <w:sz w:val="24"/>
          <w:szCs w:val="24"/>
          <w:lang w:val="en-US" w:eastAsia="zh-CN"/>
        </w:rPr>
        <w:t>4</w:t>
      </w:r>
      <w:r>
        <w:rPr>
          <w:rFonts w:hint="eastAsia"/>
          <w:color w:val="auto"/>
          <w:sz w:val="24"/>
          <w:szCs w:val="24"/>
        </w:rPr>
        <w:t>.1.4</w:t>
      </w:r>
      <w:bookmarkEnd w:id="62"/>
      <w:bookmarkEnd w:id="63"/>
      <w:r>
        <w:rPr>
          <w:rFonts w:hint="eastAsia"/>
          <w:color w:val="auto"/>
          <w:sz w:val="24"/>
          <w:szCs w:val="24"/>
          <w:lang w:eastAsia="zh-CN"/>
        </w:rPr>
        <w:t>土壤</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lang w:eastAsia="zh-CN"/>
        </w:rPr>
      </w:pPr>
      <w:bookmarkStart w:id="64" w:name="_Toc453837813"/>
      <w:bookmarkStart w:id="65" w:name="_Toc447722174"/>
      <w:bookmarkStart w:id="66" w:name="_Toc30013"/>
      <w:r>
        <w:rPr>
          <w:rFonts w:hint="eastAsia"/>
          <w:color w:val="auto"/>
          <w:lang w:eastAsia="zh-CN"/>
        </w:rPr>
        <w:t>合肥地区土壤以黄棕壤、水稻土两类为主要土壤，约占全部土壤的85%。其余为石灰(岩)土、紫色土和砂黑土。全市境域内土壤酸碱度适中，一般中性偏酸，较适宜各种作物生长。</w:t>
      </w:r>
    </w:p>
    <w:p>
      <w:pPr>
        <w:pStyle w:val="5"/>
        <w:numPr>
          <w:ilvl w:val="2"/>
          <w:numId w:val="0"/>
        </w:numPr>
        <w:spacing w:before="120" w:after="120" w:line="360" w:lineRule="auto"/>
        <w:rPr>
          <w:rFonts w:hint="default" w:eastAsia="宋体"/>
          <w:color w:val="auto"/>
          <w:sz w:val="24"/>
          <w:szCs w:val="24"/>
          <w:lang w:val="en-US" w:eastAsia="zh-CN"/>
        </w:rPr>
      </w:pPr>
      <w:r>
        <w:rPr>
          <w:rFonts w:hint="eastAsia"/>
          <w:color w:val="auto"/>
          <w:sz w:val="24"/>
          <w:szCs w:val="24"/>
          <w:lang w:eastAsia="zh-CN"/>
        </w:rPr>
        <w:t>5</w:t>
      </w:r>
      <w:r>
        <w:rPr>
          <w:rFonts w:hint="eastAsia"/>
          <w:color w:val="auto"/>
          <w:sz w:val="24"/>
          <w:szCs w:val="24"/>
        </w:rPr>
        <w:t>.</w:t>
      </w:r>
      <w:r>
        <w:rPr>
          <w:rFonts w:hint="eastAsia"/>
          <w:color w:val="auto"/>
          <w:sz w:val="24"/>
          <w:szCs w:val="24"/>
          <w:lang w:val="en-US" w:eastAsia="zh-CN"/>
        </w:rPr>
        <w:t>1</w:t>
      </w:r>
      <w:r>
        <w:rPr>
          <w:rFonts w:hint="eastAsia"/>
          <w:color w:val="auto"/>
          <w:sz w:val="24"/>
          <w:szCs w:val="24"/>
        </w:rPr>
        <w:t>.</w:t>
      </w:r>
      <w:r>
        <w:rPr>
          <w:rFonts w:hint="eastAsia"/>
          <w:color w:val="auto"/>
          <w:sz w:val="24"/>
          <w:szCs w:val="24"/>
          <w:lang w:val="en-US" w:eastAsia="zh-CN"/>
        </w:rPr>
        <w:t>5</w:t>
      </w:r>
      <w:bookmarkEnd w:id="64"/>
      <w:bookmarkEnd w:id="65"/>
      <w:bookmarkEnd w:id="66"/>
      <w:r>
        <w:rPr>
          <w:rFonts w:hint="eastAsia"/>
          <w:color w:val="auto"/>
          <w:sz w:val="24"/>
          <w:szCs w:val="24"/>
          <w:lang w:val="en-US" w:eastAsia="zh-CN"/>
        </w:rPr>
        <w:t>地表水系</w:t>
      </w:r>
    </w:p>
    <w:p>
      <w:pPr>
        <w:pStyle w:val="30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合肥的河流江淮分水岭为界，分属长江、淮河两大水系。分水岭北侧属淮河水系，有高塘湖、池河等；分水岭南侧属长江水系，注入巢湖的有南淝河、派河、十五里河等。南淝河水源从董铺水库大坝以下由西北向东南流经合肥市区，至施口入巢湖，期间汇合四里河、板桥河、二十埠河和店埠河等支流。</w:t>
      </w:r>
    </w:p>
    <w:p>
      <w:pPr>
        <w:pStyle w:val="303"/>
        <w:spacing w:line="360" w:lineRule="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项目所处的新站规划区内水体主要有板桥河、二十埠河、店埠河、南淝河上游。本项目废水经于湾污水处理</w:t>
      </w:r>
      <w:r>
        <w:rPr>
          <w:rFonts w:hint="eastAsia" w:ascii="Times New Roman" w:hAnsi="Times New Roman" w:eastAsia="宋体" w:cs="Times New Roman"/>
          <w:b w:val="0"/>
          <w:bCs w:val="0"/>
          <w:color w:val="auto"/>
          <w:lang w:eastAsia="zh-CN"/>
        </w:rPr>
        <w:t>厂</w:t>
      </w:r>
      <w:r>
        <w:rPr>
          <w:rFonts w:hint="default" w:ascii="Times New Roman" w:hAnsi="Times New Roman" w:eastAsia="宋体" w:cs="Times New Roman"/>
          <w:b w:val="0"/>
          <w:bCs w:val="0"/>
          <w:color w:val="auto"/>
        </w:rPr>
        <w:t>处理后排入小板桥河。小板桥河是合肥东部的重要季节性河流——二十埠河的东支段，小板桥河汇入二十埠河后，最终流向巢湖。小板桥河是二十埠河支流，分东支（2.4公里）、西支（6.9公里），流域总面积约23.13平方公里，两条支流在瑶海区龙岗开发区龙湖花园附近交汇，至钟油坊汇入二十埠河。小板桥河贯穿龙岗开发区南北，是城市收排水的重要渠道。</w:t>
      </w:r>
    </w:p>
    <w:p>
      <w:pPr>
        <w:pStyle w:val="303"/>
        <w:spacing w:line="360" w:lineRule="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该区地下水类型属上层滞水（分布在杂、素填土中）和下部轻亚粘土及砂层中的潜水，主要补给来源为大气降水。根据水质分析报告，地下水和地表水对各种钢筋混凝土基础均无侵蚀性。</w:t>
      </w:r>
    </w:p>
    <w:p>
      <w:pPr>
        <w:pStyle w:val="303"/>
        <w:spacing w:line="360" w:lineRule="auto"/>
        <w:rPr>
          <w:rFonts w:hint="default" w:ascii="Times New Roman" w:hAnsi="Times New Roman" w:eastAsia="宋体" w:cs="Times New Roman"/>
          <w:b w:val="0"/>
          <w:color w:val="auto"/>
        </w:rPr>
      </w:pPr>
      <w:r>
        <w:rPr>
          <w:rFonts w:hint="default" w:ascii="Times New Roman" w:hAnsi="Times New Roman" w:eastAsia="宋体" w:cs="Times New Roman"/>
          <w:b w:val="0"/>
          <w:color w:val="auto"/>
        </w:rPr>
        <w:t>巢湖是我国五大淡水湖泊之一，属长江下游左岸水系，距合肥市约15km。巢湖流域面积13350km</w:t>
      </w:r>
      <w:r>
        <w:rPr>
          <w:rFonts w:hint="default" w:ascii="Times New Roman" w:hAnsi="Times New Roman" w:eastAsia="宋体" w:cs="Times New Roman"/>
          <w:b w:val="0"/>
          <w:color w:val="auto"/>
          <w:vertAlign w:val="superscript"/>
        </w:rPr>
        <w:t>2</w:t>
      </w:r>
      <w:r>
        <w:rPr>
          <w:rFonts w:hint="default" w:ascii="Times New Roman" w:hAnsi="Times New Roman" w:eastAsia="宋体" w:cs="Times New Roman"/>
          <w:b w:val="0"/>
          <w:color w:val="auto"/>
        </w:rPr>
        <w:t>，其中巢湖闸以上9130km</w:t>
      </w:r>
      <w:r>
        <w:rPr>
          <w:rFonts w:hint="default" w:ascii="Times New Roman" w:hAnsi="Times New Roman" w:eastAsia="宋体" w:cs="Times New Roman"/>
          <w:b w:val="0"/>
          <w:color w:val="auto"/>
          <w:vertAlign w:val="superscript"/>
        </w:rPr>
        <w:t>2</w:t>
      </w:r>
      <w:r>
        <w:rPr>
          <w:rFonts w:hint="default" w:ascii="Times New Roman" w:hAnsi="Times New Roman" w:eastAsia="宋体" w:cs="Times New Roman"/>
          <w:b w:val="0"/>
          <w:color w:val="auto"/>
        </w:rPr>
        <w:t>，多年平均水位为8.31m，平均水深3.06m，水位变化幅度平均为2.5m，水位为7.5～7.8m时湖泊水域面积约760km</w:t>
      </w:r>
      <w:r>
        <w:rPr>
          <w:rFonts w:hint="default" w:ascii="Times New Roman" w:hAnsi="Times New Roman" w:eastAsia="宋体" w:cs="Times New Roman"/>
          <w:b w:val="0"/>
          <w:color w:val="auto"/>
          <w:vertAlign w:val="superscript"/>
        </w:rPr>
        <w:t>2</w:t>
      </w:r>
      <w:r>
        <w:rPr>
          <w:rFonts w:hint="default" w:ascii="Times New Roman" w:hAnsi="Times New Roman" w:eastAsia="宋体" w:cs="Times New Roman"/>
          <w:b w:val="0"/>
          <w:color w:val="auto"/>
        </w:rPr>
        <w:t>。</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eastAsia="宋体" w:cs="Times New Roman"/>
          <w:b w:val="0"/>
          <w:color w:val="auto"/>
        </w:rPr>
        <w:t>巢湖沿岸入湖河流有店埠河、南淝河、派河、十五里河、丰乐河、杭埠河、兆河等33条水系，主要通过裕溪河与长江进行水交流，因建巢湖闸和裕溪河闸，巢湖由原来的过水性河流性湖泊变成了受人工控制的半封闭、封闭式湖泊，其水域的水基本上不与长江水交流</w:t>
      </w:r>
      <w:r>
        <w:rPr>
          <w:rFonts w:hint="default" w:ascii="Times New Roman" w:hAnsi="Times New Roman" w:cs="Times New Roman"/>
          <w:color w:val="auto"/>
          <w:sz w:val="24"/>
        </w:rPr>
        <w:t>。</w:t>
      </w:r>
    </w:p>
    <w:p>
      <w:pPr>
        <w:pStyle w:val="4"/>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67" w:name="_Toc31081"/>
      <w:r>
        <w:rPr>
          <w:rFonts w:hint="eastAsia"/>
          <w:color w:val="auto"/>
          <w:lang w:val="en-US" w:eastAsia="zh-CN"/>
        </w:rPr>
        <w:t>4.2</w:t>
      </w:r>
      <w:r>
        <w:rPr>
          <w:color w:val="auto"/>
        </w:rPr>
        <w:t>大气环境质量现状调查及评价</w:t>
      </w:r>
      <w:bookmarkEnd w:id="67"/>
    </w:p>
    <w:p>
      <w:pPr>
        <w:pStyle w:val="5"/>
        <w:pageBreakBefore w:val="0"/>
        <w:widowControl w:val="0"/>
        <w:numPr>
          <w:ilvl w:val="2"/>
          <w:numId w:val="0"/>
        </w:numPr>
        <w:kinsoku/>
        <w:wordWrap/>
        <w:overflowPunct/>
        <w:topLinePunct w:val="0"/>
        <w:autoSpaceDE/>
        <w:autoSpaceDN/>
        <w:bidi w:val="0"/>
        <w:adjustRightInd/>
        <w:snapToGrid/>
        <w:spacing w:before="0" w:beforeLines="0" w:line="360" w:lineRule="auto"/>
        <w:ind w:leftChars="0"/>
        <w:textAlignment w:val="auto"/>
        <w:rPr>
          <w:rFonts w:hint="eastAsia" w:ascii="Times New Roman" w:hAnsi="Times New Roman" w:cs="Times New Roman"/>
          <w:color w:val="auto"/>
          <w:sz w:val="24"/>
          <w:szCs w:val="24"/>
          <w:lang w:val="en-US" w:eastAsia="zh-CN"/>
        </w:rPr>
      </w:pPr>
      <w:r>
        <w:rPr>
          <w:rFonts w:hint="eastAsia" w:cs="Times New Roman"/>
          <w:color w:val="auto"/>
          <w:sz w:val="24"/>
          <w:szCs w:val="24"/>
          <w:lang w:val="en-US" w:eastAsia="zh-CN"/>
        </w:rPr>
        <w:t>4</w:t>
      </w:r>
      <w:r>
        <w:rPr>
          <w:rFonts w:hint="eastAsia" w:ascii="Times New Roman" w:hAnsi="Times New Roman" w:cs="Times New Roman"/>
          <w:color w:val="auto"/>
          <w:sz w:val="24"/>
          <w:szCs w:val="24"/>
          <w:lang w:val="en-US" w:eastAsia="zh-CN"/>
        </w:rPr>
        <w:t>.2.1环境空气达标区判定</w:t>
      </w:r>
    </w:p>
    <w:p>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根据《环境影响评价技术导则大气环境》（HJ2.2-2018），项目所在区域达标情况判定优先采用国家或地方生态环境主管部门公开发布的环境质量公告或环境质量报告中的数据或结论。</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根据</w:t>
      </w:r>
      <w:r>
        <w:rPr>
          <w:rFonts w:hint="default" w:ascii="Times New Roman" w:hAnsi="Times New Roman" w:cs="Times New Roman"/>
          <w:color w:val="auto"/>
          <w:kern w:val="2"/>
          <w:sz w:val="24"/>
          <w:szCs w:val="24"/>
          <w:lang w:val="en-US" w:eastAsia="zh-CN" w:bidi="ar"/>
        </w:rPr>
        <w:t>《2021年</w:t>
      </w:r>
      <w:r>
        <w:rPr>
          <w:rFonts w:hint="default" w:ascii="Times New Roman" w:hAnsi="Times New Roman" w:eastAsia="宋体" w:cs="Times New Roman"/>
          <w:color w:val="auto"/>
          <w:kern w:val="2"/>
          <w:sz w:val="24"/>
          <w:szCs w:val="24"/>
          <w:lang w:val="en-US" w:eastAsia="zh-CN" w:bidi="ar"/>
        </w:rPr>
        <w:t>合肥市生态环境</w:t>
      </w:r>
      <w:r>
        <w:rPr>
          <w:rFonts w:hint="default" w:ascii="Times New Roman" w:hAnsi="Times New Roman" w:cs="Times New Roman"/>
          <w:color w:val="auto"/>
          <w:kern w:val="2"/>
          <w:sz w:val="24"/>
          <w:szCs w:val="24"/>
          <w:lang w:val="en-US" w:eastAsia="zh-CN" w:bidi="ar"/>
        </w:rPr>
        <w:t>状况</w:t>
      </w:r>
      <w:r>
        <w:rPr>
          <w:rFonts w:hint="default" w:ascii="Times New Roman" w:hAnsi="Times New Roman" w:eastAsia="宋体" w:cs="Times New Roman"/>
          <w:color w:val="auto"/>
          <w:kern w:val="2"/>
          <w:sz w:val="24"/>
          <w:szCs w:val="24"/>
          <w:lang w:val="en-US" w:eastAsia="zh-CN" w:bidi="ar"/>
        </w:rPr>
        <w:t>公</w:t>
      </w:r>
      <w:r>
        <w:rPr>
          <w:rFonts w:hint="default" w:ascii="Times New Roman" w:hAnsi="Times New Roman" w:cs="Times New Roman"/>
          <w:color w:val="auto"/>
          <w:kern w:val="2"/>
          <w:sz w:val="24"/>
          <w:szCs w:val="24"/>
          <w:lang w:val="en-US" w:eastAsia="zh-CN" w:bidi="ar"/>
        </w:rPr>
        <w:t>报》（https://zwgk.hefei.gov.cn/public/5851/107752653.html）</w:t>
      </w:r>
      <w:r>
        <w:rPr>
          <w:rFonts w:hint="eastAsia" w:ascii="Times New Roman" w:hAnsi="Times New Roman"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2021年</w:t>
      </w:r>
      <w:r>
        <w:rPr>
          <w:rFonts w:hint="eastAsia" w:ascii="Times New Roman" w:hAnsi="Times New Roman" w:cs="Times New Roman"/>
          <w:color w:val="auto"/>
          <w:kern w:val="2"/>
          <w:sz w:val="24"/>
          <w:szCs w:val="24"/>
          <w:lang w:val="en-US" w:eastAsia="zh-CN" w:bidi="ar"/>
        </w:rPr>
        <w:t>合肥市</w:t>
      </w:r>
      <w:r>
        <w:rPr>
          <w:rFonts w:hint="default" w:ascii="Times New Roman" w:hAnsi="Times New Roman" w:cs="Times New Roman"/>
          <w:color w:val="auto"/>
          <w:kern w:val="2"/>
          <w:sz w:val="24"/>
          <w:szCs w:val="24"/>
          <w:lang w:val="en-US" w:eastAsia="zh-CN" w:bidi="ar"/>
        </w:rPr>
        <w:t>全年空气质量达到优的天数为95天，良好219天，优良率为86.0%</w:t>
      </w:r>
      <w:r>
        <w:rPr>
          <w:rFonts w:hint="eastAsia" w:ascii="Times New Roman" w:hAnsi="Times New Roman" w:cs="Times New Roman"/>
          <w:color w:val="auto"/>
          <w:kern w:val="2"/>
          <w:sz w:val="24"/>
          <w:szCs w:val="24"/>
          <w:lang w:val="en-US" w:eastAsia="zh-CN" w:bidi="ar"/>
        </w:rPr>
        <w:t>，基本污染物</w:t>
      </w:r>
      <w:r>
        <w:rPr>
          <w:rFonts w:hint="default" w:ascii="Times New Roman" w:hAnsi="Times New Roman" w:eastAsia="宋体" w:cs="Times New Roman"/>
          <w:color w:val="auto"/>
          <w:kern w:val="2"/>
          <w:sz w:val="24"/>
          <w:szCs w:val="24"/>
          <w:lang w:val="en-US" w:eastAsia="zh-CN" w:bidi="ar"/>
        </w:rPr>
        <w:t>SO</w:t>
      </w:r>
      <w:r>
        <w:rPr>
          <w:rFonts w:hint="default" w:ascii="Times New Roman" w:hAnsi="Times New Roman" w:eastAsia="宋体" w:cs="Times New Roman"/>
          <w:color w:val="auto"/>
          <w:kern w:val="2"/>
          <w:sz w:val="24"/>
          <w:szCs w:val="24"/>
          <w:vertAlign w:val="subscript"/>
          <w:lang w:val="en-US" w:eastAsia="zh-CN" w:bidi="ar"/>
        </w:rPr>
        <w:t>2</w:t>
      </w:r>
      <w:r>
        <w:rPr>
          <w:rFonts w:hint="default" w:ascii="Times New Roman" w:hAnsi="Times New Roman" w:eastAsia="宋体" w:cs="Times New Roman"/>
          <w:color w:val="auto"/>
          <w:kern w:val="2"/>
          <w:sz w:val="24"/>
          <w:szCs w:val="24"/>
          <w:lang w:val="en-US" w:eastAsia="zh-CN" w:bidi="ar"/>
        </w:rPr>
        <w:t>、NO</w:t>
      </w:r>
      <w:r>
        <w:rPr>
          <w:rFonts w:hint="default" w:ascii="Times New Roman" w:hAnsi="Times New Roman" w:eastAsia="宋体" w:cs="Times New Roman"/>
          <w:color w:val="auto"/>
          <w:kern w:val="2"/>
          <w:sz w:val="24"/>
          <w:szCs w:val="24"/>
          <w:vertAlign w:val="subscript"/>
          <w:lang w:val="en-US" w:eastAsia="zh-CN" w:bidi="ar"/>
        </w:rPr>
        <w:t>2</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10</w:t>
      </w:r>
      <w:r>
        <w:rPr>
          <w:rFonts w:hint="eastAsia" w:cs="Times New Roman"/>
          <w:color w:val="auto"/>
          <w:kern w:val="2"/>
          <w:sz w:val="24"/>
          <w:szCs w:val="24"/>
          <w:vertAlign w:val="baseline"/>
          <w:lang w:val="en-US" w:eastAsia="zh-CN" w:bidi="ar"/>
        </w:rPr>
        <w:t>、</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2.5</w:t>
      </w:r>
      <w:r>
        <w:rPr>
          <w:rFonts w:hint="default" w:ascii="Times New Roman" w:hAnsi="Times New Roman" w:eastAsia="宋体" w:cs="Times New Roman"/>
          <w:color w:val="auto"/>
          <w:kern w:val="2"/>
          <w:sz w:val="24"/>
          <w:szCs w:val="24"/>
          <w:lang w:val="en-US" w:eastAsia="zh-CN" w:bidi="ar"/>
        </w:rPr>
        <w:t>、CO、O</w:t>
      </w:r>
      <w:r>
        <w:rPr>
          <w:rFonts w:hint="default" w:ascii="Times New Roman" w:hAnsi="Times New Roman" w:eastAsia="宋体" w:cs="Times New Roman"/>
          <w:color w:val="auto"/>
          <w:kern w:val="2"/>
          <w:sz w:val="24"/>
          <w:szCs w:val="24"/>
          <w:vertAlign w:val="subscript"/>
          <w:lang w:val="en-US" w:eastAsia="zh-CN" w:bidi="ar"/>
        </w:rPr>
        <w:t>3</w:t>
      </w:r>
      <w:r>
        <w:rPr>
          <w:rFonts w:hint="eastAsia" w:ascii="Times New Roman" w:hAnsi="Times New Roman" w:cs="Times New Roman"/>
          <w:color w:val="auto"/>
          <w:kern w:val="2"/>
          <w:sz w:val="24"/>
          <w:szCs w:val="24"/>
          <w:lang w:val="en-US" w:eastAsia="zh-CN" w:bidi="ar"/>
        </w:rPr>
        <w:t>环境质量现状如下：</w:t>
      </w:r>
    </w:p>
    <w:p>
      <w:pPr>
        <w:keepNext w:val="0"/>
        <w:keepLines w:val="0"/>
        <w:widowControl/>
        <w:suppressLineNumbers w:val="0"/>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 xml:space="preserve">表 </w:t>
      </w:r>
      <w:r>
        <w:rPr>
          <w:rFonts w:hint="eastAsia"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.2-1 区域空气质量现状评价表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2853"/>
        <w:gridCol w:w="1428"/>
        <w:gridCol w:w="1336"/>
        <w:gridCol w:w="1068"/>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污染物</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评价指标</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现状浓度(μg/m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标准值(μg/m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占标率(%)</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SO</w:t>
            </w:r>
            <w:r>
              <w:rPr>
                <w:rFonts w:hint="default" w:ascii="Times New Roman" w:hAnsi="Times New Roman" w:eastAsia="宋体" w:cs="Times New Roman"/>
                <w:color w:val="auto"/>
                <w:kern w:val="0"/>
                <w:sz w:val="21"/>
                <w:szCs w:val="21"/>
                <w:vertAlign w:val="subscript"/>
                <w:lang w:val="en-US" w:eastAsia="zh-CN" w:bidi="ar"/>
              </w:rPr>
              <w:t>2</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年平均质量浓度</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7</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60</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1</w:t>
            </w:r>
            <w:r>
              <w:rPr>
                <w:rFonts w:hint="default" w:ascii="Times New Roman" w:hAnsi="Times New Roman" w:cs="Times New Roman"/>
                <w:color w:val="auto"/>
                <w:kern w:val="0"/>
                <w:sz w:val="21"/>
                <w:szCs w:val="21"/>
                <w:lang w:val="en-US" w:eastAsia="zh-CN" w:bidi="ar"/>
              </w:rPr>
              <w:t>2</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NO</w:t>
            </w:r>
            <w:r>
              <w:rPr>
                <w:rFonts w:hint="default" w:ascii="Times New Roman" w:hAnsi="Times New Roman" w:eastAsia="宋体" w:cs="Times New Roman"/>
                <w:color w:val="auto"/>
                <w:kern w:val="0"/>
                <w:sz w:val="21"/>
                <w:szCs w:val="21"/>
                <w:vertAlign w:val="subscript"/>
                <w:lang w:val="en-US" w:eastAsia="zh-CN" w:bidi="ar"/>
              </w:rPr>
              <w:t>2</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年平均质量浓度</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36</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40</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90</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10</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年平均质量浓度</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63</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70</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90</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2.5</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年平均质量浓度</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32</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35</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9</w:t>
            </w:r>
            <w:r>
              <w:rPr>
                <w:rFonts w:hint="default" w:ascii="Times New Roman" w:hAnsi="Times New Roman" w:cs="Times New Roman"/>
                <w:color w:val="auto"/>
                <w:kern w:val="0"/>
                <w:sz w:val="21"/>
                <w:szCs w:val="21"/>
                <w:lang w:val="en-US" w:eastAsia="zh-CN" w:bidi="ar"/>
              </w:rPr>
              <w:t>1</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CO</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日平均浓度95%位数值</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1000</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4000</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25</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O</w:t>
            </w:r>
            <w:r>
              <w:rPr>
                <w:rFonts w:hint="default" w:ascii="Times New Roman" w:hAnsi="Times New Roman" w:eastAsia="宋体" w:cs="Times New Roman"/>
                <w:color w:val="auto"/>
                <w:kern w:val="0"/>
                <w:sz w:val="21"/>
                <w:szCs w:val="21"/>
                <w:vertAlign w:val="subscript"/>
                <w:lang w:val="en-US" w:eastAsia="zh-CN" w:bidi="ar"/>
              </w:rPr>
              <w:t>3</w:t>
            </w:r>
          </w:p>
        </w:tc>
        <w:tc>
          <w:tcPr>
            <w:tcW w:w="1672"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最大8h平均浓度90%位数值</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143</w:t>
            </w:r>
          </w:p>
        </w:tc>
        <w:tc>
          <w:tcPr>
            <w:tcW w:w="783"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160</w:t>
            </w:r>
          </w:p>
        </w:tc>
        <w:tc>
          <w:tcPr>
            <w:tcW w:w="626"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89</w:t>
            </w:r>
          </w:p>
        </w:tc>
        <w:tc>
          <w:tcPr>
            <w:tcW w:w="591" w:type="pct"/>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widowControl w:val="0"/>
              <w:suppressLineNumbers w:val="0"/>
              <w:autoSpaceDE w:val="0"/>
              <w:autoSpaceDN/>
              <w:adjustRightInd w:val="0"/>
              <w:snapToGrid w:val="0"/>
              <w:spacing w:before="0" w:beforeAutospacing="0" w:after="0" w:afterAutospacing="0" w:line="320" w:lineRule="exact"/>
              <w:ind w:left="0" w:right="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达标</w:t>
            </w:r>
          </w:p>
        </w:tc>
      </w:tr>
    </w:tbl>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w:t>
      </w:r>
      <w:r>
        <w:rPr>
          <w:rFonts w:hint="eastAsia"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2021年合肥市</w:t>
      </w:r>
      <w:r>
        <w:rPr>
          <w:rFonts w:hint="eastAsia" w:cs="Times New Roman"/>
          <w:color w:val="auto"/>
          <w:kern w:val="2"/>
          <w:sz w:val="24"/>
          <w:szCs w:val="24"/>
          <w:lang w:val="en-US" w:eastAsia="zh-CN" w:bidi="ar"/>
        </w:rPr>
        <w:t>生态</w:t>
      </w:r>
      <w:r>
        <w:rPr>
          <w:rFonts w:hint="default" w:ascii="Times New Roman" w:hAnsi="Times New Roman" w:eastAsia="宋体" w:cs="Times New Roman"/>
          <w:color w:val="auto"/>
          <w:kern w:val="2"/>
          <w:sz w:val="24"/>
          <w:szCs w:val="24"/>
          <w:lang w:val="en-US" w:eastAsia="zh-CN" w:bidi="ar"/>
        </w:rPr>
        <w:t>环境状况公</w:t>
      </w:r>
      <w:r>
        <w:rPr>
          <w:rFonts w:hint="eastAsia" w:cs="Times New Roman"/>
          <w:color w:val="auto"/>
          <w:kern w:val="2"/>
          <w:sz w:val="24"/>
          <w:szCs w:val="24"/>
          <w:lang w:val="en-US" w:eastAsia="zh-CN" w:bidi="ar"/>
        </w:rPr>
        <w:t>报》</w:t>
      </w:r>
      <w:r>
        <w:rPr>
          <w:rFonts w:hint="default" w:ascii="Times New Roman" w:hAnsi="Times New Roman" w:eastAsia="宋体" w:cs="Times New Roman"/>
          <w:color w:val="auto"/>
          <w:kern w:val="2"/>
          <w:sz w:val="24"/>
          <w:szCs w:val="24"/>
          <w:lang w:val="en-US" w:eastAsia="zh-CN" w:bidi="ar"/>
        </w:rPr>
        <w:t>，项目所在区域大气污染物SO</w:t>
      </w:r>
      <w:r>
        <w:rPr>
          <w:rFonts w:hint="default" w:ascii="Times New Roman" w:hAnsi="Times New Roman" w:eastAsia="宋体" w:cs="Times New Roman"/>
          <w:color w:val="auto"/>
          <w:kern w:val="2"/>
          <w:sz w:val="24"/>
          <w:szCs w:val="24"/>
          <w:vertAlign w:val="subscript"/>
          <w:lang w:val="en-US" w:eastAsia="zh-CN" w:bidi="ar"/>
        </w:rPr>
        <w:t>2</w:t>
      </w:r>
      <w:r>
        <w:rPr>
          <w:rFonts w:hint="default" w:ascii="Times New Roman" w:hAnsi="Times New Roman" w:eastAsia="宋体" w:cs="Times New Roman"/>
          <w:color w:val="auto"/>
          <w:kern w:val="2"/>
          <w:sz w:val="24"/>
          <w:szCs w:val="24"/>
          <w:lang w:val="en-US" w:eastAsia="zh-CN" w:bidi="ar"/>
        </w:rPr>
        <w:t>、NO</w:t>
      </w:r>
      <w:r>
        <w:rPr>
          <w:rFonts w:hint="default" w:ascii="Times New Roman" w:hAnsi="Times New Roman" w:eastAsia="宋体" w:cs="Times New Roman"/>
          <w:color w:val="auto"/>
          <w:kern w:val="2"/>
          <w:sz w:val="24"/>
          <w:szCs w:val="24"/>
          <w:vertAlign w:val="subscript"/>
          <w:lang w:val="en-US" w:eastAsia="zh-CN" w:bidi="ar"/>
        </w:rPr>
        <w:t>2</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10</w:t>
      </w:r>
      <w:r>
        <w:rPr>
          <w:rFonts w:hint="eastAsia" w:cs="Times New Roman"/>
          <w:color w:val="auto"/>
          <w:kern w:val="2"/>
          <w:sz w:val="24"/>
          <w:szCs w:val="24"/>
          <w:vertAlign w:val="baseline"/>
          <w:lang w:val="en-US" w:eastAsia="zh-CN" w:bidi="ar"/>
        </w:rPr>
        <w:t>以及</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2.5</w:t>
      </w:r>
      <w:r>
        <w:rPr>
          <w:rFonts w:hint="default" w:ascii="Times New Roman" w:hAnsi="Times New Roman" w:eastAsia="宋体" w:cs="Times New Roman"/>
          <w:color w:val="auto"/>
          <w:kern w:val="2"/>
          <w:sz w:val="24"/>
          <w:szCs w:val="24"/>
          <w:lang w:val="en-US" w:eastAsia="zh-CN" w:bidi="ar"/>
        </w:rPr>
        <w:t>年均浓度值、CO日均值第95百分位数、O</w:t>
      </w:r>
      <w:r>
        <w:rPr>
          <w:rFonts w:hint="default" w:ascii="Times New Roman" w:hAnsi="Times New Roman" w:eastAsia="宋体" w:cs="Times New Roman"/>
          <w:color w:val="auto"/>
          <w:kern w:val="2"/>
          <w:sz w:val="24"/>
          <w:szCs w:val="24"/>
          <w:vertAlign w:val="subscript"/>
          <w:lang w:val="en-US" w:eastAsia="zh-CN" w:bidi="ar"/>
        </w:rPr>
        <w:t>3</w:t>
      </w:r>
      <w:r>
        <w:rPr>
          <w:rFonts w:hint="default" w:ascii="Times New Roman" w:hAnsi="Times New Roman" w:eastAsia="宋体" w:cs="Times New Roman"/>
          <w:color w:val="auto"/>
          <w:kern w:val="2"/>
          <w:sz w:val="24"/>
          <w:szCs w:val="24"/>
          <w:lang w:val="en-US" w:eastAsia="zh-CN" w:bidi="ar"/>
        </w:rPr>
        <w:t>最大8h平均浓度90%位数值均达到《环境空气质量标准》（GB3095-2012）二级标准的要求。因此，</w:t>
      </w:r>
      <w:r>
        <w:rPr>
          <w:rFonts w:hint="eastAsia" w:cs="Times New Roman"/>
          <w:color w:val="auto"/>
          <w:kern w:val="2"/>
          <w:sz w:val="24"/>
          <w:szCs w:val="24"/>
          <w:lang w:val="en-US" w:eastAsia="zh-CN" w:bidi="ar"/>
        </w:rPr>
        <w:t>项目所在区域</w:t>
      </w:r>
      <w:r>
        <w:rPr>
          <w:rFonts w:hint="default" w:ascii="Times New Roman" w:hAnsi="Times New Roman" w:eastAsia="宋体" w:cs="Times New Roman"/>
          <w:color w:val="auto"/>
          <w:kern w:val="2"/>
          <w:sz w:val="24"/>
          <w:szCs w:val="24"/>
          <w:lang w:val="en-US" w:eastAsia="zh-CN" w:bidi="ar"/>
        </w:rPr>
        <w:t>为环境空气质量达标区。</w:t>
      </w:r>
    </w:p>
    <w:p>
      <w:pPr>
        <w:pStyle w:val="5"/>
        <w:numPr>
          <w:ilvl w:val="2"/>
          <w:numId w:val="0"/>
        </w:numPr>
        <w:spacing w:before="120"/>
        <w:ind w:leftChars="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4</w:t>
      </w:r>
      <w:r>
        <w:rPr>
          <w:rFonts w:hint="eastAsia" w:ascii="Times New Roman" w:hAnsi="Times New Roman" w:cs="Times New Roman"/>
          <w:color w:val="auto"/>
          <w:sz w:val="24"/>
          <w:szCs w:val="24"/>
          <w:lang w:val="en-US" w:eastAsia="zh-CN"/>
        </w:rPr>
        <w:t>.2.2环境空气质量现状</w:t>
      </w:r>
    </w:p>
    <w:p>
      <w:pPr>
        <w:tabs>
          <w:tab w:val="left" w:pos="720"/>
        </w:tabs>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vertAlign w:val="baseline"/>
          <w:lang w:val="en-US" w:eastAsia="zh-CN"/>
        </w:rPr>
        <w:t>为进一步了解</w:t>
      </w:r>
      <w:r>
        <w:rPr>
          <w:rFonts w:hint="eastAsia" w:cs="Times New Roman"/>
          <w:color w:val="auto"/>
          <w:sz w:val="24"/>
          <w:szCs w:val="24"/>
          <w:vertAlign w:val="baseline"/>
          <w:lang w:val="en-US" w:eastAsia="zh-CN"/>
        </w:rPr>
        <w:t>区域环境空气</w:t>
      </w:r>
      <w:r>
        <w:rPr>
          <w:rFonts w:hint="eastAsia" w:ascii="Times New Roman" w:hAnsi="Times New Roman" w:eastAsia="宋体" w:cs="Times New Roman"/>
          <w:color w:val="auto"/>
          <w:sz w:val="24"/>
          <w:szCs w:val="24"/>
          <w:vertAlign w:val="baseline"/>
          <w:lang w:val="en-US" w:eastAsia="zh-CN"/>
        </w:rPr>
        <w:t>质量，本次</w:t>
      </w:r>
      <w:r>
        <w:rPr>
          <w:rFonts w:hint="eastAsia" w:cs="Times New Roman"/>
          <w:color w:val="auto"/>
          <w:sz w:val="24"/>
          <w:szCs w:val="24"/>
          <w:vertAlign w:val="baseline"/>
          <w:lang w:val="en-US" w:eastAsia="zh-CN"/>
        </w:rPr>
        <w:t>评价</w:t>
      </w:r>
      <w:r>
        <w:rPr>
          <w:rFonts w:hint="eastAsia" w:ascii="Times New Roman" w:hAnsi="Times New Roman" w:eastAsia="宋体" w:cs="Times New Roman"/>
          <w:color w:val="auto"/>
          <w:sz w:val="24"/>
          <w:szCs w:val="24"/>
          <w:vertAlign w:val="baseline"/>
          <w:lang w:val="en-US" w:eastAsia="zh-CN"/>
        </w:rPr>
        <w:t>委托</w:t>
      </w:r>
      <w:r>
        <w:rPr>
          <w:rFonts w:hint="eastAsia" w:cs="Times New Roman"/>
          <w:color w:val="auto"/>
          <w:sz w:val="24"/>
          <w:szCs w:val="24"/>
          <w:highlight w:val="none"/>
          <w:lang w:val="en-US" w:eastAsia="zh-CN"/>
        </w:rPr>
        <w:t>安徽省国众检测科技有限公司对现状环境进行监测并形成了《安徽省立医院（中国科大附一院）滨湖院区项目环境影响评价现状监测报告》，本次环境空气现状监测的时间为2022年12月13日~12月19日，监测点位为安徽省立医院（中国科大附一院）滨湖院区</w:t>
      </w:r>
      <w:r>
        <w:rPr>
          <w:rFonts w:hint="eastAsia" w:ascii="Times New Roman" w:hAnsi="Times New Roman" w:cs="Times New Roman"/>
          <w:color w:val="auto"/>
          <w:sz w:val="24"/>
          <w:szCs w:val="24"/>
          <w:highlight w:val="none"/>
          <w:lang w:val="en-US" w:eastAsia="zh-CN"/>
        </w:rPr>
        <w:t>及院区下风向（</w:t>
      </w:r>
      <w:r>
        <w:rPr>
          <w:rFonts w:hint="eastAsia" w:cs="Times New Roman"/>
          <w:color w:val="auto"/>
          <w:sz w:val="24"/>
          <w:szCs w:val="24"/>
          <w:highlight w:val="none"/>
          <w:lang w:val="en-US" w:eastAsia="zh-CN"/>
        </w:rPr>
        <w:t>滨水湾小区</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rPr>
        <w:t>。</w:t>
      </w:r>
    </w:p>
    <w:p>
      <w:pPr>
        <w:tabs>
          <w:tab w:val="left" w:pos="720"/>
        </w:tabs>
        <w:spacing w:line="360" w:lineRule="auto"/>
        <w:ind w:firstLine="480" w:firstLineChars="200"/>
        <w:rPr>
          <w:rFonts w:hint="default" w:ascii="Times New Roman" w:hAnsi="Times New Roman" w:cs="Times New Roman"/>
          <w:color w:val="auto"/>
          <w:sz w:val="24"/>
          <w:szCs w:val="24"/>
        </w:rPr>
      </w:pPr>
      <w:r>
        <w:rPr>
          <w:rFonts w:hint="eastAsia" w:cs="Times New Roman"/>
          <w:color w:val="auto"/>
          <w:sz w:val="24"/>
          <w:szCs w:val="24"/>
          <w:lang w:eastAsia="zh-CN"/>
        </w:rPr>
        <w:t>大气环境质量</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val="en-US" w:eastAsia="zh-CN"/>
        </w:rPr>
        <w:t>点位</w:t>
      </w:r>
      <w:r>
        <w:rPr>
          <w:rFonts w:hint="default" w:ascii="Times New Roman" w:hAnsi="Times New Roman" w:cs="Times New Roman"/>
          <w:color w:val="auto"/>
          <w:sz w:val="24"/>
          <w:szCs w:val="24"/>
        </w:rPr>
        <w:t>见表</w:t>
      </w:r>
      <w:r>
        <w:rPr>
          <w:rFonts w:hint="eastAsia" w:cs="Times New Roman"/>
          <w:color w:val="auto"/>
          <w:sz w:val="24"/>
          <w:szCs w:val="24"/>
          <w:lang w:val="en-US" w:eastAsia="zh-CN"/>
        </w:rPr>
        <w:t>4</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监测点位图见图</w:t>
      </w:r>
      <w:r>
        <w:rPr>
          <w:rFonts w:hint="eastAsia" w:cs="Times New Roman"/>
          <w:color w:val="auto"/>
          <w:sz w:val="24"/>
          <w:szCs w:val="24"/>
          <w:lang w:val="en-US" w:eastAsia="zh-CN"/>
        </w:rPr>
        <w:t>4</w:t>
      </w:r>
      <w:r>
        <w:rPr>
          <w:rFonts w:hint="eastAsia" w:ascii="Times New Roman" w:hAnsi="Times New Roman" w:cs="Times New Roman"/>
          <w:color w:val="auto"/>
          <w:sz w:val="24"/>
          <w:szCs w:val="24"/>
          <w:lang w:val="en-US" w:eastAsia="zh-CN"/>
        </w:rPr>
        <w:t>.2-1</w:t>
      </w:r>
      <w:r>
        <w:rPr>
          <w:rFonts w:hint="eastAsia" w:cs="宋体"/>
          <w:color w:val="auto"/>
          <w:sz w:val="24"/>
          <w:szCs w:val="24"/>
          <w:lang w:val="en-US" w:eastAsia="zh-CN"/>
        </w:rPr>
        <w:t>；</w:t>
      </w:r>
      <w:r>
        <w:rPr>
          <w:rFonts w:hint="default" w:ascii="Times New Roman" w:hAnsi="Times New Roman" w:cs="Times New Roman"/>
          <w:color w:val="auto"/>
          <w:sz w:val="24"/>
          <w:szCs w:val="24"/>
          <w:lang w:val="en-US" w:eastAsia="zh-CN"/>
        </w:rPr>
        <w:t>监测结果见表</w:t>
      </w:r>
      <w:r>
        <w:rPr>
          <w:rFonts w:hint="eastAsia" w:cs="Times New Roman"/>
          <w:color w:val="auto"/>
          <w:sz w:val="24"/>
          <w:szCs w:val="24"/>
          <w:lang w:val="en-US" w:eastAsia="zh-CN"/>
        </w:rPr>
        <w:t>4</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表4.2-4</w:t>
      </w:r>
      <w:r>
        <w:rPr>
          <w:rFonts w:hint="default"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5.2-</w:t>
      </w:r>
      <w:r>
        <w:rPr>
          <w:rFonts w:hint="eastAsia"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其他污染物补充</w:t>
      </w:r>
      <w:r>
        <w:rPr>
          <w:rFonts w:hint="default" w:ascii="Times New Roman" w:hAnsi="Times New Roman" w:eastAsia="宋体" w:cs="Times New Roman"/>
          <w:b/>
          <w:bCs/>
          <w:color w:val="auto"/>
          <w:sz w:val="21"/>
          <w:szCs w:val="21"/>
        </w:rPr>
        <w:t>监测</w:t>
      </w:r>
      <w:r>
        <w:rPr>
          <w:rFonts w:hint="default" w:ascii="Times New Roman" w:hAnsi="Times New Roman" w:eastAsia="宋体" w:cs="Times New Roman"/>
          <w:b/>
          <w:bCs/>
          <w:color w:val="auto"/>
          <w:sz w:val="21"/>
          <w:szCs w:val="21"/>
          <w:lang w:val="en-US" w:eastAsia="zh-CN"/>
        </w:rPr>
        <w:t>点位基本信息</w:t>
      </w:r>
    </w:p>
    <w:tbl>
      <w:tblPr>
        <w:tblStyle w:val="48"/>
        <w:tblW w:w="501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744"/>
        <w:gridCol w:w="1756"/>
        <w:gridCol w:w="824"/>
        <w:gridCol w:w="1338"/>
        <w:gridCol w:w="1485"/>
        <w:gridCol w:w="22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445"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编号</w:t>
            </w:r>
          </w:p>
        </w:tc>
        <w:tc>
          <w:tcPr>
            <w:tcW w:w="1051"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监测点位置</w:t>
            </w:r>
          </w:p>
        </w:tc>
        <w:tc>
          <w:tcPr>
            <w:tcW w:w="493"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方位</w:t>
            </w:r>
          </w:p>
        </w:tc>
        <w:tc>
          <w:tcPr>
            <w:tcW w:w="801"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距离</w:t>
            </w:r>
            <w:r>
              <w:rPr>
                <w:rFonts w:hint="default" w:ascii="Times New Roman" w:hAnsi="Times New Roman" w:eastAsia="宋体" w:cs="Times New Roman"/>
                <w:color w:val="auto"/>
                <w:sz w:val="21"/>
                <w:szCs w:val="21"/>
                <w:vertAlign w:val="baseline"/>
                <w:lang w:val="en-US" w:eastAsia="en-US"/>
              </w:rPr>
              <w:t>（m)</w:t>
            </w:r>
          </w:p>
        </w:tc>
        <w:tc>
          <w:tcPr>
            <w:tcW w:w="889"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功能</w:t>
            </w:r>
          </w:p>
        </w:tc>
        <w:tc>
          <w:tcPr>
            <w:tcW w:w="1318" w:type="pct"/>
            <w:tcBorders>
              <w:top w:val="single" w:color="auto" w:sz="4" w:space="0"/>
              <w:left w:val="single" w:color="auto" w:sz="4" w:space="0"/>
              <w:bottom w:val="nil"/>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445"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G1</w:t>
            </w:r>
          </w:p>
        </w:tc>
        <w:tc>
          <w:tcPr>
            <w:tcW w:w="1051"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安徽省立医院（中国科大附一院）滨湖院区</w:t>
            </w:r>
          </w:p>
        </w:tc>
        <w:tc>
          <w:tcPr>
            <w:tcW w:w="493"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w:t>
            </w:r>
          </w:p>
        </w:tc>
        <w:tc>
          <w:tcPr>
            <w:tcW w:w="801"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w:t>
            </w:r>
          </w:p>
        </w:tc>
        <w:tc>
          <w:tcPr>
            <w:tcW w:w="889" w:type="pct"/>
            <w:tcBorders>
              <w:top w:val="single" w:color="auto" w:sz="4" w:space="0"/>
              <w:left w:val="single" w:color="auto" w:sz="4" w:space="0"/>
              <w:bottom w:val="nil"/>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项目区</w:t>
            </w:r>
          </w:p>
        </w:tc>
        <w:tc>
          <w:tcPr>
            <w:tcW w:w="1318" w:type="pct"/>
            <w:vMerge w:val="restart"/>
            <w:tcBorders>
              <w:top w:val="single" w:color="auto" w:sz="4" w:space="0"/>
              <w:left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NH</w:t>
            </w:r>
            <w:r>
              <w:rPr>
                <w:rFonts w:hint="default" w:ascii="Times New Roman" w:hAnsi="Times New Roman" w:eastAsia="宋体" w:cs="Times New Roman"/>
                <w:color w:val="auto"/>
                <w:sz w:val="21"/>
                <w:szCs w:val="21"/>
                <w:vertAlign w:val="subscript"/>
                <w:lang w:val="en-US" w:eastAsia="en-US"/>
              </w:rPr>
              <w:t>3</w:t>
            </w:r>
            <w:r>
              <w:rPr>
                <w:rFonts w:hint="default" w:ascii="Times New Roman" w:hAnsi="Times New Roman" w:eastAsia="宋体" w:cs="Times New Roman"/>
                <w:color w:val="auto"/>
                <w:sz w:val="21"/>
                <w:szCs w:val="21"/>
                <w:vertAlign w:val="baseline"/>
                <w:lang w:val="en-US" w:eastAsia="en-US"/>
              </w:rPr>
              <w:t>、H</w:t>
            </w:r>
            <w:r>
              <w:rPr>
                <w:rFonts w:hint="default" w:ascii="Times New Roman" w:hAnsi="Times New Roman" w:eastAsia="宋体" w:cs="Times New Roman"/>
                <w:color w:val="auto"/>
                <w:sz w:val="21"/>
                <w:szCs w:val="21"/>
                <w:vertAlign w:val="subscript"/>
                <w:lang w:val="en-US" w:eastAsia="en-US"/>
              </w:rPr>
              <w:t>2</w:t>
            </w:r>
            <w:r>
              <w:rPr>
                <w:rFonts w:hint="default" w:ascii="Times New Roman" w:hAnsi="Times New Roman" w:eastAsia="宋体" w:cs="Times New Roman"/>
                <w:color w:val="auto"/>
                <w:sz w:val="21"/>
                <w:szCs w:val="21"/>
                <w:vertAlign w:val="baseline"/>
                <w:lang w:val="en-US" w:eastAsia="en-US"/>
              </w:rPr>
              <w:t>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trPr>
        <w:tc>
          <w:tcPr>
            <w:tcW w:w="445" w:type="pct"/>
            <w:tcBorders>
              <w:top w:val="single" w:color="auto" w:sz="4" w:space="0"/>
              <w:left w:val="single" w:color="auto" w:sz="4" w:space="0"/>
              <w:bottom w:val="single" w:color="auto" w:sz="4" w:space="0"/>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G2</w:t>
            </w:r>
          </w:p>
        </w:tc>
        <w:tc>
          <w:tcPr>
            <w:tcW w:w="1051" w:type="pct"/>
            <w:tcBorders>
              <w:top w:val="single" w:color="auto" w:sz="4" w:space="0"/>
              <w:left w:val="single" w:color="auto" w:sz="4" w:space="0"/>
              <w:bottom w:val="single" w:color="auto" w:sz="4" w:space="0"/>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4"/>
                <w:szCs w:val="24"/>
                <w:highlight w:val="none"/>
                <w:lang w:val="en-US" w:eastAsia="zh-CN"/>
              </w:rPr>
              <w:t>滨水湾小区</w:t>
            </w:r>
          </w:p>
        </w:tc>
        <w:tc>
          <w:tcPr>
            <w:tcW w:w="493" w:type="pct"/>
            <w:tcBorders>
              <w:top w:val="single" w:color="auto" w:sz="4" w:space="0"/>
              <w:left w:val="single" w:color="auto" w:sz="4" w:space="0"/>
              <w:bottom w:val="single" w:color="auto" w:sz="4" w:space="0"/>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W</w:t>
            </w:r>
          </w:p>
        </w:tc>
        <w:tc>
          <w:tcPr>
            <w:tcW w:w="801" w:type="pct"/>
            <w:tcBorders>
              <w:top w:val="single" w:color="auto" w:sz="4" w:space="0"/>
              <w:left w:val="single" w:color="auto" w:sz="4" w:space="0"/>
              <w:bottom w:val="single" w:color="auto" w:sz="4" w:space="0"/>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w:t>
            </w:r>
          </w:p>
        </w:tc>
        <w:tc>
          <w:tcPr>
            <w:tcW w:w="889" w:type="pct"/>
            <w:tcBorders>
              <w:top w:val="single" w:color="auto" w:sz="4" w:space="0"/>
              <w:left w:val="single" w:color="auto" w:sz="4" w:space="0"/>
              <w:bottom w:val="single" w:color="auto" w:sz="4" w:space="0"/>
              <w:right w:val="nil"/>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居民区</w:t>
            </w:r>
          </w:p>
        </w:tc>
        <w:tc>
          <w:tcPr>
            <w:tcW w:w="1318" w:type="pct"/>
            <w:vMerge w:val="continue"/>
            <w:tcBorders>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lang w:eastAsia="zh-CN"/>
        </w:rPr>
      </w:pP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1189990</wp:posOffset>
                </wp:positionH>
                <wp:positionV relativeFrom="paragraph">
                  <wp:posOffset>-354330</wp:posOffset>
                </wp:positionV>
                <wp:extent cx="7091680" cy="5688330"/>
                <wp:effectExtent l="19050" t="19050" r="33020" b="26670"/>
                <wp:wrapNone/>
                <wp:docPr id="63" name="流程图: 过程 63"/>
                <wp:cNvGraphicFramePr/>
                <a:graphic xmlns:a="http://schemas.openxmlformats.org/drawingml/2006/main">
                  <a:graphicData uri="http://schemas.microsoft.com/office/word/2010/wordprocessingShape">
                    <wps:wsp>
                      <wps:cNvSpPr/>
                      <wps:spPr>
                        <a:xfrm>
                          <a:off x="2104390" y="786765"/>
                          <a:ext cx="7091680" cy="5688330"/>
                        </a:xfrm>
                        <a:prstGeom prst="flowChartProcess">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93.7pt;margin-top:-27.9pt;height:447.9pt;width:558.4pt;z-index:251741184;v-text-anchor:middle;mso-width-relative:page;mso-height-relative:page;" filled="f" stroked="t" coordsize="21600,21600" o:gfxdata="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LrLSA2QAAAAwBAAAPAAAAAAAA&#10;AAEAIAAAACIAAABkcnMvZG93bnJldi54bWxQSwECFAAUAAAACACHTuJAEcg8x4MCAADZBAAADgAA&#10;AAAAAAABACAAAAAoAQAAZHJzL2Uyb0RvYy54bWxQSwUGAAAAAAYABgBZAQAAHQYAAAAA&#10;">
                <v:fill on="f" focussize="0,0"/>
                <v:stroke weight="3pt" color="#000000 [3213]" joinstyle="round"/>
                <v:imagedata o:title=""/>
                <o:lock v:ext="edit" aspectratio="f"/>
              </v:shape>
            </w:pict>
          </mc:Fallback>
        </mc:AlternateContent>
      </w:r>
      <w:r>
        <w:rPr>
          <w:color w:val="auto"/>
          <w:sz w:val="24"/>
        </w:rPr>
        <w:drawing>
          <wp:anchor distT="0" distB="0" distL="114300" distR="114300" simplePos="0" relativeHeight="251696128" behindDoc="0" locked="0" layoutInCell="1" allowOverlap="1">
            <wp:simplePos x="0" y="0"/>
            <wp:positionH relativeFrom="column">
              <wp:posOffset>7484110</wp:posOffset>
            </wp:positionH>
            <wp:positionV relativeFrom="paragraph">
              <wp:posOffset>-330200</wp:posOffset>
            </wp:positionV>
            <wp:extent cx="862330" cy="877570"/>
            <wp:effectExtent l="0" t="0" r="13970" b="17780"/>
            <wp:wrapNone/>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1"/>
                    <a:stretch>
                      <a:fillRect/>
                    </a:stretch>
                  </pic:blipFill>
                  <pic:spPr>
                    <a:xfrm>
                      <a:off x="0" y="0"/>
                      <a:ext cx="862330" cy="877570"/>
                    </a:xfrm>
                    <a:prstGeom prst="rect">
                      <a:avLst/>
                    </a:prstGeom>
                    <a:noFill/>
                    <a:ln>
                      <a:noFill/>
                    </a:ln>
                  </pic:spPr>
                </pic:pic>
              </a:graphicData>
            </a:graphic>
          </wp:anchor>
        </w:drawing>
      </w:r>
      <w:r>
        <w:rPr>
          <w:rFonts w:hint="eastAsia" w:ascii="Times New Roman" w:hAnsi="Times New Roman" w:eastAsia="宋体" w:cs="Times New Roman"/>
          <w:color w:val="auto"/>
          <w:lang w:eastAsia="zh-CN"/>
        </w:rPr>
        <w:drawing>
          <wp:anchor distT="0" distB="0" distL="114300" distR="114300" simplePos="0" relativeHeight="251693056" behindDoc="0" locked="0" layoutInCell="1" allowOverlap="1">
            <wp:simplePos x="0" y="0"/>
            <wp:positionH relativeFrom="column">
              <wp:posOffset>1206500</wp:posOffset>
            </wp:positionH>
            <wp:positionV relativeFrom="paragraph">
              <wp:posOffset>-372110</wp:posOffset>
            </wp:positionV>
            <wp:extent cx="7135495" cy="5723890"/>
            <wp:effectExtent l="0" t="0" r="8255" b="10160"/>
            <wp:wrapSquare wrapText="bothSides"/>
            <wp:docPr id="15" name="图片 3" descr="2022120814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20221208143101"/>
                    <pic:cNvPicPr>
                      <a:picLocks noChangeAspect="1"/>
                    </pic:cNvPicPr>
                  </pic:nvPicPr>
                  <pic:blipFill>
                    <a:blip r:embed="rId32"/>
                    <a:stretch>
                      <a:fillRect/>
                    </a:stretch>
                  </pic:blipFill>
                  <pic:spPr>
                    <a:xfrm>
                      <a:off x="0" y="0"/>
                      <a:ext cx="7135495" cy="5723890"/>
                    </a:xfrm>
                    <a:prstGeom prst="rect">
                      <a:avLst/>
                    </a:prstGeom>
                    <a:noFill/>
                    <a:ln>
                      <a:noFill/>
                    </a:ln>
                  </pic:spPr>
                </pic:pic>
              </a:graphicData>
            </a:graphic>
          </wp:anchor>
        </w:drawing>
      </w:r>
    </w:p>
    <w:p>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auto"/>
          <w:sz w:val="21"/>
          <w:szCs w:val="21"/>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4931410</wp:posOffset>
                </wp:positionH>
                <wp:positionV relativeFrom="paragraph">
                  <wp:posOffset>2763520</wp:posOffset>
                </wp:positionV>
                <wp:extent cx="676910" cy="451485"/>
                <wp:effectExtent l="0" t="0" r="0" b="0"/>
                <wp:wrapNone/>
                <wp:docPr id="16" name="流程图: 过程 16"/>
                <wp:cNvGraphicFramePr/>
                <a:graphic xmlns:a="http://schemas.openxmlformats.org/drawingml/2006/main">
                  <a:graphicData uri="http://schemas.microsoft.com/office/word/2010/wordprocessingShape">
                    <wps:wsp>
                      <wps:cNvSpPr/>
                      <wps:spPr>
                        <a:xfrm>
                          <a:off x="0" y="0"/>
                          <a:ext cx="676910" cy="451485"/>
                        </a:xfrm>
                        <a:prstGeom prst="flowChartProcess">
                          <a:avLst/>
                        </a:prstGeom>
                        <a:noFill/>
                        <a:ln w="15875" cap="flat" cmpd="sng">
                          <a:noFill/>
                          <a:prstDash val="solid"/>
                          <a:miter/>
                          <a:headEnd type="none" w="med" len="med"/>
                          <a:tailEnd type="none" w="med" len="med"/>
                        </a:ln>
                      </wps:spPr>
                      <wps:txbx>
                        <w:txbxContent>
                          <w:p>
                            <w:pPr>
                              <w:ind w:left="0" w:leftChars="0" w:firstLine="0" w:firstLineChars="0"/>
                              <w:rPr>
                                <w:rFonts w:hint="default" w:eastAsia="宋体"/>
                                <w:b/>
                                <w:bCs/>
                                <w:color w:val="FF0000"/>
                                <w:sz w:val="48"/>
                                <w:szCs w:val="48"/>
                                <w:lang w:val="en-US" w:eastAsia="zh-CN"/>
                              </w:rPr>
                            </w:pPr>
                            <w:r>
                              <w:rPr>
                                <w:rFonts w:hint="eastAsia" w:eastAsia="宋体"/>
                                <w:b/>
                                <w:bCs/>
                                <w:color w:val="FF0000"/>
                                <w:sz w:val="48"/>
                                <w:szCs w:val="48"/>
                                <w:lang w:val="en-US" w:eastAsia="zh-CN"/>
                              </w:rPr>
                              <w:t>G1</w:t>
                            </w:r>
                          </w:p>
                        </w:txbxContent>
                      </wps:txbx>
                      <wps:bodyPr lIns="0" tIns="0" rIns="0" bIns="0" upright="1"/>
                    </wps:wsp>
                  </a:graphicData>
                </a:graphic>
              </wp:anchor>
            </w:drawing>
          </mc:Choice>
          <mc:Fallback>
            <w:pict>
              <v:shape id="_x0000_s1026" o:spid="_x0000_s1026" o:spt="109" type="#_x0000_t109" style="position:absolute;left:0pt;margin-left:388.3pt;margin-top:217.6pt;height:35.55pt;width:53.3pt;z-index:251694080;mso-width-relative:page;mso-height-relative:page;" filled="f" stroked="f" coordsize="21600,21600" o:gfxdata="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wcCQdwAAAALAQAADwAAAAAA&#10;AAABACAAAAAiAAAAZHJzL2Rvd25yZXYueG1sUEsBAhQAFAAAAAgAh07iQNt6wIoPAgAAFAQAAA4A&#10;AAAAAAAAAQAgAAAAKwEAAGRycy9lMm9Eb2MueG1sUEsFBgAAAAAGAAYAWQEAAKwFAAAAAA==&#10;">
                <v:fill on="f" focussize="0,0"/>
                <v:stroke on="f" weight="1.25pt" joinstyle="miter"/>
                <v:imagedata o:title=""/>
                <o:lock v:ext="edit" aspectratio="f"/>
                <v:textbox inset="0mm,0mm,0mm,0mm">
                  <w:txbxContent>
                    <w:p>
                      <w:pPr>
                        <w:ind w:left="0" w:leftChars="0" w:firstLine="0" w:firstLineChars="0"/>
                        <w:rPr>
                          <w:rFonts w:hint="default" w:eastAsia="宋体"/>
                          <w:b/>
                          <w:bCs/>
                          <w:color w:val="FF0000"/>
                          <w:sz w:val="48"/>
                          <w:szCs w:val="48"/>
                          <w:lang w:val="en-US" w:eastAsia="zh-CN"/>
                        </w:rPr>
                      </w:pPr>
                      <w:r>
                        <w:rPr>
                          <w:rFonts w:hint="eastAsia" w:eastAsia="宋体"/>
                          <w:b/>
                          <w:bCs/>
                          <w:color w:val="FF0000"/>
                          <w:sz w:val="48"/>
                          <w:szCs w:val="48"/>
                          <w:lang w:val="en-US" w:eastAsia="zh-CN"/>
                        </w:rPr>
                        <w:t>G1</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2942590</wp:posOffset>
                </wp:positionH>
                <wp:positionV relativeFrom="paragraph">
                  <wp:posOffset>57150</wp:posOffset>
                </wp:positionV>
                <wp:extent cx="676910" cy="451485"/>
                <wp:effectExtent l="0" t="0" r="0" b="0"/>
                <wp:wrapNone/>
                <wp:docPr id="17" name="流程图: 过程 17"/>
                <wp:cNvGraphicFramePr/>
                <a:graphic xmlns:a="http://schemas.openxmlformats.org/drawingml/2006/main">
                  <a:graphicData uri="http://schemas.microsoft.com/office/word/2010/wordprocessingShape">
                    <wps:wsp>
                      <wps:cNvSpPr/>
                      <wps:spPr>
                        <a:xfrm>
                          <a:off x="0" y="0"/>
                          <a:ext cx="676910" cy="451485"/>
                        </a:xfrm>
                        <a:prstGeom prst="flowChartProcess">
                          <a:avLst/>
                        </a:prstGeom>
                        <a:noFill/>
                        <a:ln w="15875" cap="flat" cmpd="sng">
                          <a:noFill/>
                          <a:prstDash val="solid"/>
                          <a:miter/>
                          <a:headEnd type="none" w="med" len="med"/>
                          <a:tailEnd type="none" w="med" len="med"/>
                        </a:ln>
                      </wps:spPr>
                      <wps:txbx>
                        <w:txbxContent>
                          <w:p>
                            <w:pPr>
                              <w:ind w:left="0" w:leftChars="0" w:firstLine="0" w:firstLineChars="0"/>
                              <w:rPr>
                                <w:rFonts w:hint="default" w:eastAsia="宋体"/>
                                <w:b/>
                                <w:bCs/>
                                <w:color w:val="FF0000"/>
                                <w:sz w:val="48"/>
                                <w:szCs w:val="48"/>
                                <w:lang w:val="en-US" w:eastAsia="zh-CN"/>
                              </w:rPr>
                            </w:pPr>
                            <w:r>
                              <w:rPr>
                                <w:rFonts w:hint="eastAsia" w:eastAsia="宋体"/>
                                <w:b/>
                                <w:bCs/>
                                <w:color w:val="FF0000"/>
                                <w:sz w:val="48"/>
                                <w:szCs w:val="48"/>
                                <w:lang w:val="en-US" w:eastAsia="zh-CN"/>
                              </w:rPr>
                              <w:t>G2</w:t>
                            </w:r>
                          </w:p>
                        </w:txbxContent>
                      </wps:txbx>
                      <wps:bodyPr lIns="0" tIns="0" rIns="0" bIns="0" upright="1"/>
                    </wps:wsp>
                  </a:graphicData>
                </a:graphic>
              </wp:anchor>
            </w:drawing>
          </mc:Choice>
          <mc:Fallback>
            <w:pict>
              <v:shape id="_x0000_s1026" o:spid="_x0000_s1026" o:spt="109" type="#_x0000_t109" style="position:absolute;left:0pt;margin-left:231.7pt;margin-top:4.5pt;height:35.55pt;width:53.3pt;z-index:251695104;mso-width-relative:page;mso-height-relative:page;" filled="f" stroked="f" coordsize="21600,21600" o:gfxdata="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DDOny2AAAAAgBAAAPAAAAAAAAAAEA&#10;IAAAACIAAABkcnMvZG93bnJldi54bWxQSwECFAAUAAAACACHTuJAq4FkWA8CAAAUBAAADgAAAAAA&#10;AAABACAAAAAnAQAAZHJzL2Uyb0RvYy54bWxQSwUGAAAAAAYABgBZAQAAqAUAAAAA&#10;">
                <v:fill on="f" focussize="0,0"/>
                <v:stroke on="f" weight="1.25pt" joinstyle="miter"/>
                <v:imagedata o:title=""/>
                <o:lock v:ext="edit" aspectratio="f"/>
                <v:textbox inset="0mm,0mm,0mm,0mm">
                  <w:txbxContent>
                    <w:p>
                      <w:pPr>
                        <w:ind w:left="0" w:leftChars="0" w:firstLine="0" w:firstLineChars="0"/>
                        <w:rPr>
                          <w:rFonts w:hint="default" w:eastAsia="宋体"/>
                          <w:b/>
                          <w:bCs/>
                          <w:color w:val="FF0000"/>
                          <w:sz w:val="48"/>
                          <w:szCs w:val="48"/>
                          <w:lang w:val="en-US" w:eastAsia="zh-CN"/>
                        </w:rPr>
                      </w:pPr>
                      <w:r>
                        <w:rPr>
                          <w:rFonts w:hint="eastAsia" w:eastAsia="宋体"/>
                          <w:b/>
                          <w:bCs/>
                          <w:color w:val="FF0000"/>
                          <w:sz w:val="48"/>
                          <w:szCs w:val="48"/>
                          <w:lang w:val="en-US" w:eastAsia="zh-CN"/>
                        </w:rPr>
                        <w:t>G2</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2705100</wp:posOffset>
                </wp:positionH>
                <wp:positionV relativeFrom="paragraph">
                  <wp:posOffset>5045075</wp:posOffset>
                </wp:positionV>
                <wp:extent cx="3839845" cy="426720"/>
                <wp:effectExtent l="0" t="0" r="0" b="0"/>
                <wp:wrapNone/>
                <wp:docPr id="48" name="文本框 27"/>
                <wp:cNvGraphicFramePr/>
                <a:graphic xmlns:a="http://schemas.openxmlformats.org/drawingml/2006/main">
                  <a:graphicData uri="http://schemas.microsoft.com/office/word/2010/wordprocessingShape">
                    <wps:wsp>
                      <wps:cNvSpPr txBox="1"/>
                      <wps:spPr>
                        <a:xfrm>
                          <a:off x="0" y="0"/>
                          <a:ext cx="3839845" cy="426720"/>
                        </a:xfrm>
                        <a:prstGeom prst="rect">
                          <a:avLst/>
                        </a:prstGeom>
                        <a:noFill/>
                        <a:ln>
                          <a:noFill/>
                        </a:ln>
                      </wps:spPr>
                      <wps:txbx>
                        <w:txbxContent>
                          <w:p>
                            <w:pPr>
                              <w:ind w:left="0" w:leftChars="0" w:firstLine="0" w:firstLineChars="0"/>
                              <w:jc w:val="center"/>
                              <w:rPr>
                                <w:rFonts w:hint="default"/>
                                <w:color w:val="FF0000"/>
                                <w:lang w:val="en-US" w:eastAsia="zh-CN"/>
                              </w:rPr>
                            </w:pPr>
                            <w:r>
                              <w:rPr>
                                <w:rFonts w:hint="eastAsia" w:eastAsia="宋体"/>
                                <w:b/>
                                <w:bCs/>
                                <w:color w:val="FF0000"/>
                                <w:sz w:val="21"/>
                                <w:szCs w:val="21"/>
                                <w:lang w:val="en-US" w:eastAsia="zh-CN"/>
                              </w:rPr>
                              <w:t>图</w:t>
                            </w:r>
                            <w:r>
                              <w:rPr>
                                <w:rFonts w:hint="eastAsia"/>
                                <w:b/>
                                <w:bCs/>
                                <w:color w:val="FF0000"/>
                                <w:sz w:val="21"/>
                                <w:szCs w:val="21"/>
                                <w:lang w:val="en-US" w:eastAsia="zh-CN"/>
                              </w:rPr>
                              <w:t>4.</w:t>
                            </w:r>
                            <w:r>
                              <w:rPr>
                                <w:rFonts w:hint="eastAsia" w:eastAsia="宋体"/>
                                <w:b/>
                                <w:bCs/>
                                <w:color w:val="FF0000"/>
                                <w:sz w:val="21"/>
                                <w:szCs w:val="21"/>
                                <w:lang w:val="en-US" w:eastAsia="zh-CN"/>
                              </w:rPr>
                              <w:t>2-1  环境空气监测点位图</w:t>
                            </w:r>
                          </w:p>
                        </w:txbxContent>
                      </wps:txbx>
                      <wps:bodyPr vert="horz" wrap="square" anchor="t" anchorCtr="0" upright="1"/>
                    </wps:wsp>
                  </a:graphicData>
                </a:graphic>
              </wp:anchor>
            </w:drawing>
          </mc:Choice>
          <mc:Fallback>
            <w:pict>
              <v:shape id="文本框 27" o:spid="_x0000_s1026" o:spt="202" type="#_x0000_t202" style="position:absolute;left:0pt;margin-left:213pt;margin-top:397.25pt;height:33.6pt;width:302.35pt;z-index:251666432;mso-width-relative:page;mso-height-relative:page;" filled="f" stroked="f" coordsize="21600,21600" o:gfxdata="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4n4E32QAAAAwBAAAPAAAAAAAAAAEAIAAAACIA&#10;AABkcnMvZG93bnJldi54bWxQSwECFAAUAAAACACHTuJAeYbfLc8BAACDAwAADgAAAAAAAAABACAA&#10;AAAoAQAAZHJzL2Uyb0RvYy54bWxQSwUGAAAAAAYABgBZAQAAaQUAAAAA&#10;">
                <v:fill on="f" focussize="0,0"/>
                <v:stroke on="f"/>
                <v:imagedata o:title=""/>
                <o:lock v:ext="edit" aspectratio="f"/>
                <v:textbox>
                  <w:txbxContent>
                    <w:p>
                      <w:pPr>
                        <w:ind w:left="0" w:leftChars="0" w:firstLine="0" w:firstLineChars="0"/>
                        <w:jc w:val="center"/>
                        <w:rPr>
                          <w:rFonts w:hint="default"/>
                          <w:color w:val="FF0000"/>
                          <w:lang w:val="en-US" w:eastAsia="zh-CN"/>
                        </w:rPr>
                      </w:pPr>
                      <w:r>
                        <w:rPr>
                          <w:rFonts w:hint="eastAsia" w:eastAsia="宋体"/>
                          <w:b/>
                          <w:bCs/>
                          <w:color w:val="FF0000"/>
                          <w:sz w:val="21"/>
                          <w:szCs w:val="21"/>
                          <w:lang w:val="en-US" w:eastAsia="zh-CN"/>
                        </w:rPr>
                        <w:t>图</w:t>
                      </w:r>
                      <w:r>
                        <w:rPr>
                          <w:rFonts w:hint="eastAsia"/>
                          <w:b/>
                          <w:bCs/>
                          <w:color w:val="FF0000"/>
                          <w:sz w:val="21"/>
                          <w:szCs w:val="21"/>
                          <w:lang w:val="en-US" w:eastAsia="zh-CN"/>
                        </w:rPr>
                        <w:t>4.</w:t>
                      </w:r>
                      <w:r>
                        <w:rPr>
                          <w:rFonts w:hint="eastAsia" w:eastAsia="宋体"/>
                          <w:b/>
                          <w:bCs/>
                          <w:color w:val="FF0000"/>
                          <w:sz w:val="21"/>
                          <w:szCs w:val="21"/>
                          <w:lang w:val="en-US" w:eastAsia="zh-CN"/>
                        </w:rPr>
                        <w:t>2-1  环境空气监测点位图</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.2-</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w:t>
      </w:r>
      <w:r>
        <w:rPr>
          <w:rFonts w:hint="eastAsia" w:cs="Times New Roman"/>
          <w:b/>
          <w:bCs/>
          <w:color w:val="auto"/>
          <w:sz w:val="21"/>
          <w:szCs w:val="21"/>
          <w:lang w:val="en-US" w:eastAsia="zh-CN"/>
        </w:rPr>
        <w:t>氨、硫化氢</w:t>
      </w:r>
      <w:r>
        <w:rPr>
          <w:rFonts w:hint="default" w:ascii="Times New Roman" w:hAnsi="Times New Roman" w:eastAsia="宋体" w:cs="Times New Roman"/>
          <w:b/>
          <w:bCs/>
          <w:color w:val="auto"/>
          <w:sz w:val="21"/>
          <w:szCs w:val="21"/>
          <w:lang w:val="en-US" w:eastAsia="zh-CN"/>
        </w:rPr>
        <w:t>环境质量现状</w:t>
      </w:r>
      <w:r>
        <w:rPr>
          <w:rFonts w:hint="eastAsia" w:ascii="Times New Roman" w:hAnsi="Times New Roman" w:eastAsia="宋体" w:cs="Times New Roman"/>
          <w:b/>
          <w:bCs/>
          <w:color w:val="auto"/>
          <w:sz w:val="21"/>
          <w:szCs w:val="21"/>
          <w:lang w:val="en-US" w:eastAsia="zh-CN"/>
        </w:rPr>
        <w:t>结果一览表</w:t>
      </w:r>
    </w:p>
    <w:tbl>
      <w:tblPr>
        <w:tblStyle w:val="48"/>
        <w:tblW w:w="503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68"/>
        <w:gridCol w:w="885"/>
        <w:gridCol w:w="1170"/>
        <w:gridCol w:w="753"/>
        <w:gridCol w:w="759"/>
        <w:gridCol w:w="774"/>
        <w:gridCol w:w="759"/>
        <w:gridCol w:w="769"/>
        <w:gridCol w:w="747"/>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zh-TW" w:eastAsia="zh-TW"/>
              </w:rPr>
              <w:t>检测点位</w:t>
            </w:r>
          </w:p>
        </w:tc>
        <w:tc>
          <w:tcPr>
            <w:tcW w:w="5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vertAlign w:val="baseline"/>
                <w:lang w:val="zh-TW" w:eastAsia="zh-CN"/>
              </w:rPr>
            </w:pPr>
            <w:r>
              <w:rPr>
                <w:rFonts w:hint="eastAsia" w:ascii="Times New Roman" w:hAnsi="Times New Roman" w:eastAsia="宋体" w:cs="Times New Roman"/>
                <w:color w:val="auto"/>
                <w:sz w:val="21"/>
                <w:szCs w:val="21"/>
                <w:vertAlign w:val="baseline"/>
                <w:lang w:val="zh-TW" w:eastAsia="zh-CN"/>
              </w:rPr>
              <w:t>检测因子</w:t>
            </w:r>
          </w:p>
        </w:tc>
        <w:tc>
          <w:tcPr>
            <w:tcW w:w="6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zh-TW" w:eastAsia="zh-CN"/>
              </w:rPr>
              <w:t>检测</w:t>
            </w:r>
            <w:r>
              <w:rPr>
                <w:rFonts w:hint="eastAsia" w:ascii="Times New Roman" w:hAnsi="Times New Roman" w:eastAsia="宋体" w:cs="Times New Roman"/>
                <w:color w:val="auto"/>
                <w:sz w:val="21"/>
                <w:szCs w:val="21"/>
                <w:vertAlign w:val="baseline"/>
                <w:lang w:val="zh-TW" w:eastAsia="zh-TW"/>
              </w:rPr>
              <w:t>时间</w:t>
            </w:r>
          </w:p>
        </w:tc>
        <w:tc>
          <w:tcPr>
            <w:tcW w:w="3254" w:type="pct"/>
            <w:gridSpan w:val="7"/>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zh-TW" w:eastAsia="zh-TW"/>
              </w:rPr>
              <w:t>检测结果（单位：</w:t>
            </w:r>
            <w:r>
              <w:rPr>
                <w:rFonts w:hint="default" w:ascii="Times New Roman" w:hAnsi="Times New Roman" w:eastAsia="宋体" w:cs="Times New Roman"/>
                <w:color w:val="auto"/>
                <w:sz w:val="21"/>
                <w:szCs w:val="21"/>
                <w:vertAlign w:val="baseline"/>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12.14</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12.15</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112.16</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12.17</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12.18</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G1</w:t>
            </w:r>
            <w:r>
              <w:rPr>
                <w:rFonts w:hint="eastAsia" w:ascii="Times New Roman" w:hAnsi="Times New Roman" w:eastAsia="宋体" w:cs="Times New Roman"/>
                <w:color w:val="auto"/>
                <w:sz w:val="21"/>
                <w:szCs w:val="21"/>
                <w:vertAlign w:val="baseline"/>
                <w:lang w:val="zh-TW" w:eastAsia="zh-TW"/>
              </w:rPr>
              <w:t>项目区域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氨</w:t>
            </w: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第一次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第二次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第三次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第四次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硫化氢</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第一次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第二次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第三次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0.005</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第四次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G2滨水湾小区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第一次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第二次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第三次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第四次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硫化氢</w:t>
            </w: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第一次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第二次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ND</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第三次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5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6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第四次</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w:t>
            </w:r>
          </w:p>
        </w:tc>
        <w:tc>
          <w:tcPr>
            <w:tcW w:w="5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.2-</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 xml:space="preserve"> 其他污染物环境质量</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监测结果</w:t>
      </w:r>
      <w:r>
        <w:rPr>
          <w:rFonts w:hint="default" w:ascii="Times New Roman" w:hAnsi="Times New Roman" w:eastAsia="宋体" w:cs="Times New Roman"/>
          <w:b/>
          <w:bCs/>
          <w:color w:val="auto"/>
          <w:sz w:val="21"/>
          <w:szCs w:val="21"/>
          <w:lang w:val="en-US" w:eastAsia="zh-CN"/>
        </w:rPr>
        <w:t>）表</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12"/>
        <w:gridCol w:w="3061"/>
        <w:gridCol w:w="2057"/>
        <w:gridCol w:w="2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6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监测点位</w:t>
            </w: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H</w:t>
            </w:r>
            <w:r>
              <w:rPr>
                <w:rFonts w:hint="default" w:ascii="Times New Roman" w:hAnsi="Times New Roman" w:eastAsia="宋体" w:cs="Times New Roman"/>
                <w:color w:val="auto"/>
                <w:sz w:val="21"/>
                <w:szCs w:val="21"/>
                <w:vertAlign w:val="subscript"/>
                <w:lang w:val="en-US" w:eastAsia="en-US"/>
              </w:rPr>
              <w:t>2</w:t>
            </w:r>
            <w:r>
              <w:rPr>
                <w:rFonts w:hint="default" w:ascii="Times New Roman" w:hAnsi="Times New Roman" w:eastAsia="宋体" w:cs="Times New Roman"/>
                <w:color w:val="auto"/>
                <w:sz w:val="21"/>
                <w:szCs w:val="21"/>
                <w:vertAlign w:val="baseline"/>
                <w:lang w:val="en-US" w:eastAsia="en-US"/>
              </w:rPr>
              <w:t>S</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en-US"/>
              </w:rPr>
              <w:t>lh</w:t>
            </w:r>
            <w:r>
              <w:rPr>
                <w:rFonts w:hint="default" w:ascii="Times New Roman" w:hAnsi="Times New Roman" w:eastAsia="宋体" w:cs="Times New Roman"/>
                <w:color w:val="auto"/>
                <w:sz w:val="21"/>
                <w:szCs w:val="21"/>
                <w:vertAlign w:val="baseline"/>
                <w:lang w:val="en-US" w:eastAsia="zh-CN"/>
              </w:rPr>
              <w:t>平均）</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en-US"/>
              </w:rPr>
              <w:t>NH</w:t>
            </w:r>
            <w:r>
              <w:rPr>
                <w:rFonts w:hint="default" w:ascii="Times New Roman" w:hAnsi="Times New Roman" w:eastAsia="宋体" w:cs="Times New Roman"/>
                <w:color w:val="auto"/>
                <w:sz w:val="21"/>
                <w:szCs w:val="21"/>
                <w:vertAlign w:val="subscript"/>
                <w:lang w:val="en-US" w:eastAsia="en-US"/>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en-US"/>
              </w:rPr>
              <w:t>lh</w:t>
            </w:r>
            <w:r>
              <w:rPr>
                <w:rFonts w:hint="default" w:ascii="Times New Roman" w:hAnsi="Times New Roman" w:eastAsia="宋体" w:cs="Times New Roman"/>
                <w:color w:val="auto"/>
                <w:sz w:val="21"/>
                <w:szCs w:val="21"/>
                <w:vertAlign w:val="baseline"/>
                <w:lang w:val="en-US" w:eastAsia="zh-CN"/>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trPr>
        <w:tc>
          <w:tcPr>
            <w:tcW w:w="6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GI</w:t>
            </w:r>
            <w:r>
              <w:rPr>
                <w:rFonts w:hint="default" w:ascii="Times New Roman" w:hAnsi="Times New Roman" w:eastAsia="宋体" w:cs="Times New Roman"/>
                <w:color w:val="auto"/>
                <w:sz w:val="21"/>
                <w:szCs w:val="21"/>
                <w:vertAlign w:val="baseline"/>
                <w:lang w:val="en-US" w:eastAsia="zh-CN"/>
              </w:rPr>
              <w:t>项目地</w:t>
            </w: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测值范围</w:t>
            </w:r>
            <w:r>
              <w:rPr>
                <w:rFonts w:hint="default" w:ascii="Times New Roman" w:hAnsi="Times New Roman" w:eastAsia="宋体" w:cs="Times New Roman"/>
                <w:color w:val="auto"/>
                <w:sz w:val="21"/>
                <w:szCs w:val="21"/>
                <w:vertAlign w:val="baseline"/>
                <w:lang w:val="en-US" w:eastAsia="en-US"/>
              </w:rPr>
              <w:t>（</w:t>
            </w:r>
            <w:r>
              <w:rPr>
                <w:rFonts w:hint="eastAsia" w:ascii="Times New Roman" w:hAnsi="Times New Roman" w:eastAsia="宋体" w:cs="Times New Roman"/>
                <w:color w:val="auto"/>
                <w:sz w:val="21"/>
                <w:szCs w:val="21"/>
                <w:vertAlign w:val="baseline"/>
                <w:lang w:val="en-US" w:eastAsia="zh-CN"/>
              </w:rPr>
              <w:t>m</w:t>
            </w:r>
            <w:r>
              <w:rPr>
                <w:rFonts w:hint="default" w:ascii="Times New Roman" w:hAnsi="Times New Roman" w:eastAsia="宋体" w:cs="Times New Roman"/>
                <w:color w:val="auto"/>
                <w:sz w:val="21"/>
                <w:szCs w:val="21"/>
                <w:vertAlign w:val="baseline"/>
                <w:lang w:val="en-US" w:eastAsia="en-US"/>
              </w:rPr>
              <w:t>g/m</w:t>
            </w:r>
            <w:r>
              <w:rPr>
                <w:rFonts w:hint="default" w:ascii="Times New Roman" w:hAnsi="Times New Roman" w:eastAsia="宋体" w:cs="Times New Roman"/>
                <w:color w:val="auto"/>
                <w:sz w:val="21"/>
                <w:szCs w:val="21"/>
                <w:vertAlign w:val="superscript"/>
                <w:lang w:val="en-US" w:eastAsia="en-US"/>
              </w:rPr>
              <w:t>3</w:t>
            </w:r>
            <w:r>
              <w:rPr>
                <w:rFonts w:hint="default" w:ascii="Times New Roman" w:hAnsi="Times New Roman" w:eastAsia="宋体" w:cs="Times New Roman"/>
                <w:color w:val="auto"/>
                <w:sz w:val="21"/>
                <w:szCs w:val="21"/>
                <w:vertAlign w:val="baseline"/>
                <w:lang w:val="en-US" w:eastAsia="en-US"/>
              </w:rPr>
              <w:t>)</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0.001~0.008</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0.02~0.04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6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最大浓度占标率（％)</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b/>
                <w:bCs/>
                <w:color w:val="auto"/>
                <w:sz w:val="21"/>
                <w:szCs w:val="21"/>
                <w:vertAlign w:val="baseline"/>
                <w:lang w:val="en-US" w:eastAsia="zh-CN"/>
              </w:rPr>
              <w:t>10~80</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6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超标率（％)</w:t>
            </w:r>
          </w:p>
        </w:tc>
        <w:tc>
          <w:tcPr>
            <w:tcW w:w="1235" w:type="pct"/>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256" w:type="pct"/>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trPr>
        <w:tc>
          <w:tcPr>
            <w:tcW w:w="6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最大超标倍数（倍）</w:t>
            </w:r>
          </w:p>
        </w:tc>
        <w:tc>
          <w:tcPr>
            <w:tcW w:w="1235" w:type="pct"/>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256" w:type="pct"/>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6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G2滨水湾小区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测值范围</w:t>
            </w:r>
            <w:r>
              <w:rPr>
                <w:rFonts w:hint="default" w:ascii="Times New Roman" w:hAnsi="Times New Roman" w:eastAsia="宋体" w:cs="Times New Roman"/>
                <w:color w:val="auto"/>
                <w:sz w:val="21"/>
                <w:szCs w:val="21"/>
                <w:vertAlign w:val="baseline"/>
                <w:lang w:val="en-US" w:eastAsia="en-US"/>
              </w:rPr>
              <w:t>（</w:t>
            </w:r>
            <w:r>
              <w:rPr>
                <w:rFonts w:hint="eastAsia" w:ascii="Times New Roman" w:hAnsi="Times New Roman" w:eastAsia="宋体" w:cs="Times New Roman"/>
                <w:color w:val="auto"/>
                <w:sz w:val="21"/>
                <w:szCs w:val="21"/>
                <w:vertAlign w:val="baseline"/>
                <w:lang w:val="en-US" w:eastAsia="zh-CN"/>
              </w:rPr>
              <w:t>m</w:t>
            </w:r>
            <w:r>
              <w:rPr>
                <w:rFonts w:hint="default" w:ascii="Times New Roman" w:hAnsi="Times New Roman" w:eastAsia="宋体" w:cs="Times New Roman"/>
                <w:color w:val="auto"/>
                <w:sz w:val="21"/>
                <w:szCs w:val="21"/>
                <w:vertAlign w:val="baseline"/>
                <w:lang w:val="en-US" w:eastAsia="en-US"/>
              </w:rPr>
              <w:t>g/m</w:t>
            </w:r>
            <w:r>
              <w:rPr>
                <w:rFonts w:hint="default" w:ascii="Times New Roman" w:hAnsi="Times New Roman" w:eastAsia="宋体" w:cs="Times New Roman"/>
                <w:color w:val="auto"/>
                <w:sz w:val="21"/>
                <w:szCs w:val="21"/>
                <w:vertAlign w:val="superscript"/>
                <w:lang w:val="en-US" w:eastAsia="en-US"/>
              </w:rPr>
              <w:t>3</w:t>
            </w:r>
            <w:r>
              <w:rPr>
                <w:rFonts w:hint="default" w:ascii="Times New Roman" w:hAnsi="Times New Roman" w:eastAsia="宋体" w:cs="Times New Roman"/>
                <w:color w:val="auto"/>
                <w:sz w:val="21"/>
                <w:szCs w:val="21"/>
                <w:vertAlign w:val="baseline"/>
                <w:lang w:val="en-US" w:eastAsia="en-US"/>
              </w:rPr>
              <w:t>)</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0~0.005</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6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最大浓度占标率（％)</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0~50</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6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8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超标率（％)</w:t>
            </w:r>
          </w:p>
        </w:tc>
        <w:tc>
          <w:tcPr>
            <w:tcW w:w="12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2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监测结果</w:t>
      </w:r>
      <w:r>
        <w:rPr>
          <w:rFonts w:hint="default" w:ascii="Times New Roman" w:hAnsi="Times New Roman" w:cs="Times New Roman"/>
          <w:color w:val="auto"/>
          <w:sz w:val="24"/>
          <w:szCs w:val="24"/>
          <w:highlight w:val="none"/>
        </w:rPr>
        <w:t>表明，</w:t>
      </w:r>
      <w:r>
        <w:rPr>
          <w:rFonts w:hint="eastAsia" w:cs="Times New Roman"/>
          <w:color w:val="auto"/>
          <w:sz w:val="24"/>
          <w:szCs w:val="24"/>
          <w:highlight w:val="none"/>
          <w:lang w:eastAsia="zh-CN"/>
        </w:rPr>
        <w:t>项目所在区附近</w:t>
      </w:r>
      <w:r>
        <w:rPr>
          <w:rFonts w:hint="eastAsia" w:ascii="Times New Roman" w:hAnsi="Times New Roman" w:cs="Times New Roman"/>
          <w:color w:val="auto"/>
          <w:sz w:val="24"/>
          <w:szCs w:val="24"/>
          <w:highlight w:val="none"/>
          <w:lang w:val="en-US" w:eastAsia="zh-CN"/>
        </w:rPr>
        <w:t>氨、硫化氢</w:t>
      </w:r>
      <w:r>
        <w:rPr>
          <w:rFonts w:hint="default" w:ascii="Times New Roman" w:hAnsi="Times New Roman" w:cs="Times New Roman"/>
          <w:color w:val="auto"/>
          <w:sz w:val="24"/>
          <w:szCs w:val="24"/>
          <w:highlight w:val="none"/>
        </w:rPr>
        <w:t>小时浓度满足</w:t>
      </w:r>
      <w:r>
        <w:rPr>
          <w:rFonts w:hint="eastAsia" w:ascii="Times New Roman" w:hAnsi="Times New Roman" w:cs="Times New Roman"/>
          <w:color w:val="auto"/>
          <w:sz w:val="24"/>
          <w:szCs w:val="24"/>
          <w:highlight w:val="none"/>
          <w:lang w:val="en-US" w:eastAsia="zh-CN"/>
        </w:rPr>
        <w:t>《环境影响评价技术导则 大气环境》（HJ2.2-2018）附录D中</w:t>
      </w:r>
      <w:r>
        <w:rPr>
          <w:rFonts w:hint="eastAsia" w:cs="宋体"/>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其他污染物空气质量浓度参考限值</w:t>
      </w:r>
      <w:r>
        <w:rPr>
          <w:rFonts w:hint="eastAsia" w:cs="宋体"/>
          <w:color w:val="auto"/>
          <w:sz w:val="24"/>
          <w:szCs w:val="24"/>
          <w:highlight w:val="none"/>
          <w:lang w:val="en-US" w:eastAsia="zh-CN"/>
        </w:rPr>
        <w:t>”</w:t>
      </w:r>
      <w:r>
        <w:rPr>
          <w:rFonts w:hint="default" w:ascii="Times New Roman" w:hAnsi="Times New Roman" w:cs="Times New Roman"/>
          <w:color w:val="auto"/>
          <w:sz w:val="24"/>
          <w:szCs w:val="24"/>
          <w:highlight w:val="none"/>
        </w:rPr>
        <w:t>要求。</w:t>
      </w:r>
    </w:p>
    <w:p>
      <w:pPr>
        <w:pStyle w:val="4"/>
        <w:numPr>
          <w:ilvl w:val="1"/>
          <w:numId w:val="0"/>
        </w:numPr>
        <w:ind w:leftChars="0"/>
        <w:rPr>
          <w:rFonts w:hint="eastAsia"/>
          <w:color w:val="auto"/>
        </w:rPr>
      </w:pPr>
      <w:bookmarkStart w:id="68" w:name="_Toc12898"/>
      <w:r>
        <w:rPr>
          <w:rFonts w:hint="eastAsia"/>
          <w:color w:val="auto"/>
          <w:lang w:val="en-US" w:eastAsia="zh-CN"/>
        </w:rPr>
        <w:t>4.3</w:t>
      </w:r>
      <w:r>
        <w:rPr>
          <w:rFonts w:hint="eastAsia"/>
          <w:color w:val="auto"/>
        </w:rPr>
        <w:t>地表水环境质量现状调查及评价</w:t>
      </w:r>
      <w:bookmarkEnd w:id="68"/>
    </w:p>
    <w:p>
      <w:pPr>
        <w:spacing w:line="360" w:lineRule="auto"/>
        <w:ind w:firstLine="480"/>
        <w:rPr>
          <w:rFonts w:hint="eastAsia" w:eastAsia="宋体"/>
          <w:color w:val="auto"/>
          <w:lang w:eastAsia="zh-CN"/>
        </w:rPr>
      </w:pPr>
      <w:r>
        <w:rPr>
          <w:rFonts w:hint="eastAsia"/>
          <w:color w:val="auto"/>
          <w:lang w:eastAsia="zh-CN"/>
        </w:rPr>
        <w:t>本项目的废水经医院污水处理站处理后经十五里河污水处理厂处理达标后排入十五里河，地表水评价等级为三级。</w:t>
      </w:r>
    </w:p>
    <w:p>
      <w:pPr>
        <w:spacing w:line="360" w:lineRule="auto"/>
        <w:ind w:firstLine="480"/>
        <w:rPr>
          <w:rFonts w:hint="eastAsia"/>
          <w:color w:val="auto"/>
          <w:lang w:eastAsia="zh-CN"/>
        </w:rPr>
      </w:pPr>
      <w:r>
        <w:rPr>
          <w:rFonts w:hint="eastAsia"/>
          <w:color w:val="auto"/>
          <w:lang w:eastAsia="zh-CN"/>
        </w:rPr>
        <w:t>根据根据《环境影响评价技术导则 地表水环境》（HJ 2.3-2018）中“6.6.2.1 水污染影响型三级 B 评价，可不开展区域污染源调查，主要调查依托污水处理设施的日处理能力、处理工艺、设计进水水质、处理后的废水稳定达标排放情况，同时应调查依托污水处理设施执行的排放标准是否涵盖建设项目排放的有毒有害的特征水污染物。”及“6.6.3 应根据不同评价等级对应的评价时期要求开展水环境质量现状调查。应优先采用国务院生态环境主管部门统—发布的水环境状况信息。”因此本项目不开展区域污染源调查，引用《202</w:t>
      </w:r>
      <w:r>
        <w:rPr>
          <w:rFonts w:hint="eastAsia"/>
          <w:color w:val="auto"/>
          <w:lang w:val="en-US" w:eastAsia="zh-CN"/>
        </w:rPr>
        <w:t>1</w:t>
      </w:r>
      <w:r>
        <w:rPr>
          <w:rFonts w:hint="eastAsia"/>
          <w:color w:val="auto"/>
          <w:lang w:eastAsia="zh-CN"/>
        </w:rPr>
        <w:t xml:space="preserve"> 年合肥市环境状况公报》中十五里河及巢湖的水环境状态信息。</w:t>
      </w:r>
    </w:p>
    <w:p>
      <w:pPr>
        <w:spacing w:line="360" w:lineRule="auto"/>
        <w:rPr>
          <w:rFonts w:hint="eastAsia"/>
          <w:color w:val="auto"/>
          <w:lang w:eastAsia="zh-CN"/>
        </w:rPr>
      </w:pPr>
      <w:r>
        <w:rPr>
          <w:rFonts w:hint="eastAsia"/>
          <w:color w:val="auto"/>
          <w:lang w:eastAsia="zh-CN"/>
        </w:rPr>
        <w:t>根据合肥市生态环境局发布的《202</w:t>
      </w:r>
      <w:r>
        <w:rPr>
          <w:rFonts w:hint="eastAsia"/>
          <w:color w:val="auto"/>
          <w:lang w:val="en-US" w:eastAsia="zh-CN"/>
        </w:rPr>
        <w:t>1</w:t>
      </w:r>
      <w:r>
        <w:rPr>
          <w:rFonts w:hint="eastAsia"/>
          <w:color w:val="auto"/>
          <w:lang w:eastAsia="zh-CN"/>
        </w:rPr>
        <w:t>年合肥市环境状况公报》：</w:t>
      </w:r>
    </w:p>
    <w:p>
      <w:pPr>
        <w:spacing w:line="360" w:lineRule="auto"/>
        <w:ind w:firstLine="480"/>
        <w:rPr>
          <w:rFonts w:hint="default" w:eastAsia="宋体"/>
          <w:color w:val="auto"/>
          <w:lang w:val="en-US" w:eastAsia="zh-CN"/>
        </w:rPr>
      </w:pPr>
      <w:r>
        <w:rPr>
          <w:rFonts w:hint="eastAsia"/>
          <w:color w:val="auto"/>
          <w:lang w:val="en-US" w:eastAsia="zh-CN"/>
        </w:rPr>
        <w:t>2</w:t>
      </w:r>
      <w:r>
        <w:rPr>
          <w:rFonts w:hint="eastAsia"/>
          <w:color w:val="auto"/>
          <w:lang w:eastAsia="zh-CN"/>
        </w:rPr>
        <w:t>02</w:t>
      </w:r>
      <w:r>
        <w:rPr>
          <w:rFonts w:hint="eastAsia"/>
          <w:color w:val="auto"/>
          <w:lang w:val="en-US" w:eastAsia="zh-CN"/>
        </w:rPr>
        <w:t>1</w:t>
      </w:r>
      <w:r>
        <w:rPr>
          <w:rFonts w:hint="eastAsia"/>
          <w:color w:val="auto"/>
          <w:lang w:eastAsia="zh-CN"/>
        </w:rPr>
        <w:t>年，巢湖湖区水质为Ⅳ类，东、西半湖及全湖水质类别无明显变化，西半湖及全湖营养状态由轻度富营养下降为中度富营养。纳入国家考核的20个环湖河流地表水断面，均达到年度考核要求，十五里河总体水质保持优良。</w:t>
      </w:r>
    </w:p>
    <w:p>
      <w:pPr>
        <w:pStyle w:val="4"/>
        <w:numPr>
          <w:ilvl w:val="1"/>
          <w:numId w:val="0"/>
        </w:numPr>
        <w:ind w:leftChars="0"/>
        <w:rPr>
          <w:rFonts w:hint="eastAsia"/>
          <w:color w:val="auto"/>
        </w:rPr>
      </w:pPr>
      <w:bookmarkStart w:id="69" w:name="_Toc10442"/>
      <w:r>
        <w:rPr>
          <w:rFonts w:hint="eastAsia"/>
          <w:color w:val="auto"/>
          <w:lang w:val="en-US" w:eastAsia="zh-CN"/>
        </w:rPr>
        <w:t>4.4</w:t>
      </w:r>
      <w:r>
        <w:rPr>
          <w:rFonts w:hint="eastAsia"/>
          <w:color w:val="auto"/>
        </w:rPr>
        <w:t>建设项目声环境现状调查</w:t>
      </w:r>
      <w:bookmarkEnd w:id="69"/>
    </w:p>
    <w:p>
      <w:pPr>
        <w:pStyle w:val="5"/>
        <w:numPr>
          <w:ilvl w:val="2"/>
          <w:numId w:val="0"/>
        </w:numPr>
        <w:spacing w:before="120"/>
        <w:ind w:leftChars="0"/>
        <w:rPr>
          <w:rFonts w:hint="eastAsia"/>
          <w:color w:val="auto"/>
        </w:rPr>
      </w:pPr>
      <w:r>
        <w:rPr>
          <w:rFonts w:hint="eastAsia"/>
          <w:color w:val="auto"/>
          <w:lang w:val="en-US" w:eastAsia="zh-CN"/>
        </w:rPr>
        <w:t>4.4.1</w:t>
      </w:r>
      <w:r>
        <w:rPr>
          <w:rFonts w:hint="eastAsia"/>
          <w:color w:val="auto"/>
        </w:rPr>
        <w:t>声现状监测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highlight w:val="none"/>
          <w:lang w:eastAsia="zh-CN"/>
        </w:rPr>
      </w:pPr>
      <w:r>
        <w:rPr>
          <w:rFonts w:hint="eastAsia"/>
          <w:color w:val="auto"/>
          <w:highlight w:val="none"/>
          <w:lang w:eastAsia="zh-CN"/>
        </w:rPr>
        <w:t>为了解项目区及周边敏感点噪声环境质量现状，本次环评委托</w:t>
      </w:r>
      <w:r>
        <w:rPr>
          <w:rFonts w:hint="eastAsia"/>
          <w:color w:val="auto"/>
          <w:highlight w:val="none"/>
        </w:rPr>
        <w:t>安徽省国众检测科技有限公司对项目区声环境现状进行</w:t>
      </w:r>
      <w:r>
        <w:rPr>
          <w:rFonts w:hint="eastAsia"/>
          <w:color w:val="auto"/>
          <w:highlight w:val="none"/>
          <w:lang w:eastAsia="zh-CN"/>
        </w:rPr>
        <w:t>了</w:t>
      </w:r>
      <w:r>
        <w:rPr>
          <w:rFonts w:hint="eastAsia"/>
          <w:color w:val="auto"/>
          <w:highlight w:val="none"/>
        </w:rPr>
        <w:t>监测调查</w:t>
      </w:r>
      <w:r>
        <w:rPr>
          <w:rFonts w:hint="eastAsia"/>
          <w:color w:val="auto"/>
          <w:highlight w:val="none"/>
          <w:lang w:eastAsia="zh-CN"/>
        </w:rPr>
        <w:t>，监测内容及结果如下：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（1）监测布点</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监测点设置：项目共布设</w:t>
      </w:r>
      <w:r>
        <w:rPr>
          <w:rFonts w:hint="eastAsia"/>
          <w:color w:val="auto"/>
          <w:lang w:val="en-US" w:eastAsia="zh-CN"/>
        </w:rPr>
        <w:t>26</w:t>
      </w:r>
      <w:r>
        <w:rPr>
          <w:rFonts w:hint="eastAsia"/>
          <w:color w:val="auto"/>
        </w:rPr>
        <w:t>个声环境监测点，在建设项目场界布设</w:t>
      </w:r>
      <w:r>
        <w:rPr>
          <w:rFonts w:hint="eastAsia"/>
          <w:color w:val="auto"/>
          <w:lang w:val="en-US" w:eastAsia="zh-CN"/>
        </w:rPr>
        <w:t>4</w:t>
      </w:r>
      <w:r>
        <w:rPr>
          <w:rFonts w:hint="eastAsia"/>
          <w:color w:val="auto"/>
        </w:rPr>
        <w:t>个声环境现状监测点，敏感目标处布设</w:t>
      </w:r>
      <w:r>
        <w:rPr>
          <w:rFonts w:hint="eastAsia"/>
          <w:color w:val="auto"/>
          <w:lang w:val="en-US" w:eastAsia="zh-CN"/>
        </w:rPr>
        <w:t>12</w:t>
      </w:r>
      <w:r>
        <w:rPr>
          <w:rFonts w:hint="eastAsia"/>
          <w:color w:val="auto"/>
        </w:rPr>
        <w:t>个声环境现状监测点，</w:t>
      </w:r>
      <w:r>
        <w:rPr>
          <w:rFonts w:hint="eastAsia"/>
          <w:color w:val="auto"/>
          <w:lang w:eastAsia="zh-CN"/>
        </w:rPr>
        <w:t>一期工程住院楼南楼</w:t>
      </w:r>
      <w:r>
        <w:rPr>
          <w:rFonts w:hint="eastAsia"/>
          <w:color w:val="auto"/>
          <w:lang w:val="en-US" w:eastAsia="zh-CN"/>
        </w:rPr>
        <w:t>2、6、10、14、18层</w:t>
      </w:r>
      <w:r>
        <w:rPr>
          <w:rFonts w:hint="eastAsia"/>
          <w:color w:val="auto"/>
        </w:rPr>
        <w:t>布设</w:t>
      </w:r>
      <w:r>
        <w:rPr>
          <w:rFonts w:hint="eastAsia"/>
          <w:color w:val="auto"/>
          <w:lang w:val="en-US" w:eastAsia="zh-CN"/>
        </w:rPr>
        <w:t>10</w:t>
      </w:r>
      <w:r>
        <w:rPr>
          <w:rFonts w:hint="eastAsia"/>
          <w:color w:val="auto"/>
        </w:rPr>
        <w:t>个声环境现状监测点</w:t>
      </w:r>
      <w:r>
        <w:rPr>
          <w:rFonts w:hint="eastAsia"/>
          <w:color w:val="auto"/>
          <w:lang w:eastAsia="zh-CN"/>
        </w:rPr>
        <w:t>，</w:t>
      </w:r>
      <w:r>
        <w:rPr>
          <w:rFonts w:hint="eastAsia"/>
          <w:color w:val="auto"/>
        </w:rPr>
        <w:t>监测布点见表</w:t>
      </w:r>
      <w:r>
        <w:rPr>
          <w:rFonts w:hint="eastAsia"/>
          <w:color w:val="auto"/>
          <w:lang w:val="en-US" w:eastAsia="zh-CN"/>
        </w:rPr>
        <w:t>5</w:t>
      </w:r>
      <w:r>
        <w:rPr>
          <w:rFonts w:hint="eastAsia"/>
          <w:color w:val="auto"/>
        </w:rPr>
        <w:t>.</w:t>
      </w:r>
      <w:r>
        <w:rPr>
          <w:rFonts w:hint="eastAsia"/>
          <w:color w:val="auto"/>
          <w:lang w:val="en-US" w:eastAsia="zh-CN"/>
        </w:rPr>
        <w:t>4</w:t>
      </w:r>
      <w:r>
        <w:rPr>
          <w:rFonts w:hint="eastAsia"/>
          <w:color w:val="auto"/>
        </w:rPr>
        <w:t>-1</w:t>
      </w:r>
      <w:r>
        <w:rPr>
          <w:rFonts w:hint="eastAsia"/>
          <w:color w:val="auto"/>
          <w:lang w:eastAsia="zh-CN"/>
        </w:rPr>
        <w:t>，</w:t>
      </w:r>
      <w:r>
        <w:rPr>
          <w:rFonts w:hint="eastAsia"/>
          <w:color w:val="auto"/>
          <w:lang w:val="en-US" w:eastAsia="zh-CN"/>
        </w:rPr>
        <w:t>监测点位图见图4.4-1</w:t>
      </w:r>
      <w:r>
        <w:rPr>
          <w:rFonts w:hint="eastAsia"/>
          <w:color w:val="auto"/>
        </w:rPr>
        <w:t>。</w:t>
      </w:r>
    </w:p>
    <w:p>
      <w:pPr>
        <w:spacing w:line="240" w:lineRule="auto"/>
        <w:ind w:firstLine="422"/>
        <w:jc w:val="center"/>
        <w:rPr>
          <w:rFonts w:hint="eastAsia" w:hAnsi="宋体"/>
          <w:b/>
          <w:color w:val="auto"/>
          <w:sz w:val="21"/>
          <w:szCs w:val="21"/>
        </w:rPr>
      </w:pPr>
      <w:r>
        <w:rPr>
          <w:rFonts w:hAnsi="宋体"/>
          <w:b/>
          <w:color w:val="auto"/>
          <w:sz w:val="21"/>
          <w:szCs w:val="21"/>
        </w:rPr>
        <w:t>表</w:t>
      </w:r>
      <w:r>
        <w:rPr>
          <w:rFonts w:hint="eastAsia" w:hAnsi="宋体"/>
          <w:b/>
          <w:color w:val="auto"/>
          <w:sz w:val="21"/>
          <w:szCs w:val="21"/>
          <w:lang w:val="en-US" w:eastAsia="zh-CN"/>
        </w:rPr>
        <w:t>4</w:t>
      </w:r>
      <w:r>
        <w:rPr>
          <w:rFonts w:hint="eastAsia" w:hAnsi="宋体"/>
          <w:b/>
          <w:color w:val="auto"/>
          <w:sz w:val="21"/>
          <w:szCs w:val="21"/>
        </w:rPr>
        <w:t>.</w:t>
      </w:r>
      <w:r>
        <w:rPr>
          <w:rFonts w:hint="eastAsia" w:hAnsi="宋体"/>
          <w:b/>
          <w:color w:val="auto"/>
          <w:sz w:val="21"/>
          <w:szCs w:val="21"/>
          <w:lang w:val="en-US" w:eastAsia="zh-CN"/>
        </w:rPr>
        <w:t>4</w:t>
      </w:r>
      <w:r>
        <w:rPr>
          <w:rFonts w:hint="eastAsia" w:hAnsi="宋体"/>
          <w:b/>
          <w:color w:val="auto"/>
          <w:sz w:val="21"/>
          <w:szCs w:val="21"/>
        </w:rPr>
        <w:t xml:space="preserve">-1 </w:t>
      </w:r>
      <w:r>
        <w:rPr>
          <w:rFonts w:hAnsi="宋体"/>
          <w:b/>
          <w:color w:val="auto"/>
          <w:sz w:val="21"/>
          <w:szCs w:val="21"/>
        </w:rPr>
        <w:t xml:space="preserve"> 区域噪声现状监测布点情况一览表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1288"/>
        <w:gridCol w:w="5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1383" w:type="dxa"/>
            <w:noWrap w:val="0"/>
            <w:vAlign w:val="center"/>
          </w:tcPr>
          <w:p>
            <w:pPr>
              <w:pStyle w:val="89"/>
              <w:adjustRightInd/>
              <w:snapToGrid/>
              <w:spacing w:line="360" w:lineRule="exact"/>
              <w:rPr>
                <w:rFonts w:hint="eastAsia" w:hAnsi="宋体" w:eastAsia="宋体"/>
                <w:color w:val="auto"/>
                <w:sz w:val="21"/>
                <w:szCs w:val="21"/>
              </w:rPr>
            </w:pPr>
            <w:r>
              <w:rPr>
                <w:rFonts w:hint="eastAsia" w:hAnsi="宋体" w:eastAsia="宋体"/>
                <w:color w:val="auto"/>
                <w:sz w:val="21"/>
                <w:szCs w:val="21"/>
              </w:rPr>
              <w:t>序号</w:t>
            </w:r>
          </w:p>
        </w:tc>
        <w:tc>
          <w:tcPr>
            <w:tcW w:w="1288" w:type="dxa"/>
            <w:noWrap w:val="0"/>
            <w:vAlign w:val="center"/>
          </w:tcPr>
          <w:p>
            <w:pPr>
              <w:pStyle w:val="89"/>
              <w:adjustRightInd/>
              <w:snapToGrid/>
              <w:spacing w:line="360" w:lineRule="exact"/>
              <w:rPr>
                <w:rFonts w:hAnsi="宋体" w:eastAsia="宋体"/>
                <w:color w:val="auto"/>
                <w:sz w:val="21"/>
                <w:szCs w:val="21"/>
              </w:rPr>
            </w:pPr>
            <w:r>
              <w:rPr>
                <w:rFonts w:hint="eastAsia" w:hAnsi="宋体" w:eastAsia="宋体"/>
                <w:color w:val="auto"/>
                <w:sz w:val="21"/>
                <w:szCs w:val="21"/>
              </w:rPr>
              <w:t>类别</w:t>
            </w:r>
          </w:p>
        </w:tc>
        <w:tc>
          <w:tcPr>
            <w:tcW w:w="5857" w:type="dxa"/>
            <w:noWrap w:val="0"/>
            <w:vAlign w:val="center"/>
          </w:tcPr>
          <w:p>
            <w:pPr>
              <w:pStyle w:val="89"/>
              <w:adjustRightInd/>
              <w:snapToGrid/>
              <w:spacing w:line="360" w:lineRule="exact"/>
              <w:rPr>
                <w:rFonts w:hint="eastAsia" w:hAnsi="宋体" w:eastAsia="宋体"/>
                <w:color w:val="auto"/>
                <w:sz w:val="21"/>
                <w:szCs w:val="21"/>
              </w:rPr>
            </w:pPr>
            <w:r>
              <w:rPr>
                <w:rFonts w:hint="eastAsia" w:hAnsi="宋体" w:eastAsia="宋体"/>
                <w:color w:val="auto"/>
                <w:sz w:val="21"/>
                <w:szCs w:val="21"/>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w:t>
            </w:r>
          </w:p>
        </w:tc>
        <w:tc>
          <w:tcPr>
            <w:tcW w:w="1288" w:type="dxa"/>
            <w:vMerge w:val="restart"/>
            <w:noWrap w:val="0"/>
            <w:vAlign w:val="center"/>
          </w:tcPr>
          <w:p>
            <w:pPr>
              <w:pStyle w:val="89"/>
              <w:adjustRightInd/>
              <w:snapToGrid/>
              <w:spacing w:line="360" w:lineRule="exact"/>
              <w:rPr>
                <w:rFonts w:hint="eastAsia" w:hAnsi="宋体" w:eastAsia="宋体"/>
                <w:color w:val="auto"/>
                <w:sz w:val="21"/>
                <w:szCs w:val="21"/>
                <w:lang w:eastAsia="zh-CN"/>
              </w:rPr>
            </w:pPr>
            <w:r>
              <w:rPr>
                <w:rFonts w:hint="eastAsia" w:hAnsi="宋体" w:eastAsia="宋体"/>
                <w:color w:val="auto"/>
                <w:sz w:val="21"/>
                <w:szCs w:val="21"/>
                <w:lang w:eastAsia="zh-CN"/>
              </w:rPr>
              <w:t>项目边界噪声</w:t>
            </w:r>
          </w:p>
        </w:tc>
        <w:tc>
          <w:tcPr>
            <w:tcW w:w="585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hAnsi="宋体" w:eastAsia="宋体"/>
                <w:color w:val="auto"/>
                <w:sz w:val="21"/>
                <w:szCs w:val="21"/>
              </w:rPr>
            </w:pPr>
            <w:r>
              <w:rPr>
                <w:rFonts w:hint="eastAsia" w:hAnsi="宋体"/>
                <w:color w:val="auto"/>
                <w:sz w:val="21"/>
                <w:szCs w:val="21"/>
                <w:lang w:eastAsia="zh-CN"/>
              </w:rPr>
              <w:t>项目边界</w:t>
            </w:r>
            <w:r>
              <w:rPr>
                <w:rFonts w:hint="eastAsia" w:ascii="Times New Roman" w:hAnsi="Times New Roman" w:eastAsia="宋体" w:cs="Times New Roman"/>
                <w:i w:val="0"/>
                <w:color w:val="auto"/>
                <w:kern w:val="0"/>
                <w:sz w:val="21"/>
                <w:szCs w:val="21"/>
                <w:u w:val="none"/>
                <w:lang w:val="en-US" w:eastAsia="zh-CN" w:bidi="ar"/>
              </w:rPr>
              <w:t>东侧外</w:t>
            </w:r>
            <w:r>
              <w:rPr>
                <w:rFonts w:hint="default" w:ascii="Times New Roman" w:hAnsi="Times New Roman" w:eastAsia="宋体" w:cs="Times New Roman"/>
                <w:i w:val="0"/>
                <w:color w:val="auto"/>
                <w:kern w:val="0"/>
                <w:sz w:val="21"/>
                <w:szCs w:val="21"/>
                <w:u w:val="none"/>
                <w:lang w:val="en-US" w:eastAsia="en-US" w:bidi="ar"/>
              </w:rPr>
              <w:t>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N2</w:t>
            </w:r>
          </w:p>
        </w:tc>
        <w:tc>
          <w:tcPr>
            <w:tcW w:w="1288" w:type="dxa"/>
            <w:vMerge w:val="continue"/>
            <w:noWrap w:val="0"/>
            <w:vAlign w:val="center"/>
          </w:tcPr>
          <w:p>
            <w:pPr>
              <w:pStyle w:val="89"/>
              <w:adjustRightInd/>
              <w:snapToGrid/>
              <w:spacing w:line="360" w:lineRule="exact"/>
              <w:rPr>
                <w:rFonts w:hAnsi="宋体" w:eastAsia="宋体"/>
                <w:color w:val="auto"/>
                <w:sz w:val="21"/>
                <w:szCs w:val="21"/>
              </w:rPr>
            </w:pPr>
          </w:p>
        </w:tc>
        <w:tc>
          <w:tcPr>
            <w:tcW w:w="585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hAnsi="宋体" w:eastAsia="宋体"/>
                <w:color w:val="auto"/>
                <w:sz w:val="21"/>
                <w:szCs w:val="21"/>
              </w:rPr>
            </w:pPr>
            <w:r>
              <w:rPr>
                <w:rFonts w:hint="eastAsia" w:hAnsi="宋体"/>
                <w:color w:val="auto"/>
                <w:sz w:val="21"/>
                <w:szCs w:val="21"/>
                <w:lang w:eastAsia="zh-CN"/>
              </w:rPr>
              <w:t>项目边界</w:t>
            </w:r>
            <w:r>
              <w:rPr>
                <w:rFonts w:hint="eastAsia" w:ascii="Times New Roman" w:hAnsi="Times New Roman" w:eastAsia="宋体" w:cs="Times New Roman"/>
                <w:i w:val="0"/>
                <w:color w:val="auto"/>
                <w:kern w:val="0"/>
                <w:sz w:val="21"/>
                <w:szCs w:val="21"/>
                <w:u w:val="none"/>
                <w:lang w:val="en-US" w:eastAsia="zh-CN" w:bidi="ar"/>
              </w:rPr>
              <w:t>南侧外</w:t>
            </w:r>
            <w:r>
              <w:rPr>
                <w:rFonts w:hint="default" w:ascii="Times New Roman" w:hAnsi="Times New Roman" w:eastAsia="宋体" w:cs="Times New Roman"/>
                <w:i w:val="0"/>
                <w:color w:val="auto"/>
                <w:kern w:val="0"/>
                <w:sz w:val="21"/>
                <w:szCs w:val="21"/>
                <w:u w:val="none"/>
                <w:lang w:val="en-US" w:eastAsia="en-US" w:bidi="ar"/>
              </w:rPr>
              <w:t>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N3</w:t>
            </w:r>
          </w:p>
        </w:tc>
        <w:tc>
          <w:tcPr>
            <w:tcW w:w="1288" w:type="dxa"/>
            <w:vMerge w:val="continue"/>
            <w:noWrap w:val="0"/>
            <w:vAlign w:val="center"/>
          </w:tcPr>
          <w:p>
            <w:pPr>
              <w:pStyle w:val="89"/>
              <w:adjustRightInd/>
              <w:snapToGrid/>
              <w:spacing w:line="360" w:lineRule="exact"/>
              <w:rPr>
                <w:rFonts w:hAnsi="宋体" w:eastAsia="宋体"/>
                <w:color w:val="auto"/>
                <w:sz w:val="21"/>
                <w:szCs w:val="21"/>
              </w:rPr>
            </w:pPr>
          </w:p>
        </w:tc>
        <w:tc>
          <w:tcPr>
            <w:tcW w:w="585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hAnsi="宋体" w:eastAsia="宋体"/>
                <w:color w:val="auto"/>
                <w:sz w:val="21"/>
                <w:szCs w:val="21"/>
              </w:rPr>
            </w:pPr>
            <w:r>
              <w:rPr>
                <w:rFonts w:hint="eastAsia" w:hAnsi="宋体"/>
                <w:color w:val="auto"/>
                <w:sz w:val="21"/>
                <w:szCs w:val="21"/>
                <w:lang w:eastAsia="zh-CN"/>
              </w:rPr>
              <w:t>项目边界</w:t>
            </w:r>
            <w:r>
              <w:rPr>
                <w:rFonts w:hint="eastAsia" w:ascii="Times New Roman" w:hAnsi="Times New Roman" w:eastAsia="宋体" w:cs="Times New Roman"/>
                <w:i w:val="0"/>
                <w:color w:val="auto"/>
                <w:kern w:val="0"/>
                <w:sz w:val="21"/>
                <w:szCs w:val="21"/>
                <w:u w:val="none"/>
                <w:lang w:val="en-US" w:eastAsia="zh-CN" w:bidi="ar"/>
              </w:rPr>
              <w:t>西侧外</w:t>
            </w:r>
            <w:r>
              <w:rPr>
                <w:rFonts w:hint="default" w:ascii="Times New Roman" w:hAnsi="Times New Roman" w:eastAsia="宋体" w:cs="Times New Roman"/>
                <w:i w:val="0"/>
                <w:color w:val="auto"/>
                <w:kern w:val="0"/>
                <w:sz w:val="21"/>
                <w:szCs w:val="21"/>
                <w:u w:val="none"/>
                <w:lang w:val="en-US" w:eastAsia="en-US" w:bidi="ar"/>
              </w:rPr>
              <w:t>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N4</w:t>
            </w:r>
          </w:p>
        </w:tc>
        <w:tc>
          <w:tcPr>
            <w:tcW w:w="1288" w:type="dxa"/>
            <w:vMerge w:val="continue"/>
            <w:noWrap w:val="0"/>
            <w:vAlign w:val="center"/>
          </w:tcPr>
          <w:p>
            <w:pPr>
              <w:pStyle w:val="89"/>
              <w:adjustRightInd/>
              <w:snapToGrid/>
              <w:spacing w:line="360" w:lineRule="exact"/>
              <w:rPr>
                <w:rFonts w:hAnsi="宋体" w:eastAsia="宋体"/>
                <w:color w:val="auto"/>
                <w:sz w:val="21"/>
                <w:szCs w:val="21"/>
              </w:rPr>
            </w:pPr>
          </w:p>
        </w:tc>
        <w:tc>
          <w:tcPr>
            <w:tcW w:w="585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hAnsi="宋体" w:eastAsia="宋体"/>
                <w:color w:val="auto"/>
                <w:sz w:val="21"/>
                <w:szCs w:val="21"/>
              </w:rPr>
            </w:pPr>
            <w:r>
              <w:rPr>
                <w:rFonts w:hint="eastAsia" w:hAnsi="宋体"/>
                <w:color w:val="auto"/>
                <w:sz w:val="21"/>
                <w:szCs w:val="21"/>
                <w:lang w:eastAsia="zh-CN"/>
              </w:rPr>
              <w:t>项目边界</w:t>
            </w:r>
            <w:r>
              <w:rPr>
                <w:rFonts w:hint="eastAsia" w:ascii="Times New Roman" w:hAnsi="Times New Roman" w:eastAsia="宋体" w:cs="Times New Roman"/>
                <w:i w:val="0"/>
                <w:color w:val="auto"/>
                <w:kern w:val="0"/>
                <w:sz w:val="21"/>
                <w:szCs w:val="21"/>
                <w:u w:val="none"/>
                <w:lang w:val="en-US" w:eastAsia="zh-CN" w:bidi="ar"/>
              </w:rPr>
              <w:t>北侧外</w:t>
            </w:r>
            <w:r>
              <w:rPr>
                <w:rFonts w:hint="default" w:ascii="Times New Roman" w:hAnsi="Times New Roman" w:eastAsia="宋体" w:cs="Times New Roman"/>
                <w:i w:val="0"/>
                <w:color w:val="auto"/>
                <w:kern w:val="0"/>
                <w:sz w:val="21"/>
                <w:szCs w:val="21"/>
                <w:u w:val="none"/>
                <w:lang w:val="en-US" w:eastAsia="en-US" w:bidi="ar"/>
              </w:rPr>
              <w:t>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N5</w:t>
            </w:r>
          </w:p>
        </w:tc>
        <w:tc>
          <w:tcPr>
            <w:tcW w:w="1288" w:type="dxa"/>
            <w:vMerge w:val="restart"/>
            <w:noWrap w:val="0"/>
            <w:vAlign w:val="center"/>
          </w:tcPr>
          <w:p>
            <w:pPr>
              <w:pStyle w:val="89"/>
              <w:adjustRightInd/>
              <w:snapToGrid/>
              <w:spacing w:line="360" w:lineRule="exact"/>
              <w:rPr>
                <w:rFonts w:hint="eastAsia" w:hAnsi="宋体" w:eastAsia="宋体"/>
                <w:color w:val="auto"/>
                <w:sz w:val="21"/>
                <w:szCs w:val="21"/>
                <w:lang w:eastAsia="zh-CN"/>
              </w:rPr>
            </w:pPr>
            <w:r>
              <w:rPr>
                <w:rFonts w:hint="eastAsia" w:hAnsi="宋体" w:eastAsia="宋体"/>
                <w:color w:val="auto"/>
                <w:sz w:val="21"/>
                <w:szCs w:val="21"/>
                <w:lang w:eastAsia="zh-CN"/>
              </w:rPr>
              <w:t>外部敏感点噪声</w:t>
            </w:r>
          </w:p>
        </w:tc>
        <w:tc>
          <w:tcPr>
            <w:tcW w:w="5857" w:type="dxa"/>
            <w:noWrap w:val="0"/>
            <w:vAlign w:val="center"/>
          </w:tcPr>
          <w:p>
            <w:pPr>
              <w:spacing w:line="320" w:lineRule="exact"/>
              <w:ind w:firstLine="420" w:firstLineChars="200"/>
              <w:jc w:val="center"/>
              <w:rPr>
                <w:rFonts w:hint="eastAsia" w:hAnsi="宋体" w:eastAsia="宋体"/>
                <w:color w:val="auto"/>
                <w:sz w:val="21"/>
                <w:szCs w:val="21"/>
              </w:rPr>
            </w:pPr>
            <w:r>
              <w:rPr>
                <w:rFonts w:hint="eastAsia" w:ascii="Times New Roman" w:hAnsi="Times New Roman" w:eastAsia="宋体" w:cs="Times New Roman"/>
                <w:color w:val="auto"/>
                <w:sz w:val="21"/>
                <w:szCs w:val="21"/>
                <w:lang w:val="en-US" w:eastAsia="zh-CN"/>
              </w:rPr>
              <w:t>安徽省立医院老年医学康复中心（在建）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N6</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Ansi="宋体" w:eastAsia="宋体"/>
                <w:color w:val="auto"/>
                <w:sz w:val="21"/>
                <w:szCs w:val="21"/>
              </w:rPr>
            </w:pPr>
            <w:r>
              <w:rPr>
                <w:rFonts w:hint="eastAsia" w:ascii="Times New Roman" w:hAnsi="Times New Roman" w:eastAsia="宋体" w:cs="Times New Roman"/>
                <w:color w:val="auto"/>
                <w:sz w:val="21"/>
                <w:szCs w:val="21"/>
                <w:lang w:val="en-US" w:eastAsia="zh-CN"/>
              </w:rPr>
              <w:t>招商雍华府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N7</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Ansi="宋体" w:eastAsia="宋体"/>
                <w:color w:val="auto"/>
                <w:sz w:val="21"/>
                <w:szCs w:val="21"/>
              </w:rPr>
            </w:pPr>
            <w:r>
              <w:rPr>
                <w:rFonts w:hint="eastAsia" w:ascii="Times New Roman" w:hAnsi="Times New Roman" w:eastAsia="宋体" w:cs="Times New Roman"/>
                <w:color w:val="auto"/>
                <w:sz w:val="21"/>
                <w:szCs w:val="21"/>
                <w:lang w:val="en-US" w:eastAsia="zh-CN"/>
              </w:rPr>
              <w:t>郡和府（在建小区）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N8</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Ansi="宋体" w:eastAsia="宋体"/>
                <w:color w:val="auto"/>
                <w:sz w:val="21"/>
                <w:szCs w:val="21"/>
              </w:rPr>
            </w:pPr>
            <w:r>
              <w:rPr>
                <w:rFonts w:hint="eastAsia" w:ascii="Times New Roman" w:hAnsi="Times New Roman" w:eastAsia="宋体" w:cs="Times New Roman"/>
                <w:color w:val="auto"/>
                <w:sz w:val="21"/>
                <w:szCs w:val="21"/>
                <w:lang w:val="en-US" w:eastAsia="zh-CN"/>
              </w:rPr>
              <w:t>滨湖医院项目办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N9</w:t>
            </w:r>
          </w:p>
        </w:tc>
        <w:tc>
          <w:tcPr>
            <w:tcW w:w="1288" w:type="dxa"/>
            <w:vMerge w:val="restart"/>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交通噪声</w:t>
            </w:r>
          </w:p>
        </w:tc>
        <w:tc>
          <w:tcPr>
            <w:tcW w:w="5857" w:type="dxa"/>
            <w:noWrap w:val="0"/>
            <w:vAlign w:val="center"/>
          </w:tcPr>
          <w:p>
            <w:pPr>
              <w:spacing w:line="320" w:lineRule="exact"/>
              <w:ind w:firstLine="420" w:firstLineChars="20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锦绣大道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N10</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安徽路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N11</w:t>
            </w:r>
          </w:p>
        </w:tc>
        <w:tc>
          <w:tcPr>
            <w:tcW w:w="1288" w:type="dxa"/>
            <w:vMerge w:val="restart"/>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项目拟建建筑物</w:t>
            </w:r>
          </w:p>
        </w:tc>
        <w:tc>
          <w:tcPr>
            <w:tcW w:w="5857" w:type="dxa"/>
            <w:noWrap w:val="0"/>
            <w:vAlign w:val="center"/>
          </w:tcPr>
          <w:p>
            <w:pPr>
              <w:spacing w:line="320" w:lineRule="exact"/>
              <w:ind w:firstLine="420" w:firstLineChars="200"/>
              <w:jc w:val="center"/>
              <w:rPr>
                <w:rFonts w:hint="default" w:cs="Times New Roman"/>
                <w:color w:val="auto"/>
                <w:sz w:val="21"/>
                <w:szCs w:val="21"/>
                <w:lang w:val="en-US" w:eastAsia="zh-CN"/>
              </w:rPr>
            </w:pPr>
            <w:r>
              <w:rPr>
                <w:rFonts w:hint="eastAsia" w:cs="Times New Roman"/>
                <w:color w:val="auto"/>
                <w:sz w:val="21"/>
                <w:szCs w:val="21"/>
                <w:lang w:val="en-US" w:eastAsia="zh-CN"/>
              </w:rPr>
              <w:t>老年保健中心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N12</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int="default" w:cs="Times New Roman"/>
                <w:color w:val="auto"/>
                <w:sz w:val="21"/>
                <w:szCs w:val="21"/>
                <w:lang w:val="en-US" w:eastAsia="zh-CN"/>
              </w:rPr>
            </w:pPr>
            <w:r>
              <w:rPr>
                <w:rFonts w:hint="eastAsia" w:cs="Times New Roman"/>
                <w:color w:val="auto"/>
                <w:sz w:val="21"/>
                <w:szCs w:val="21"/>
                <w:lang w:val="en-US" w:eastAsia="zh-CN"/>
              </w:rPr>
              <w:t>拓展住院部大楼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N13</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int="default" w:cs="Times New Roman"/>
                <w:color w:val="auto"/>
                <w:sz w:val="21"/>
                <w:szCs w:val="21"/>
                <w:lang w:val="en-US" w:eastAsia="zh-CN"/>
              </w:rPr>
            </w:pPr>
            <w:r>
              <w:rPr>
                <w:rFonts w:hint="eastAsia" w:cs="Times New Roman"/>
                <w:color w:val="auto"/>
                <w:sz w:val="21"/>
                <w:szCs w:val="21"/>
                <w:lang w:val="en-US" w:eastAsia="zh-CN"/>
              </w:rPr>
              <w:t>综合管理中心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83" w:type="dxa"/>
            <w:noWrap w:val="0"/>
            <w:vAlign w:val="center"/>
          </w:tcPr>
          <w:p>
            <w:pPr>
              <w:pStyle w:val="89"/>
              <w:adjustRightInd/>
              <w:snapToGrid/>
              <w:spacing w:line="360" w:lineRule="exact"/>
              <w:rPr>
                <w:rFonts w:hint="default" w:hAnsi="宋体" w:eastAsia="宋体"/>
                <w:color w:val="auto"/>
                <w:sz w:val="21"/>
                <w:szCs w:val="21"/>
                <w:lang w:val="en-US" w:eastAsia="zh-CN"/>
              </w:rPr>
            </w:pPr>
            <w:r>
              <w:rPr>
                <w:rFonts w:hint="eastAsia" w:hAnsi="宋体" w:eastAsia="宋体"/>
                <w:color w:val="auto"/>
                <w:sz w:val="21"/>
                <w:szCs w:val="21"/>
                <w:lang w:val="en-US" w:eastAsia="zh-CN"/>
              </w:rPr>
              <w:t>N14</w:t>
            </w:r>
          </w:p>
        </w:tc>
        <w:tc>
          <w:tcPr>
            <w:tcW w:w="1288" w:type="dxa"/>
            <w:vMerge w:val="continue"/>
            <w:noWrap w:val="0"/>
            <w:vAlign w:val="center"/>
          </w:tcPr>
          <w:p>
            <w:pPr>
              <w:pStyle w:val="89"/>
              <w:adjustRightInd/>
              <w:snapToGrid/>
              <w:spacing w:line="360" w:lineRule="exact"/>
              <w:rPr>
                <w:rFonts w:hint="eastAsia" w:hAnsi="宋体" w:eastAsia="宋体"/>
                <w:color w:val="auto"/>
                <w:sz w:val="21"/>
                <w:szCs w:val="21"/>
              </w:rPr>
            </w:pPr>
          </w:p>
        </w:tc>
        <w:tc>
          <w:tcPr>
            <w:tcW w:w="5857" w:type="dxa"/>
            <w:noWrap w:val="0"/>
            <w:vAlign w:val="center"/>
          </w:tcPr>
          <w:p>
            <w:pPr>
              <w:spacing w:line="320" w:lineRule="exact"/>
              <w:ind w:firstLine="420" w:firstLineChars="200"/>
              <w:jc w:val="center"/>
              <w:rPr>
                <w:rFonts w:hint="default" w:cs="Times New Roman"/>
                <w:color w:val="auto"/>
                <w:sz w:val="21"/>
                <w:szCs w:val="21"/>
                <w:lang w:val="en-US" w:eastAsia="zh-CN"/>
              </w:rPr>
            </w:pPr>
            <w:r>
              <w:rPr>
                <w:rFonts w:hint="eastAsia" w:cs="Times New Roman"/>
                <w:color w:val="auto"/>
                <w:sz w:val="21"/>
                <w:szCs w:val="21"/>
                <w:lang w:val="en-US" w:eastAsia="zh-CN"/>
              </w:rPr>
              <w:t>特殊门诊</w:t>
            </w:r>
          </w:p>
        </w:tc>
      </w:tr>
    </w:tbl>
    <w:p>
      <w:pPr>
        <w:pStyle w:val="227"/>
        <w:jc w:val="center"/>
        <w:rPr>
          <w:rFonts w:hint="eastAsia"/>
          <w:b/>
          <w:bCs/>
          <w:color w:val="auto"/>
          <w:sz w:val="21"/>
          <w:szCs w:val="21"/>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227"/>
        <w:ind w:left="0" w:leftChars="0" w:firstLine="0" w:firstLineChars="0"/>
        <w:jc w:val="center"/>
        <w:rPr>
          <w:rFonts w:hint="default" w:eastAsia="宋体"/>
          <w:b/>
          <w:bCs/>
          <w:color w:val="auto"/>
          <w:sz w:val="21"/>
          <w:szCs w:val="21"/>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7367905</wp:posOffset>
                </wp:positionH>
                <wp:positionV relativeFrom="paragraph">
                  <wp:posOffset>5198110</wp:posOffset>
                </wp:positionV>
                <wp:extent cx="1520190" cy="354965"/>
                <wp:effectExtent l="0" t="0" r="0" b="0"/>
                <wp:wrapNone/>
                <wp:docPr id="141" name="文本框 962"/>
                <wp:cNvGraphicFramePr/>
                <a:graphic xmlns:a="http://schemas.openxmlformats.org/drawingml/2006/main">
                  <a:graphicData uri="http://schemas.microsoft.com/office/word/2010/wordprocessingShape">
                    <wps:wsp>
                      <wps:cNvSpPr txBox="1"/>
                      <wps:spPr>
                        <a:xfrm>
                          <a:off x="0" y="0"/>
                          <a:ext cx="1520190"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项目拟建建筑物监测点位</w:t>
                            </w:r>
                          </w:p>
                        </w:txbxContent>
                      </wps:txbx>
                      <wps:bodyPr wrap="square" lIns="0" tIns="0" rIns="0" bIns="0" upright="1"/>
                    </wps:wsp>
                  </a:graphicData>
                </a:graphic>
              </wp:anchor>
            </w:drawing>
          </mc:Choice>
          <mc:Fallback>
            <w:pict>
              <v:shape id="文本框 962" o:spid="_x0000_s1026" o:spt="202" type="#_x0000_t202" style="position:absolute;left:0pt;margin-left:580.15pt;margin-top:409.3pt;height:27.95pt;width:119.7pt;z-index:251684864;mso-width-relative:page;mso-height-relative:page;" filled="f" stroked="f" coordsize="21600,21600" o:gfxdata="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MFBuz9sAAAANAQAADwAAAAAAAAABACAAAAAiAAAAZHJzL2Rv&#10;d25yZXYueG1sUEsBAhQAFAAAAAgAh07iQOYScFbFAQAAhAMAAA4AAAAAAAAAAQAgAAAAKgEAAGRy&#10;cy9lMm9Eb2MueG1sUEsFBgAAAAAGAAYAWQEAAGEFA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项目拟建建筑物监测点位</w:t>
                      </w:r>
                    </w:p>
                  </w:txbxContent>
                </v:textbox>
              </v:shape>
            </w:pict>
          </mc:Fallback>
        </mc:AlternateContent>
      </w:r>
      <w:r>
        <w:rPr>
          <w:color w:val="auto"/>
          <w:sz w:val="24"/>
        </w:rPr>
        <w:drawing>
          <wp:anchor distT="0" distB="0" distL="114300" distR="114300" simplePos="0" relativeHeight="251742208" behindDoc="0" locked="0" layoutInCell="1" allowOverlap="1">
            <wp:simplePos x="0" y="0"/>
            <wp:positionH relativeFrom="column">
              <wp:posOffset>7475220</wp:posOffset>
            </wp:positionH>
            <wp:positionV relativeFrom="paragraph">
              <wp:posOffset>-21590</wp:posOffset>
            </wp:positionV>
            <wp:extent cx="862330" cy="877570"/>
            <wp:effectExtent l="0" t="0" r="13970" b="17780"/>
            <wp:wrapNone/>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21"/>
                    <a:stretch>
                      <a:fillRect/>
                    </a:stretch>
                  </pic:blipFill>
                  <pic:spPr>
                    <a:xfrm>
                      <a:off x="0" y="0"/>
                      <a:ext cx="862330" cy="87757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34016" behindDoc="0" locked="0" layoutInCell="1" allowOverlap="1">
                <wp:simplePos x="0" y="0"/>
                <wp:positionH relativeFrom="column">
                  <wp:posOffset>3034030</wp:posOffset>
                </wp:positionH>
                <wp:positionV relativeFrom="paragraph">
                  <wp:posOffset>2245360</wp:posOffset>
                </wp:positionV>
                <wp:extent cx="331470" cy="334010"/>
                <wp:effectExtent l="0" t="0" r="0" b="0"/>
                <wp:wrapNone/>
                <wp:docPr id="61" name="文本框 706"/>
                <wp:cNvGraphicFramePr/>
                <a:graphic xmlns:a="http://schemas.openxmlformats.org/drawingml/2006/main">
                  <a:graphicData uri="http://schemas.microsoft.com/office/word/2010/wordprocessingShape">
                    <wps:wsp>
                      <wps:cNvSpPr txBox="1"/>
                      <wps:spPr>
                        <a:xfrm>
                          <a:off x="0" y="0"/>
                          <a:ext cx="331470" cy="334010"/>
                        </a:xfrm>
                        <a:prstGeom prst="rect">
                          <a:avLst/>
                        </a:prstGeom>
                        <a:noFill/>
                        <a:ln>
                          <a:noFill/>
                        </a:ln>
                      </wps:spPr>
                      <wps:txbx>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N14</w:t>
                            </w:r>
                          </w:p>
                        </w:txbxContent>
                      </wps:txbx>
                      <wps:bodyPr wrap="square" lIns="0" tIns="0" rIns="0" bIns="0" upright="1"/>
                    </wps:wsp>
                  </a:graphicData>
                </a:graphic>
              </wp:anchor>
            </w:drawing>
          </mc:Choice>
          <mc:Fallback>
            <w:pict>
              <v:shape id="文本框 706" o:spid="_x0000_s1026" o:spt="202" type="#_x0000_t202" style="position:absolute;left:0pt;margin-left:238.9pt;margin-top:176.8pt;height:26.3pt;width:26.1pt;z-index:251734016;mso-width-relative:page;mso-height-relative:page;" filled="f" stroked="f" coordsize="21600,21600" o:gfxdata="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pbsXZ2gAAAAsBAAAPAAAAAAAAAAEAIAAAACIAAABkcnMvZG93&#10;bnJldi54bWxQSwECFAAUAAAACACHTuJApbEDTcUBAACCAwAADgAAAAAAAAABACAAAAApAQAAZHJz&#10;L2Uyb0RvYy54bWxQSwUGAAAAAAYABgBZAQAAYAUAAAAA&#10;">
                <v:fill on="f" focussize="0,0"/>
                <v:stroke on="f"/>
                <v:imagedata o:title=""/>
                <o:lock v:ext="edit" aspectratio="f"/>
                <v:textbox inset="0mm,0mm,0mm,0mm">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N14</w:t>
                      </w:r>
                    </w:p>
                  </w:txbxContent>
                </v:textbox>
              </v:shape>
            </w:pict>
          </mc:Fallback>
        </mc:AlternateContent>
      </w:r>
      <w:r>
        <w:rPr>
          <w:color w:val="auto"/>
          <w:sz w:val="24"/>
        </w:rPr>
        <mc:AlternateContent>
          <mc:Choice Requires="wps">
            <w:drawing>
              <wp:anchor distT="0" distB="0" distL="114300" distR="114300" simplePos="0" relativeHeight="251732992" behindDoc="0" locked="0" layoutInCell="1" allowOverlap="1">
                <wp:simplePos x="0" y="0"/>
                <wp:positionH relativeFrom="column">
                  <wp:posOffset>3076575</wp:posOffset>
                </wp:positionH>
                <wp:positionV relativeFrom="paragraph">
                  <wp:posOffset>1951990</wp:posOffset>
                </wp:positionV>
                <wp:extent cx="331470" cy="334010"/>
                <wp:effectExtent l="0" t="0" r="0" b="0"/>
                <wp:wrapNone/>
                <wp:docPr id="60" name="文本框 706"/>
                <wp:cNvGraphicFramePr/>
                <a:graphic xmlns:a="http://schemas.openxmlformats.org/drawingml/2006/main">
                  <a:graphicData uri="http://schemas.microsoft.com/office/word/2010/wordprocessingShape">
                    <wps:wsp>
                      <wps:cNvSpPr txBox="1"/>
                      <wps:spPr>
                        <a:xfrm>
                          <a:off x="0" y="0"/>
                          <a:ext cx="331470" cy="334010"/>
                        </a:xfrm>
                        <a:prstGeom prst="rect">
                          <a:avLst/>
                        </a:prstGeom>
                        <a:noFill/>
                        <a:ln>
                          <a:noFill/>
                        </a:ln>
                      </wps:spPr>
                      <wps:txbx>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N13</w:t>
                            </w:r>
                          </w:p>
                        </w:txbxContent>
                      </wps:txbx>
                      <wps:bodyPr wrap="square" lIns="0" tIns="0" rIns="0" bIns="0" upright="1"/>
                    </wps:wsp>
                  </a:graphicData>
                </a:graphic>
              </wp:anchor>
            </w:drawing>
          </mc:Choice>
          <mc:Fallback>
            <w:pict>
              <v:shape id="文本框 706" o:spid="_x0000_s1026" o:spt="202" type="#_x0000_t202" style="position:absolute;left:0pt;margin-left:242.25pt;margin-top:153.7pt;height:26.3pt;width:26.1pt;z-index:251732992;mso-width-relative:page;mso-height-relative:page;" filled="f" stroked="f" coordsize="21600,21600" o:gfxdata="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fDcy/aAAAACwEAAA8AAAAAAAAAAQAgAAAAIgAAAGRycy9kb3du&#10;cmV2LnhtbFBLAQIUABQAAAAIAIdO4kB1apjWxAEAAIIDAAAOAAAAAAAAAAEAIAAAACkBAABkcnMv&#10;ZTJvRG9jLnhtbFBLBQYAAAAABgAGAFkBAABfBQAAAAA=&#10;">
                <v:fill on="f" focussize="0,0"/>
                <v:stroke on="f"/>
                <v:imagedata o:title=""/>
                <o:lock v:ext="edit" aspectratio="f"/>
                <v:textbox inset="0mm,0mm,0mm,0mm">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N13</w:t>
                      </w:r>
                    </w:p>
                  </w:txbxContent>
                </v:textbox>
              </v:shape>
            </w:pict>
          </mc:Fallback>
        </mc:AlternateContent>
      </w:r>
      <w:r>
        <w:rPr>
          <w:color w:val="auto"/>
          <w:sz w:val="24"/>
        </w:rPr>
        <mc:AlternateContent>
          <mc:Choice Requires="wps">
            <w:drawing>
              <wp:anchor distT="0" distB="0" distL="114300" distR="114300" simplePos="0" relativeHeight="251731968" behindDoc="0" locked="0" layoutInCell="1" allowOverlap="1">
                <wp:simplePos x="0" y="0"/>
                <wp:positionH relativeFrom="column">
                  <wp:posOffset>3227070</wp:posOffset>
                </wp:positionH>
                <wp:positionV relativeFrom="paragraph">
                  <wp:posOffset>1713230</wp:posOffset>
                </wp:positionV>
                <wp:extent cx="331470" cy="334010"/>
                <wp:effectExtent l="0" t="0" r="0" b="0"/>
                <wp:wrapNone/>
                <wp:docPr id="59" name="文本框 706"/>
                <wp:cNvGraphicFramePr/>
                <a:graphic xmlns:a="http://schemas.openxmlformats.org/drawingml/2006/main">
                  <a:graphicData uri="http://schemas.microsoft.com/office/word/2010/wordprocessingShape">
                    <wps:wsp>
                      <wps:cNvSpPr txBox="1"/>
                      <wps:spPr>
                        <a:xfrm>
                          <a:off x="0" y="0"/>
                          <a:ext cx="331470" cy="334010"/>
                        </a:xfrm>
                        <a:prstGeom prst="rect">
                          <a:avLst/>
                        </a:prstGeom>
                        <a:noFill/>
                        <a:ln>
                          <a:noFill/>
                        </a:ln>
                      </wps:spPr>
                      <wps:txbx>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N12</w:t>
                            </w:r>
                          </w:p>
                        </w:txbxContent>
                      </wps:txbx>
                      <wps:bodyPr wrap="square" lIns="0" tIns="0" rIns="0" bIns="0" upright="1"/>
                    </wps:wsp>
                  </a:graphicData>
                </a:graphic>
              </wp:anchor>
            </w:drawing>
          </mc:Choice>
          <mc:Fallback>
            <w:pict>
              <v:shape id="文本框 706" o:spid="_x0000_s1026" o:spt="202" type="#_x0000_t202" style="position:absolute;left:0pt;margin-left:254.1pt;margin-top:134.9pt;height:26.3pt;width:26.1pt;z-index:251731968;mso-width-relative:page;mso-height-relative:page;" filled="f" stroked="f" coordsize="21600,21600" o:gfxdata="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uF8jk9oAAAALAQAADwAAAAAAAAABACAAAAAiAAAAZHJzL2Rv&#10;d25yZXYueG1sUEsBAhQAFAAAAAgAh07iQPOnUhvGAQAAggMAAA4AAAAAAAAAAQAgAAAAKQEAAGRy&#10;cy9lMm9Eb2MueG1sUEsFBgAAAAAGAAYAWQEAAGEFAAAAAA==&#10;">
                <v:fill on="f" focussize="0,0"/>
                <v:stroke on="f"/>
                <v:imagedata o:title=""/>
                <o:lock v:ext="edit" aspectratio="f"/>
                <v:textbox inset="0mm,0mm,0mm,0mm">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N12</w:t>
                      </w:r>
                    </w:p>
                  </w:txbxContent>
                </v:textbox>
              </v:shape>
            </w:pict>
          </mc:Fallback>
        </mc:AlternateContent>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4243705</wp:posOffset>
                </wp:positionH>
                <wp:positionV relativeFrom="paragraph">
                  <wp:posOffset>1679575</wp:posOffset>
                </wp:positionV>
                <wp:extent cx="331470" cy="334010"/>
                <wp:effectExtent l="0" t="0" r="0" b="0"/>
                <wp:wrapNone/>
                <wp:docPr id="54" name="文本框 706"/>
                <wp:cNvGraphicFramePr/>
                <a:graphic xmlns:a="http://schemas.openxmlformats.org/drawingml/2006/main">
                  <a:graphicData uri="http://schemas.microsoft.com/office/word/2010/wordprocessingShape">
                    <wps:wsp>
                      <wps:cNvSpPr txBox="1"/>
                      <wps:spPr>
                        <a:xfrm>
                          <a:off x="0" y="0"/>
                          <a:ext cx="331470" cy="334010"/>
                        </a:xfrm>
                        <a:prstGeom prst="rect">
                          <a:avLst/>
                        </a:prstGeom>
                        <a:noFill/>
                        <a:ln>
                          <a:noFill/>
                        </a:ln>
                      </wps:spPr>
                      <wps:txbx>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N11</w:t>
                            </w:r>
                          </w:p>
                        </w:txbxContent>
                      </wps:txbx>
                      <wps:bodyPr wrap="square" lIns="0" tIns="0" rIns="0" bIns="0" upright="1"/>
                    </wps:wsp>
                  </a:graphicData>
                </a:graphic>
              </wp:anchor>
            </w:drawing>
          </mc:Choice>
          <mc:Fallback>
            <w:pict>
              <v:shape id="文本框 706" o:spid="_x0000_s1026" o:spt="202" type="#_x0000_t202" style="position:absolute;left:0pt;margin-left:334.15pt;margin-top:132.25pt;height:26.3pt;width:26.1pt;z-index:251730944;mso-width-relative:page;mso-height-relative:page;" filled="f" stroked="f" coordsize="21600,21600" o:gfxdata="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vsGz72gAAAAsBAAAPAAAAAAAAAAEAIAAAACIAAABkcnMvZG93&#10;bnJldi54bWxQSwECFAAUAAAACACHTuJAptLNhMUBAACCAwAADgAAAAAAAAABACAAAAApAQAAZHJz&#10;L2Uyb0RvYy54bWxQSwUGAAAAAAYABgBZAQAAYAUAAAAA&#10;">
                <v:fill on="f" focussize="0,0"/>
                <v:stroke on="f"/>
                <v:imagedata o:title=""/>
                <o:lock v:ext="edit" aspectratio="f"/>
                <v:textbox inset="0mm,0mm,0mm,0mm">
                  <w:txbxContent>
                    <w:p>
                      <w:pPr>
                        <w:ind w:left="0" w:leftChars="0" w:firstLine="0" w:firstLineChars="0"/>
                        <w:rPr>
                          <w:rFonts w:hint="default" w:eastAsia="宋体"/>
                          <w:b/>
                          <w:bCs/>
                          <w:color w:val="7030A0"/>
                          <w:sz w:val="21"/>
                          <w:szCs w:val="21"/>
                          <w:lang w:val="en-US" w:eastAsia="zh-CN"/>
                        </w:rPr>
                      </w:pPr>
                      <w:r>
                        <w:rPr>
                          <w:rFonts w:hint="eastAsia"/>
                          <w:b/>
                          <w:bCs/>
                          <w:color w:val="7030A0"/>
                          <w:sz w:val="21"/>
                          <w:szCs w:val="21"/>
                          <w:lang w:val="en-US" w:eastAsia="zh-CN"/>
                        </w:rPr>
                        <w:t>N11</w:t>
                      </w:r>
                    </w:p>
                  </w:txbxContent>
                </v:textbox>
              </v:shape>
            </w:pict>
          </mc:Fallback>
        </mc:AlternateContent>
      </w:r>
      <w:r>
        <w:rPr>
          <w:color w:val="auto"/>
          <w:sz w:val="24"/>
        </w:rPr>
        <w:drawing>
          <wp:inline distT="0" distB="0" distL="114300" distR="114300">
            <wp:extent cx="7825740" cy="5268595"/>
            <wp:effectExtent l="0" t="0" r="3810" b="8255"/>
            <wp:docPr id="5" name="图片 5" descr="2023010211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30102113748"/>
                    <pic:cNvPicPr>
                      <a:picLocks noChangeAspect="1"/>
                    </pic:cNvPicPr>
                  </pic:nvPicPr>
                  <pic:blipFill>
                    <a:blip r:embed="rId33"/>
                    <a:stretch>
                      <a:fillRect/>
                    </a:stretch>
                  </pic:blipFill>
                  <pic:spPr>
                    <a:xfrm>
                      <a:off x="0" y="0"/>
                      <a:ext cx="7825740" cy="5268595"/>
                    </a:xfrm>
                    <a:prstGeom prst="rect">
                      <a:avLst/>
                    </a:prstGeom>
                  </pic:spPr>
                </pic:pic>
              </a:graphicData>
            </a:graphic>
          </wp:inline>
        </w:drawing>
      </w:r>
      <w:r>
        <w:rPr>
          <w:color w:val="auto"/>
          <w:sz w:val="24"/>
        </w:rPr>
        <mc:AlternateContent>
          <mc:Choice Requires="wps">
            <w:drawing>
              <wp:anchor distT="0" distB="0" distL="114300" distR="114300" simplePos="0" relativeHeight="251729920" behindDoc="0" locked="0" layoutInCell="1" allowOverlap="1">
                <wp:simplePos x="0" y="0"/>
                <wp:positionH relativeFrom="column">
                  <wp:posOffset>2912110</wp:posOffset>
                </wp:positionH>
                <wp:positionV relativeFrom="paragraph">
                  <wp:posOffset>2305050</wp:posOffset>
                </wp:positionV>
                <wp:extent cx="153670" cy="168275"/>
                <wp:effectExtent l="0" t="0" r="17780" b="3175"/>
                <wp:wrapNone/>
                <wp:docPr id="51" name="自选图形 963"/>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401A5D">
                                <a:alpha val="100000"/>
                              </a:srgbClr>
                            </a:gs>
                            <a:gs pos="100000">
                              <a:srgbClr val="7B32B2">
                                <a:alpha val="100000"/>
                              </a:srgbClr>
                            </a:gs>
                          </a:gsLst>
                          <a:lin ang="5400000"/>
                          <a:tileRect/>
                        </a:gradFill>
                        <a:ln>
                          <a:noFill/>
                        </a:ln>
                      </wps:spPr>
                      <wps:bodyPr wrap="square" upright="1"/>
                    </wps:wsp>
                  </a:graphicData>
                </a:graphic>
              </wp:anchor>
            </w:drawing>
          </mc:Choice>
          <mc:Fallback>
            <w:pict>
              <v:shape id="自选图形 963" o:spid="_x0000_s1026" o:spt="5" type="#_x0000_t5" style="position:absolute;left:0pt;margin-left:229.3pt;margin-top:181.5pt;height:13.25pt;width:12.1pt;z-index:251729920;mso-width-relative:page;mso-height-relative:page;" fillcolor="#FFFFFF" filled="t" stroked="f" coordsize="21600,21600" o:gfxdata="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FfjiNwAAAALAQAADwAAAAAAAAABACAAAAAiAAAA&#10;ZHJzL2Rvd25yZXYueG1sUEsBAhQAFAAAAAgAh07iQEaVA9M8AgAApAQAAA4AAAAAAAAAAQAgAAAA&#10;KwEAAGRycy9lMm9Eb2MueG1sUEsFBgAAAAAGAAYAWQEAANkFAAAAAA==&#10;" adj="10800">
                <v:fill type="gradient" on="t" color2="#7B32B2" colors="0f #FFFFFF;0f #401A5D;65536f #7B32B2"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28896" behindDoc="0" locked="0" layoutInCell="1" allowOverlap="1">
                <wp:simplePos x="0" y="0"/>
                <wp:positionH relativeFrom="column">
                  <wp:posOffset>2900045</wp:posOffset>
                </wp:positionH>
                <wp:positionV relativeFrom="paragraph">
                  <wp:posOffset>2022475</wp:posOffset>
                </wp:positionV>
                <wp:extent cx="153670" cy="168275"/>
                <wp:effectExtent l="0" t="0" r="17780" b="3175"/>
                <wp:wrapNone/>
                <wp:docPr id="50" name="自选图形 963"/>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401A5D">
                                <a:alpha val="100000"/>
                              </a:srgbClr>
                            </a:gs>
                            <a:gs pos="100000">
                              <a:srgbClr val="7B32B2">
                                <a:alpha val="100000"/>
                              </a:srgbClr>
                            </a:gs>
                          </a:gsLst>
                          <a:lin ang="5400000"/>
                          <a:tileRect/>
                        </a:gradFill>
                        <a:ln>
                          <a:noFill/>
                        </a:ln>
                      </wps:spPr>
                      <wps:bodyPr wrap="square" upright="1"/>
                    </wps:wsp>
                  </a:graphicData>
                </a:graphic>
              </wp:anchor>
            </w:drawing>
          </mc:Choice>
          <mc:Fallback>
            <w:pict>
              <v:shape id="自选图形 963" o:spid="_x0000_s1026" o:spt="5" type="#_x0000_t5" style="position:absolute;left:0pt;margin-left:228.35pt;margin-top:159.25pt;height:13.25pt;width:12.1pt;z-index:251728896;mso-width-relative:page;mso-height-relative:page;" fillcolor="#FFFFFF" filled="t" stroked="f" coordsize="21600,21600" o:gfxdata="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NuOnd0AAAALAQAADwAAAAAAAAABACAAAAAiAAAA&#10;ZHJzL2Rvd25yZXYueG1sUEsBAhQAFAAAAAgAh07iQB3zn1M7AgAApAQAAA4AAAAAAAAAAQAgAAAA&#10;LAEAAGRycy9lMm9Eb2MueG1sUEsFBgAAAAAGAAYAWQEAANkFAAAAAA==&#10;" adj="10800">
                <v:fill type="gradient" on="t" color2="#7B32B2" colors="0f #FFFFFF;0f #401A5D;65536f #7B32B2"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3126740</wp:posOffset>
                </wp:positionH>
                <wp:positionV relativeFrom="paragraph">
                  <wp:posOffset>1805305</wp:posOffset>
                </wp:positionV>
                <wp:extent cx="153670" cy="168275"/>
                <wp:effectExtent l="0" t="0" r="17780" b="3175"/>
                <wp:wrapNone/>
                <wp:docPr id="46" name="自选图形 963"/>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401A5D">
                                <a:alpha val="100000"/>
                              </a:srgbClr>
                            </a:gs>
                            <a:gs pos="100000">
                              <a:srgbClr val="7B32B2">
                                <a:alpha val="100000"/>
                              </a:srgbClr>
                            </a:gs>
                          </a:gsLst>
                          <a:lin ang="5400000"/>
                          <a:tileRect/>
                        </a:gradFill>
                        <a:ln>
                          <a:noFill/>
                        </a:ln>
                      </wps:spPr>
                      <wps:bodyPr wrap="square" upright="1"/>
                    </wps:wsp>
                  </a:graphicData>
                </a:graphic>
              </wp:anchor>
            </w:drawing>
          </mc:Choice>
          <mc:Fallback>
            <w:pict>
              <v:shape id="自选图形 963" o:spid="_x0000_s1026" o:spt="5" type="#_x0000_t5" style="position:absolute;left:0pt;margin-left:246.2pt;margin-top:142.15pt;height:13.25pt;width:12.1pt;z-index:251726848;mso-width-relative:page;mso-height-relative:page;" fillcolor="#FFFFFF" filled="t" stroked="f" coordsize="21600,21600" o:gfxdata="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wrEM+3gAAAAsBAAAPAAAAAAAAAAEAIAAAACIA&#10;AABkcnMvZG93bnJldi54bWxQSwECFAAUAAAACACHTuJAX74NGjwCAACkBAAADgAAAAAAAAABACAA&#10;AAAtAQAAZHJzL2Uyb0RvYy54bWxQSwUGAAAAAAYABgBZAQAA2wUAAAAA&#10;" adj="10800">
                <v:fill type="gradient" on="t" color2="#7B32B2" colors="0f #FFFFFF;0f #401A5D;65536f #7B32B2"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4275455</wp:posOffset>
                </wp:positionH>
                <wp:positionV relativeFrom="paragraph">
                  <wp:posOffset>1600835</wp:posOffset>
                </wp:positionV>
                <wp:extent cx="153670" cy="168275"/>
                <wp:effectExtent l="0" t="0" r="17780" b="3175"/>
                <wp:wrapNone/>
                <wp:docPr id="47" name="自选图形 963"/>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401A5D">
                                <a:alpha val="100000"/>
                              </a:srgbClr>
                            </a:gs>
                            <a:gs pos="100000">
                              <a:srgbClr val="7B32B2">
                                <a:alpha val="100000"/>
                              </a:srgbClr>
                            </a:gs>
                          </a:gsLst>
                          <a:lin ang="5400000"/>
                          <a:tileRect/>
                        </a:gradFill>
                        <a:ln>
                          <a:noFill/>
                        </a:ln>
                      </wps:spPr>
                      <wps:bodyPr wrap="square" upright="1"/>
                    </wps:wsp>
                  </a:graphicData>
                </a:graphic>
              </wp:anchor>
            </w:drawing>
          </mc:Choice>
          <mc:Fallback>
            <w:pict>
              <v:shape id="自选图形 963" o:spid="_x0000_s1026" o:spt="5" type="#_x0000_t5" style="position:absolute;left:0pt;margin-left:336.65pt;margin-top:126.05pt;height:13.25pt;width:12.1pt;z-index:251727872;mso-width-relative:page;mso-height-relative:page;" fillcolor="#FFFFFF" filled="t" stroked="f" coordsize="21600,21600" o:gfxdata="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Y13tjeAAAACwEAAA8AAAAAAAAAAQAgAAAAIgAA&#10;AGRycy9kb3ducmV2LnhtbFBLAQIUABQAAAAIAIdO4kAE2JGaOwIAAKQEAAAOAAAAAAAAAAEAIAAA&#10;AC0BAABkcnMvZTJvRG9jLnhtbFBLBQYAAAAABgAGAFkBAADaBQAAAAA=&#10;" adj="10800">
                <v:fill type="gradient" on="t" color2="#7B32B2" colors="0f #FFFFFF;0f #401A5D;65536f #7B32B2"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2510155</wp:posOffset>
                </wp:positionH>
                <wp:positionV relativeFrom="paragraph">
                  <wp:posOffset>1591310</wp:posOffset>
                </wp:positionV>
                <wp:extent cx="255905" cy="334010"/>
                <wp:effectExtent l="0" t="0" r="0" b="0"/>
                <wp:wrapNone/>
                <wp:docPr id="43"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00B0F0"/>
                                <w:sz w:val="21"/>
                                <w:szCs w:val="21"/>
                                <w:lang w:val="en-US" w:eastAsia="zh-CN"/>
                              </w:rPr>
                            </w:pPr>
                            <w:r>
                              <w:rPr>
                                <w:rFonts w:hint="eastAsia" w:eastAsia="宋体"/>
                                <w:b/>
                                <w:bCs/>
                                <w:color w:val="FFFF00"/>
                                <w:sz w:val="21"/>
                                <w:szCs w:val="21"/>
                                <w:lang w:val="en-US" w:eastAsia="zh-CN"/>
                              </w:rPr>
                              <w:t>N10</w:t>
                            </w:r>
                          </w:p>
                        </w:txbxContent>
                      </wps:txbx>
                      <wps:bodyPr wrap="square" lIns="0" tIns="0" rIns="0" bIns="0" upright="1"/>
                    </wps:wsp>
                  </a:graphicData>
                </a:graphic>
              </wp:anchor>
            </w:drawing>
          </mc:Choice>
          <mc:Fallback>
            <w:pict>
              <v:shape id="文本框 706" o:spid="_x0000_s1026" o:spt="202" type="#_x0000_t202" style="position:absolute;left:0pt;margin-left:197.65pt;margin-top:125.3pt;height:26.3pt;width:20.15pt;z-index:251724800;mso-width-relative:page;mso-height-relative:page;" filled="f" stroked="f" coordsize="21600,21600" o:gfxdata="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i+4+8doAAAALAQAADwAAAAAAAAABACAAAAAiAAAAZHJzL2Rv&#10;d25yZXYueG1sUEsBAhQAFAAAAAgAh07iQOjHUejGAQAAggMAAA4AAAAAAAAAAQAgAAAAKQEAAGRy&#10;cy9lMm9Eb2MueG1sUEsFBgAAAAAGAAYAWQEAAGEFAAAAAA==&#10;">
                <v:fill on="f" focussize="0,0"/>
                <v:stroke on="f"/>
                <v:imagedata o:title=""/>
                <o:lock v:ext="edit" aspectratio="f"/>
                <v:textbox inset="0mm,0mm,0mm,0mm">
                  <w:txbxContent>
                    <w:p>
                      <w:pPr>
                        <w:ind w:left="0" w:leftChars="0" w:firstLine="0" w:firstLineChars="0"/>
                        <w:rPr>
                          <w:rFonts w:hint="default" w:eastAsia="宋体"/>
                          <w:b/>
                          <w:bCs/>
                          <w:color w:val="00B0F0"/>
                          <w:sz w:val="21"/>
                          <w:szCs w:val="21"/>
                          <w:lang w:val="en-US" w:eastAsia="zh-CN"/>
                        </w:rPr>
                      </w:pPr>
                      <w:r>
                        <w:rPr>
                          <w:rFonts w:hint="eastAsia" w:eastAsia="宋体"/>
                          <w:b/>
                          <w:bCs/>
                          <w:color w:val="FFFF00"/>
                          <w:sz w:val="21"/>
                          <w:szCs w:val="21"/>
                          <w:lang w:val="en-US" w:eastAsia="zh-CN"/>
                        </w:rPr>
                        <w:t>N10</w:t>
                      </w:r>
                    </w:p>
                  </w:txbxContent>
                </v:textbox>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3734435</wp:posOffset>
                </wp:positionH>
                <wp:positionV relativeFrom="paragraph">
                  <wp:posOffset>1170305</wp:posOffset>
                </wp:positionV>
                <wp:extent cx="255905" cy="334010"/>
                <wp:effectExtent l="0" t="0" r="0" b="0"/>
                <wp:wrapNone/>
                <wp:docPr id="44"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FFFF00"/>
                                <w:sz w:val="21"/>
                                <w:szCs w:val="21"/>
                                <w:lang w:val="en-US" w:eastAsia="zh-CN"/>
                              </w:rPr>
                            </w:pPr>
                            <w:r>
                              <w:rPr>
                                <w:rFonts w:hint="eastAsia"/>
                                <w:b/>
                                <w:bCs/>
                                <w:color w:val="FFFF00"/>
                                <w:sz w:val="21"/>
                                <w:szCs w:val="21"/>
                                <w:lang w:val="en-US" w:eastAsia="zh-CN"/>
                              </w:rPr>
                              <w:t>N9</w:t>
                            </w:r>
                          </w:p>
                        </w:txbxContent>
                      </wps:txbx>
                      <wps:bodyPr wrap="square" lIns="0" tIns="0" rIns="0" bIns="0" upright="1"/>
                    </wps:wsp>
                  </a:graphicData>
                </a:graphic>
              </wp:anchor>
            </w:drawing>
          </mc:Choice>
          <mc:Fallback>
            <w:pict>
              <v:shape id="文本框 706" o:spid="_x0000_s1026" o:spt="202" type="#_x0000_t202" style="position:absolute;left:0pt;margin-left:294.05pt;margin-top:92.15pt;height:26.3pt;width:20.15pt;z-index:251725824;mso-width-relative:page;mso-height-relative:page;" filled="f" stroked="f" coordsize="21600,21600" o:gfxdata="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8M96MNoAAAALAQAADwAAAAAAAAABACAAAAAiAAAAZHJzL2Rv&#10;d25yZXYueG1sUEsBAhQAFAAAAAgAh07iQFrIcJzGAQAAggMAAA4AAAAAAAAAAQAgAAAAKQEAAGRy&#10;cy9lMm9Eb2MueG1sUEsFBgAAAAAGAAYAWQEAAGEFAAAAAA==&#10;">
                <v:fill on="f" focussize="0,0"/>
                <v:stroke on="f"/>
                <v:imagedata o:title=""/>
                <o:lock v:ext="edit" aspectratio="f"/>
                <v:textbox inset="0mm,0mm,0mm,0mm">
                  <w:txbxContent>
                    <w:p>
                      <w:pPr>
                        <w:ind w:left="0" w:leftChars="0" w:firstLine="0" w:firstLineChars="0"/>
                        <w:rPr>
                          <w:rFonts w:hint="default" w:eastAsia="宋体"/>
                          <w:b/>
                          <w:bCs/>
                          <w:color w:val="FFFF00"/>
                          <w:sz w:val="21"/>
                          <w:szCs w:val="21"/>
                          <w:lang w:val="en-US" w:eastAsia="zh-CN"/>
                        </w:rPr>
                      </w:pPr>
                      <w:r>
                        <w:rPr>
                          <w:rFonts w:hint="eastAsia"/>
                          <w:b/>
                          <w:bCs/>
                          <w:color w:val="FFFF00"/>
                          <w:sz w:val="21"/>
                          <w:szCs w:val="21"/>
                          <w:lang w:val="en-US" w:eastAsia="zh-CN"/>
                        </w:rPr>
                        <w:t>N9</w:t>
                      </w:r>
                    </w:p>
                  </w:txbxContent>
                </v:textbox>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1052830</wp:posOffset>
                </wp:positionH>
                <wp:positionV relativeFrom="paragraph">
                  <wp:posOffset>1624330</wp:posOffset>
                </wp:positionV>
                <wp:extent cx="1346200" cy="354965"/>
                <wp:effectExtent l="0" t="0" r="0" b="0"/>
                <wp:wrapNone/>
                <wp:docPr id="39" name="文本框 271"/>
                <wp:cNvGraphicFramePr/>
                <a:graphic xmlns:a="http://schemas.openxmlformats.org/drawingml/2006/main">
                  <a:graphicData uri="http://schemas.microsoft.com/office/word/2010/wordprocessingShape">
                    <wps:wsp>
                      <wps:cNvSpPr txBox="1"/>
                      <wps:spPr>
                        <a:xfrm>
                          <a:off x="0" y="0"/>
                          <a:ext cx="1346200"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N8郡和府（在建）</w:t>
                            </w:r>
                          </w:p>
                        </w:txbxContent>
                      </wps:txbx>
                      <wps:bodyPr vert="horz" wrap="square" lIns="0" tIns="0" rIns="0" bIns="0" anchor="t" anchorCtr="0" upright="1"/>
                    </wps:wsp>
                  </a:graphicData>
                </a:graphic>
              </wp:anchor>
            </w:drawing>
          </mc:Choice>
          <mc:Fallback>
            <w:pict>
              <v:shape id="文本框 271" o:spid="_x0000_s1026" o:spt="202" type="#_x0000_t202" style="position:absolute;left:0pt;margin-left:82.9pt;margin-top:127.9pt;height:27.95pt;width:106pt;z-index:251721728;mso-width-relative:page;mso-height-relative:page;" filled="f" stroked="f" coordsize="21600,21600" o:gfxdata="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wxQq42AAAAAsBAAAPAAAA&#10;AAAAAAEAIAAAACIAAABkcnMvZG93bnJldi54bWxQSwECFAAUAAAACACHTuJAx2oiGdwBAACoAwAA&#10;DgAAAAAAAAABACAAAAAnAQAAZHJzL2Uyb0RvYy54bWxQSwUGAAAAAAYABgBZAQAAdQU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N8郡和府（在建）</w:t>
                      </w:r>
                    </w:p>
                  </w:txbxContent>
                </v:textbox>
              </v:shape>
            </w:pict>
          </mc:Fallback>
        </mc:AlternateContent>
      </w: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2435225</wp:posOffset>
                </wp:positionH>
                <wp:positionV relativeFrom="paragraph">
                  <wp:posOffset>2155825</wp:posOffset>
                </wp:positionV>
                <wp:extent cx="255905" cy="334010"/>
                <wp:effectExtent l="0" t="0" r="0" b="0"/>
                <wp:wrapNone/>
                <wp:docPr id="28"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N3</w:t>
                            </w:r>
                          </w:p>
                        </w:txbxContent>
                      </wps:txbx>
                      <wps:bodyPr wrap="square" lIns="0" tIns="0" rIns="0" bIns="0" upright="1"/>
                    </wps:wsp>
                  </a:graphicData>
                </a:graphic>
              </wp:anchor>
            </w:drawing>
          </mc:Choice>
          <mc:Fallback>
            <w:pict>
              <v:shape id="文本框 706" o:spid="_x0000_s1026" o:spt="202" type="#_x0000_t202" style="position:absolute;left:0pt;margin-left:191.75pt;margin-top:169.75pt;height:26.3pt;width:20.15pt;z-index:251713536;mso-width-relative:page;mso-height-relative:page;" filled="f" stroked="f" coordsize="21600,21600" o:gfxdata="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3F6zR2QAAAAsBAAAPAAAAAAAAAAEAIAAAACIAAABkcnMvZG93&#10;bnJldi54bWxQSwECFAAUAAAACACHTuJAf9wnO8YBAACCAwAADgAAAAAAAAABACAAAAAoAQAAZHJz&#10;L2Uyb0RvYy54bWxQSwUGAAAAAAYABgBZAQAAYAUAAAAA&#10;">
                <v:fill on="f" focussize="0,0"/>
                <v:stroke on="f"/>
                <v:imagedata o:title=""/>
                <o:lock v:ext="edit" aspectratio="f"/>
                <v:textbox inset="0mm,0mm,0mm,0mm">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N3</w:t>
                      </w:r>
                    </w:p>
                  </w:txbxContent>
                </v:textbox>
              </v:shape>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2586990</wp:posOffset>
                </wp:positionH>
                <wp:positionV relativeFrom="paragraph">
                  <wp:posOffset>1826895</wp:posOffset>
                </wp:positionV>
                <wp:extent cx="153670" cy="168275"/>
                <wp:effectExtent l="0" t="0" r="17780" b="3175"/>
                <wp:wrapNone/>
                <wp:docPr id="42" name="自选图形 710"/>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solidFill>
                          <a:srgbClr val="FFFF00"/>
                        </a:solidFill>
                        <a:ln>
                          <a:noFill/>
                        </a:ln>
                      </wps:spPr>
                      <wps:bodyPr wrap="square" upright="1"/>
                    </wps:wsp>
                  </a:graphicData>
                </a:graphic>
              </wp:anchor>
            </w:drawing>
          </mc:Choice>
          <mc:Fallback>
            <w:pict>
              <v:shape id="自选图形 710" o:spid="_x0000_s1026" o:spt="5" type="#_x0000_t5" style="position:absolute;left:0pt;margin-left:203.7pt;margin-top:143.85pt;height:13.25pt;width:12.1pt;z-index:251723776;mso-width-relative:page;mso-height-relative:page;" fillcolor="#FFFF00" filled="t" stroked="f" coordsize="21600,21600" o:gfxdata="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eMXu72AAAAAsBAAAP&#10;AAAAAAAAAAEAIAAAACIAAABkcnMvZG93bnJldi54bWxQSwECFAAUAAAACACHTuJA1qKOFd8BAACl&#10;AwAADgAAAAAAAAABACAAAAAnAQAAZHJzL2Uyb0RvYy54bWxQSwUGAAAAAAYABgBZAQAAeAUAAAAA&#10;" adj="1080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3571875</wp:posOffset>
                </wp:positionH>
                <wp:positionV relativeFrom="paragraph">
                  <wp:posOffset>1252855</wp:posOffset>
                </wp:positionV>
                <wp:extent cx="153670" cy="168275"/>
                <wp:effectExtent l="0" t="0" r="17780" b="3175"/>
                <wp:wrapNone/>
                <wp:docPr id="41" name="自选图形 710"/>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solidFill>
                          <a:srgbClr val="FFFF00"/>
                        </a:solidFill>
                        <a:ln>
                          <a:noFill/>
                        </a:ln>
                      </wps:spPr>
                      <wps:bodyPr wrap="square" upright="1"/>
                    </wps:wsp>
                  </a:graphicData>
                </a:graphic>
              </wp:anchor>
            </w:drawing>
          </mc:Choice>
          <mc:Fallback>
            <w:pict>
              <v:shape id="自选图形 710" o:spid="_x0000_s1026" o:spt="5" type="#_x0000_t5" style="position:absolute;left:0pt;margin-left:281.25pt;margin-top:98.65pt;height:13.25pt;width:12.1pt;z-index:251722752;mso-width-relative:page;mso-height-relative:page;" fillcolor="#FFFF00" filled="t" stroked="f" coordsize="21600,21600" o:gfxdata="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UXkCq2AAAAAsBAAAP&#10;AAAAAAAAAAEAIAAAACIAAABkcnMvZG93bnJldi54bWxQSwECFAAUAAAACACHTuJAVUrjet8BAACl&#10;AwAADgAAAAAAAAABACAAAAAnAQAAZHJzL2Uyb0RvYy54bWxQSwUGAAAAAAYABgBZAQAAeAUAAAAA&#10;" adj="1080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1279525</wp:posOffset>
                </wp:positionH>
                <wp:positionV relativeFrom="paragraph">
                  <wp:posOffset>2880360</wp:posOffset>
                </wp:positionV>
                <wp:extent cx="2667000" cy="354965"/>
                <wp:effectExtent l="0" t="0" r="0" b="0"/>
                <wp:wrapNone/>
                <wp:docPr id="38" name="文本框 271"/>
                <wp:cNvGraphicFramePr/>
                <a:graphic xmlns:a="http://schemas.openxmlformats.org/drawingml/2006/main">
                  <a:graphicData uri="http://schemas.microsoft.com/office/word/2010/wordprocessingShape">
                    <wps:wsp>
                      <wps:cNvSpPr txBox="1"/>
                      <wps:spPr>
                        <a:xfrm>
                          <a:off x="0" y="0"/>
                          <a:ext cx="2667000"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N7招商雍华府</w:t>
                            </w:r>
                          </w:p>
                        </w:txbxContent>
                      </wps:txbx>
                      <wps:bodyPr vert="horz" wrap="square" lIns="0" tIns="0" rIns="0" bIns="0" anchor="t" anchorCtr="0" upright="1"/>
                    </wps:wsp>
                  </a:graphicData>
                </a:graphic>
              </wp:anchor>
            </w:drawing>
          </mc:Choice>
          <mc:Fallback>
            <w:pict>
              <v:shape id="文本框 271" o:spid="_x0000_s1026" o:spt="202" type="#_x0000_t202" style="position:absolute;left:0pt;margin-left:100.75pt;margin-top:226.8pt;height:27.95pt;width:210pt;z-index:251720704;mso-width-relative:page;mso-height-relative:page;" filled="f" stroked="f" coordsize="21600,21600" o:gfxdata="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xX4s09kAAAALAQAADwAA&#10;AAAAAAABACAAAAAiAAAAZHJzL2Rvd25yZXYueG1sUEsBAhQAFAAAAAgAh07iQBd2ZELcAQAAqAMA&#10;AA4AAAAAAAAAAQAgAAAAKAEAAGRycy9lMm9Eb2MueG1sUEsFBgAAAAAGAAYAWQEAAHYFA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N7招商雍华府</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3778885</wp:posOffset>
                </wp:positionH>
                <wp:positionV relativeFrom="paragraph">
                  <wp:posOffset>3041650</wp:posOffset>
                </wp:positionV>
                <wp:extent cx="2926080" cy="354965"/>
                <wp:effectExtent l="0" t="0" r="0" b="0"/>
                <wp:wrapNone/>
                <wp:docPr id="37" name="文本框 271"/>
                <wp:cNvGraphicFramePr/>
                <a:graphic xmlns:a="http://schemas.openxmlformats.org/drawingml/2006/main">
                  <a:graphicData uri="http://schemas.microsoft.com/office/word/2010/wordprocessingShape">
                    <wps:wsp>
                      <wps:cNvSpPr txBox="1"/>
                      <wps:spPr>
                        <a:xfrm>
                          <a:off x="0" y="0"/>
                          <a:ext cx="2926080"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N6安徽省立医院老年医学康复中心（在建）</w:t>
                            </w:r>
                          </w:p>
                        </w:txbxContent>
                      </wps:txbx>
                      <wps:bodyPr vert="horz" wrap="square" lIns="0" tIns="0" rIns="0" bIns="0" anchor="t" anchorCtr="0" upright="1"/>
                    </wps:wsp>
                  </a:graphicData>
                </a:graphic>
              </wp:anchor>
            </w:drawing>
          </mc:Choice>
          <mc:Fallback>
            <w:pict>
              <v:shape id="文本框 271" o:spid="_x0000_s1026" o:spt="202" type="#_x0000_t202" style="position:absolute;left:0pt;margin-left:297.55pt;margin-top:239.5pt;height:27.95pt;width:230.4pt;z-index:251719680;mso-width-relative:page;mso-height-relative:page;" filled="f" stroked="f" coordsize="21600,21600" o:gfxdata="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7prLctoAAAAMAQAA&#10;DwAAAAAAAAABACAAAAAiAAAAZHJzL2Rvd25yZXYueG1sUEsBAhQAFAAAAAgAh07iQAwUV1reAQAA&#10;qAMAAA4AAAAAAAAAAQAgAAAAKQEAAGRycy9lMm9Eb2MueG1sUEsFBgAAAAAGAAYAWQEAAHkFAAAA&#10;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N6安徽省立医院老年医学康复中心（在建）</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3625215</wp:posOffset>
                </wp:positionH>
                <wp:positionV relativeFrom="paragraph">
                  <wp:posOffset>1429385</wp:posOffset>
                </wp:positionV>
                <wp:extent cx="255905" cy="334010"/>
                <wp:effectExtent l="0" t="0" r="0" b="0"/>
                <wp:wrapNone/>
                <wp:docPr id="27"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N4</w:t>
                            </w:r>
                          </w:p>
                        </w:txbxContent>
                      </wps:txbx>
                      <wps:bodyPr wrap="square" lIns="0" tIns="0" rIns="0" bIns="0" upright="1"/>
                    </wps:wsp>
                  </a:graphicData>
                </a:graphic>
              </wp:anchor>
            </w:drawing>
          </mc:Choice>
          <mc:Fallback>
            <w:pict>
              <v:shape id="文本框 706" o:spid="_x0000_s1026" o:spt="202" type="#_x0000_t202" style="position:absolute;left:0pt;margin-left:285.45pt;margin-top:112.55pt;height:26.3pt;width:20.15pt;z-index:251712512;mso-width-relative:page;mso-height-relative:page;" filled="f" stroked="f" coordsize="21600,21600" o:gfxdata="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ClVyV2QAAAAsBAAAPAAAAAAAAAAEAIAAAACIAAABkcnMvZG93&#10;bnJldi54bWxQSwECFAAUAAAACACHTuJAyxj+SMYBAACCAwAADgAAAAAAAAABACAAAAAoAQAAZHJz&#10;L2Uyb0RvYy54bWxQSwUGAAAAAAYABgBZAQAAYAUAAAAA&#10;">
                <v:fill on="f" focussize="0,0"/>
                <v:stroke on="f"/>
                <v:imagedata o:title=""/>
                <o:lock v:ext="edit" aspectratio="f"/>
                <v:textbox inset="0mm,0mm,0mm,0mm">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N4</w:t>
                      </w:r>
                    </w:p>
                  </w:txbxContent>
                </v:textbox>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5131435</wp:posOffset>
                </wp:positionH>
                <wp:positionV relativeFrom="paragraph">
                  <wp:posOffset>2034540</wp:posOffset>
                </wp:positionV>
                <wp:extent cx="1423035" cy="354965"/>
                <wp:effectExtent l="0" t="0" r="0" b="0"/>
                <wp:wrapNone/>
                <wp:docPr id="36" name="文本框 271"/>
                <wp:cNvGraphicFramePr/>
                <a:graphic xmlns:a="http://schemas.openxmlformats.org/drawingml/2006/main">
                  <a:graphicData uri="http://schemas.microsoft.com/office/word/2010/wordprocessingShape">
                    <wps:wsp>
                      <wps:cNvSpPr txBox="1"/>
                      <wps:spPr>
                        <a:xfrm>
                          <a:off x="0" y="0"/>
                          <a:ext cx="1423035"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N5滨湖医院项目办</w:t>
                            </w:r>
                          </w:p>
                        </w:txbxContent>
                      </wps:txbx>
                      <wps:bodyPr vert="horz" wrap="square" lIns="0" tIns="0" rIns="0" bIns="0" anchor="t" anchorCtr="0" upright="1"/>
                    </wps:wsp>
                  </a:graphicData>
                </a:graphic>
              </wp:anchor>
            </w:drawing>
          </mc:Choice>
          <mc:Fallback>
            <w:pict>
              <v:shape id="文本框 271" o:spid="_x0000_s1026" o:spt="202" type="#_x0000_t202" style="position:absolute;left:0pt;margin-left:404.05pt;margin-top:160.2pt;height:27.95pt;width:112.05pt;z-index:251718656;mso-width-relative:page;mso-height-relative:page;" filled="f" stroked="f" coordsize="21600,21600" o:gfxdata="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JfYIfaAAAADAEAAA8A&#10;AAAAAAAAAQAgAAAAIgAAAGRycy9kb3ducmV2LnhtbFBLAQIUABQAAAAIAIdO4kBLzM6K3AEAAKgD&#10;AAAOAAAAAAAAAAEAIAAAACkBAABkcnMvZTJvRG9jLnhtbFBLBQYAAAAABgAGAFkBAAB3BQ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ascii="Times New Roman" w:hAnsi="Times New Roman" w:eastAsia="宋体" w:cs="Times New Roman"/>
                          <w:b/>
                          <w:bCs/>
                          <w:color w:val="FF0000"/>
                          <w:szCs w:val="21"/>
                          <w:lang w:val="en-US" w:eastAsia="zh-CN"/>
                        </w:rPr>
                        <w:t>N5滨湖医院项目办</w:t>
                      </w:r>
                    </w:p>
                  </w:txbxContent>
                </v:textbox>
              </v:shap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1515110</wp:posOffset>
                </wp:positionH>
                <wp:positionV relativeFrom="paragraph">
                  <wp:posOffset>1860550</wp:posOffset>
                </wp:positionV>
                <wp:extent cx="147955" cy="114300"/>
                <wp:effectExtent l="8890" t="8890" r="14605" b="10160"/>
                <wp:wrapNone/>
                <wp:docPr id="34" name="自选图形 270"/>
                <wp:cNvGraphicFramePr/>
                <a:graphic xmlns:a="http://schemas.openxmlformats.org/drawingml/2006/main">
                  <a:graphicData uri="http://schemas.microsoft.com/office/word/2010/wordprocessingShape">
                    <wps:wsp>
                      <wps:cNvSpPr/>
                      <wps:spPr>
                        <a:xfrm>
                          <a:off x="0" y="0"/>
                          <a:ext cx="14795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0" o:spid="_x0000_s1026" o:spt="5" type="#_x0000_t5" style="position:absolute;left:0pt;margin-left:119.3pt;margin-top:146.5pt;height:9pt;width:11.65pt;z-index:251716608;mso-width-relative:page;mso-height-relative:page;" fillcolor="#FF0000" filled="t" stroked="t" coordsize="21600,21600" o:gfxdata="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ZV4CdkAAAALAQAADwAAAAAAAAABACAAAAAiAAAAZHJzL2Rv&#10;d25yZXYueG1sUEsBAhQAFAAAAAgAh07iQOTp3Vo5AgAAiQQAAA4AAAAAAAAAAQAgAAAAKAEAAGRy&#10;cy9lMm9Eb2MueG1sUEsFBgAAAAAGAAYAWQEAANMFAAAAAA==&#10;" adj="10800">
                <v:fill on="t" focussize="0,0"/>
                <v:stroke color="#FF0000" joinstyle="miter"/>
                <v:imagedata o:title=""/>
                <o:lock v:ext="edit" aspectratio="f"/>
              </v:shap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1992630</wp:posOffset>
                </wp:positionH>
                <wp:positionV relativeFrom="paragraph">
                  <wp:posOffset>2878455</wp:posOffset>
                </wp:positionV>
                <wp:extent cx="147955" cy="114300"/>
                <wp:effectExtent l="8890" t="8890" r="14605" b="10160"/>
                <wp:wrapNone/>
                <wp:docPr id="35" name="自选图形 270"/>
                <wp:cNvGraphicFramePr/>
                <a:graphic xmlns:a="http://schemas.openxmlformats.org/drawingml/2006/main">
                  <a:graphicData uri="http://schemas.microsoft.com/office/word/2010/wordprocessingShape">
                    <wps:wsp>
                      <wps:cNvSpPr/>
                      <wps:spPr>
                        <a:xfrm>
                          <a:off x="0" y="0"/>
                          <a:ext cx="14795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0" o:spid="_x0000_s1026" o:spt="5" type="#_x0000_t5" style="position:absolute;left:0pt;margin-left:156.9pt;margin-top:226.65pt;height:9pt;width:11.65pt;z-index:251717632;mso-width-relative:page;mso-height-relative:page;" fillcolor="#FF0000" filled="t" stroked="t" coordsize="21600,21600" o:gfxdata="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hWaw2AAAAAsBAAAPAAAAAAAAAAEAIAAAACIAAABkcnMvZG93&#10;bnJldi54bWxQSwECFAAUAAAACACHTuJAyNnstDkCAACJBAAADgAAAAAAAAABACAAAAAnAQAAZHJz&#10;L2Uyb0RvYy54bWxQSwUGAAAAAAYABgBZAQAA0gUAAAAA&#10;" adj="10800">
                <v:fill on="t" focussize="0,0"/>
                <v:stroke color="#FF0000" joinstyle="miter"/>
                <v:imagedata o:title=""/>
                <o:lock v:ext="edit" aspectratio="f"/>
              </v:shape>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3646805</wp:posOffset>
                </wp:positionH>
                <wp:positionV relativeFrom="paragraph">
                  <wp:posOffset>3158490</wp:posOffset>
                </wp:positionV>
                <wp:extent cx="147955" cy="114300"/>
                <wp:effectExtent l="8890" t="8890" r="14605" b="10160"/>
                <wp:wrapNone/>
                <wp:docPr id="30" name="自选图形 270"/>
                <wp:cNvGraphicFramePr/>
                <a:graphic xmlns:a="http://schemas.openxmlformats.org/drawingml/2006/main">
                  <a:graphicData uri="http://schemas.microsoft.com/office/word/2010/wordprocessingShape">
                    <wps:wsp>
                      <wps:cNvSpPr/>
                      <wps:spPr>
                        <a:xfrm>
                          <a:off x="0" y="0"/>
                          <a:ext cx="14795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0" o:spid="_x0000_s1026" o:spt="5" type="#_x0000_t5" style="position:absolute;left:0pt;margin-left:287.15pt;margin-top:248.7pt;height:9pt;width:11.65pt;z-index:251715584;mso-width-relative:page;mso-height-relative:page;" fillcolor="#FF0000" filled="t" stroked="t" coordsize="21600,21600" o:gfxdata="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Pg+tdkAAAALAQAADwAAAAAAAAABACAAAAAiAAAAZHJzL2Rv&#10;d25yZXYueG1sUEsBAhQAFAAAAAgAh07iQNYl+1Q5AgAAiQQAAA4AAAAAAAAAAQAgAAAAKAEAAGRy&#10;cy9lMm9Eb2MueG1sUEsFBgAAAAAGAAYAWQEAANMFAAAAAA==&#10;" adj="10800">
                <v:fill on="t" focussize="0,0"/>
                <v:stroke color="#FF0000" joinstyle="miter"/>
                <v:imagedata o:title=""/>
                <o:lock v:ext="edit" aspectratio="f"/>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4987925</wp:posOffset>
                </wp:positionH>
                <wp:positionV relativeFrom="paragraph">
                  <wp:posOffset>2139950</wp:posOffset>
                </wp:positionV>
                <wp:extent cx="147955" cy="114300"/>
                <wp:effectExtent l="8890" t="8890" r="14605" b="10160"/>
                <wp:wrapNone/>
                <wp:docPr id="29" name="自选图形 270"/>
                <wp:cNvGraphicFramePr/>
                <a:graphic xmlns:a="http://schemas.openxmlformats.org/drawingml/2006/main">
                  <a:graphicData uri="http://schemas.microsoft.com/office/word/2010/wordprocessingShape">
                    <wps:wsp>
                      <wps:cNvSpPr/>
                      <wps:spPr>
                        <a:xfrm>
                          <a:off x="0" y="0"/>
                          <a:ext cx="14795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0" o:spid="_x0000_s1026" o:spt="5" type="#_x0000_t5" style="position:absolute;left:0pt;margin-left:392.75pt;margin-top:168.5pt;height:9pt;width:11.65pt;z-index:251714560;mso-width-relative:page;mso-height-relative:page;" fillcolor="#FF0000" filled="t" stroked="t" coordsize="21600,21600" o:gfxdata="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ZfpbP2AAAAAsBAAAPAAAAAAAAAAEAIAAAACIAAABkcnMvZG93&#10;bnJldi54bWxQSwECFAAUAAAACACHTuJATdCxlDkCAACJBAAADgAAAAAAAAABACAAAAAnAQAAZHJz&#10;L2Uyb0RvYy54bWxQSwUGAAAAAAYABgBZAQAA0gUAAAAA&#10;" adj="10800">
                <v:fill on="t" focussize="0,0"/>
                <v:stroke color="#FF0000" joinstyle="miter"/>
                <v:imagedata o:title=""/>
                <o:lock v:ext="edit" aspectratio="f"/>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3775710</wp:posOffset>
                </wp:positionH>
                <wp:positionV relativeFrom="paragraph">
                  <wp:posOffset>2532380</wp:posOffset>
                </wp:positionV>
                <wp:extent cx="255905" cy="334010"/>
                <wp:effectExtent l="0" t="0" r="0" b="0"/>
                <wp:wrapNone/>
                <wp:docPr id="26"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N2</w:t>
                            </w:r>
                          </w:p>
                        </w:txbxContent>
                      </wps:txbx>
                      <wps:bodyPr wrap="square" lIns="0" tIns="0" rIns="0" bIns="0" upright="1"/>
                    </wps:wsp>
                  </a:graphicData>
                </a:graphic>
              </wp:anchor>
            </w:drawing>
          </mc:Choice>
          <mc:Fallback>
            <w:pict>
              <v:shape id="文本框 706" o:spid="_x0000_s1026" o:spt="202" type="#_x0000_t202" style="position:absolute;left:0pt;margin-left:297.3pt;margin-top:199.4pt;height:26.3pt;width:20.15pt;z-index:251711488;mso-width-relative:page;mso-height-relative:page;" filled="f" stroked="f" coordsize="21600,21600" o:gfxdata="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XuuiFtsAAAALAQAADwAAAAAAAAABACAAAAAiAAAAZHJzL2Rv&#10;d25yZXYueG1sUEsBAhQAFAAAAAgAh07iQBvDZdPFAQAAggMAAA4AAAAAAAAAAQAgAAAAKgEAAGRy&#10;cy9lMm9Eb2MueG1sUEsFBgAAAAAGAAYAWQEAAGEFAAAAAA==&#10;">
                <v:fill on="f" focussize="0,0"/>
                <v:stroke on="f"/>
                <v:imagedata o:title=""/>
                <o:lock v:ext="edit" aspectratio="f"/>
                <v:textbox inset="0mm,0mm,0mm,0mm">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N2</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4575810</wp:posOffset>
                </wp:positionH>
                <wp:positionV relativeFrom="paragraph">
                  <wp:posOffset>2055495</wp:posOffset>
                </wp:positionV>
                <wp:extent cx="255905" cy="334010"/>
                <wp:effectExtent l="0" t="0" r="0" b="0"/>
                <wp:wrapNone/>
                <wp:docPr id="20" name="文本框 706"/>
                <wp:cNvGraphicFramePr/>
                <a:graphic xmlns:a="http://schemas.openxmlformats.org/drawingml/2006/main">
                  <a:graphicData uri="http://schemas.microsoft.com/office/word/2010/wordprocessingShape">
                    <wps:wsp>
                      <wps:cNvSpPr txBox="1"/>
                      <wps:spPr>
                        <a:xfrm>
                          <a:off x="0" y="0"/>
                          <a:ext cx="255905" cy="334010"/>
                        </a:xfrm>
                        <a:prstGeom prst="rect">
                          <a:avLst/>
                        </a:prstGeom>
                        <a:noFill/>
                        <a:ln>
                          <a:noFill/>
                        </a:ln>
                      </wps:spPr>
                      <wps:txbx>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N1</w:t>
                            </w:r>
                          </w:p>
                        </w:txbxContent>
                      </wps:txbx>
                      <wps:bodyPr wrap="square" lIns="0" tIns="0" rIns="0" bIns="0" upright="1"/>
                    </wps:wsp>
                  </a:graphicData>
                </a:graphic>
              </wp:anchor>
            </w:drawing>
          </mc:Choice>
          <mc:Fallback>
            <w:pict>
              <v:shape id="文本框 706" o:spid="_x0000_s1026" o:spt="202" type="#_x0000_t202" style="position:absolute;left:0pt;margin-left:360.3pt;margin-top:161.85pt;height:26.3pt;width:20.15pt;z-index:251710464;mso-width-relative:page;mso-height-relative:page;" filled="f" stroked="f" coordsize="21600,21600" o:gfxdata="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RPirvZAAAACwEAAA8AAAAAAAAAAQAgAAAAIgAAAGRycy9kb3du&#10;cmV2LnhtbFBLAQIUABQAAAAIAIdO4kB5F988xQEAAIIDAAAOAAAAAAAAAAEAIAAAACgBAABkcnMv&#10;ZTJvRG9jLnhtbFBLBQYAAAAABgAGAFkBAABfBQAAAAA=&#10;">
                <v:fill on="f" focussize="0,0"/>
                <v:stroke on="f"/>
                <v:imagedata o:title=""/>
                <o:lock v:ext="edit" aspectratio="f"/>
                <v:textbox inset="0mm,0mm,0mm,0mm">
                  <w:txbxContent>
                    <w:p>
                      <w:pPr>
                        <w:ind w:left="0" w:leftChars="0" w:firstLine="0" w:firstLineChars="0"/>
                        <w:rPr>
                          <w:rFonts w:hint="default" w:eastAsia="宋体"/>
                          <w:b/>
                          <w:bCs/>
                          <w:color w:val="00B0F0"/>
                          <w:sz w:val="21"/>
                          <w:szCs w:val="21"/>
                          <w:lang w:val="en-US" w:eastAsia="zh-CN"/>
                        </w:rPr>
                      </w:pPr>
                      <w:r>
                        <w:rPr>
                          <w:rFonts w:hint="eastAsia"/>
                          <w:b/>
                          <w:bCs/>
                          <w:color w:val="00B0F0"/>
                          <w:sz w:val="21"/>
                          <w:szCs w:val="21"/>
                          <w:lang w:val="en-US" w:eastAsia="zh-CN"/>
                        </w:rPr>
                        <w:t>N1</w:t>
                      </w:r>
                    </w:p>
                  </w:txbxContent>
                </v:textbox>
              </v:shape>
            </w:pict>
          </mc:Fallback>
        </mc:AlternateContent>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3489325</wp:posOffset>
                </wp:positionH>
                <wp:positionV relativeFrom="paragraph">
                  <wp:posOffset>1616710</wp:posOffset>
                </wp:positionV>
                <wp:extent cx="153670" cy="168275"/>
                <wp:effectExtent l="0" t="0" r="17780" b="3175"/>
                <wp:wrapNone/>
                <wp:docPr id="18" name="自选图形 708"/>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034373">
                                <a:alpha val="100000"/>
                              </a:srgbClr>
                            </a:gs>
                            <a:gs pos="100000">
                              <a:srgbClr val="007BD3">
                                <a:alpha val="100000"/>
                              </a:srgbClr>
                            </a:gs>
                          </a:gsLst>
                          <a:lin ang="5400000"/>
                          <a:tileRect/>
                        </a:gradFill>
                        <a:ln>
                          <a:noFill/>
                        </a:ln>
                      </wps:spPr>
                      <wps:bodyPr wrap="square" upright="1"/>
                    </wps:wsp>
                  </a:graphicData>
                </a:graphic>
              </wp:anchor>
            </w:drawing>
          </mc:Choice>
          <mc:Fallback>
            <w:pict>
              <v:shape id="自选图形 708" o:spid="_x0000_s1026" o:spt="5" type="#_x0000_t5" style="position:absolute;left:0pt;margin-left:274.75pt;margin-top:127.3pt;height:13.25pt;width:12.1pt;z-index:251708416;mso-width-relative:page;mso-height-relative:page;" fillcolor="#FFFFFF" filled="t" stroked="f" coordsize="21600,21600" o:gfxdata="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&#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Rk6zB3QAAAAsBAAAPAAAAAAAAAAEAIAAAACIAAABk&#10;cnMvZG93bnJldi54bWxQSwECFAAUAAAACACHTuJAqyPZDjoCAACkBAAADgAAAAAAAAABACAAAAAs&#10;AQAAZHJzL2Uyb0RvYy54bWxQSwUGAAAAAAYABgBZAQAA2AUAAAAA&#10;" adj="10800">
                <v:fill type="gradient" on="t" color2="#007BD3" colors="0f #FFFFFF;0f #034373;65536f #007BD3"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2602230</wp:posOffset>
                </wp:positionH>
                <wp:positionV relativeFrom="paragraph">
                  <wp:posOffset>2115185</wp:posOffset>
                </wp:positionV>
                <wp:extent cx="153670" cy="168275"/>
                <wp:effectExtent l="0" t="0" r="17780" b="3175"/>
                <wp:wrapNone/>
                <wp:docPr id="19" name="自选图形 708"/>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034373">
                                <a:alpha val="100000"/>
                              </a:srgbClr>
                            </a:gs>
                            <a:gs pos="100000">
                              <a:srgbClr val="007BD3">
                                <a:alpha val="100000"/>
                              </a:srgbClr>
                            </a:gs>
                          </a:gsLst>
                          <a:lin ang="5400000"/>
                          <a:tileRect/>
                        </a:gradFill>
                        <a:ln>
                          <a:noFill/>
                        </a:ln>
                      </wps:spPr>
                      <wps:bodyPr wrap="square" upright="1"/>
                    </wps:wsp>
                  </a:graphicData>
                </a:graphic>
              </wp:anchor>
            </w:drawing>
          </mc:Choice>
          <mc:Fallback>
            <w:pict>
              <v:shape id="自选图形 708" o:spid="_x0000_s1026" o:spt="5" type="#_x0000_t5" style="position:absolute;left:0pt;margin-left:204.9pt;margin-top:166.55pt;height:13.25pt;width:12.1pt;z-index:251709440;mso-width-relative:page;mso-height-relative:page;" fillcolor="#FFFFFF" filled="t" stroked="f" coordsize="21600,21600" o:gfxdata="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Dx9O9sAAAALAQAADwAAAAAAAAABACAAAAAiAAAAZHJz&#10;L2Rvd25yZXYueG1sUEsBAhQAFAAAAAgAh07iQPBFRY46AgAApAQAAA4AAAAAAAAAAQAgAAAAKgEA&#10;AGRycy9lMm9Eb2MueG1sUEsFBgAAAAAGAAYAWQEAANYFAAAAAA==&#10;" adj="10800">
                <v:fill type="gradient" on="t" color2="#007BD3" colors="0f #FFFFFF;0f #034373;65536f #007BD3"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3618230</wp:posOffset>
                </wp:positionH>
                <wp:positionV relativeFrom="paragraph">
                  <wp:posOffset>2567940</wp:posOffset>
                </wp:positionV>
                <wp:extent cx="153670" cy="168275"/>
                <wp:effectExtent l="0" t="0" r="17780" b="3175"/>
                <wp:wrapNone/>
                <wp:docPr id="7" name="自选图形 708"/>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034373">
                                <a:alpha val="100000"/>
                              </a:srgbClr>
                            </a:gs>
                            <a:gs pos="100000">
                              <a:srgbClr val="007BD3">
                                <a:alpha val="100000"/>
                              </a:srgbClr>
                            </a:gs>
                          </a:gsLst>
                          <a:lin ang="5400000"/>
                          <a:tileRect/>
                        </a:gradFill>
                        <a:ln>
                          <a:noFill/>
                        </a:ln>
                      </wps:spPr>
                      <wps:bodyPr wrap="square" upright="1"/>
                    </wps:wsp>
                  </a:graphicData>
                </a:graphic>
              </wp:anchor>
            </w:drawing>
          </mc:Choice>
          <mc:Fallback>
            <w:pict>
              <v:shape id="自选图形 708" o:spid="_x0000_s1026" o:spt="5" type="#_x0000_t5" style="position:absolute;left:0pt;margin-left:284.9pt;margin-top:202.2pt;height:13.25pt;width:12.1pt;z-index:251707392;mso-width-relative:page;mso-height-relative:page;" fillcolor="#FFFFFF" filled="t" stroked="f" coordsize="21600,21600" o:gfxdata="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1pLjtsAAAALAQAADwAAAAAAAAABACAAAAAiAAAAZHJz&#10;L2Rvd25yZXYueG1sUEsBAhQAFAAAAAgAh07iQCpiCbQ6AgAAowQAAA4AAAAAAAAAAQAgAAAAKgEA&#10;AGRycy9lMm9Eb2MueG1sUEsFBgAAAAAGAAYAWQEAANYFAAAAAA==&#10;" adj="10800">
                <v:fill type="gradient" on="t" color2="#007BD3" colors="0f #FFFFFF;0f #034373;65536f #007BD3"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4483735</wp:posOffset>
                </wp:positionH>
                <wp:positionV relativeFrom="paragraph">
                  <wp:posOffset>2016125</wp:posOffset>
                </wp:positionV>
                <wp:extent cx="153670" cy="168275"/>
                <wp:effectExtent l="0" t="0" r="17780" b="3175"/>
                <wp:wrapNone/>
                <wp:docPr id="6" name="自选图形 708"/>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034373">
                                <a:alpha val="100000"/>
                              </a:srgbClr>
                            </a:gs>
                            <a:gs pos="100000">
                              <a:srgbClr val="007BD3">
                                <a:alpha val="100000"/>
                              </a:srgbClr>
                            </a:gs>
                          </a:gsLst>
                          <a:lin ang="5400000"/>
                          <a:tileRect/>
                        </a:gradFill>
                        <a:ln>
                          <a:noFill/>
                        </a:ln>
                      </wps:spPr>
                      <wps:bodyPr wrap="square" upright="1"/>
                    </wps:wsp>
                  </a:graphicData>
                </a:graphic>
              </wp:anchor>
            </w:drawing>
          </mc:Choice>
          <mc:Fallback>
            <w:pict>
              <v:shape id="自选图形 708" o:spid="_x0000_s1026" o:spt="5" type="#_x0000_t5" style="position:absolute;left:0pt;margin-left:353.05pt;margin-top:158.75pt;height:13.25pt;width:12.1pt;z-index:251706368;mso-width-relative:page;mso-height-relative:page;" fillcolor="#FFFFFF" filled="t" stroked="f" coordsize="21600,21600" o:gfxdata="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g+JJNwAAAALAQAADwAAAAAAAAABACAAAAAiAAAAZHJz&#10;L2Rvd25yZXYueG1sUEsBAhQAFAAAAAgAh07iQHEElTQ5AgAAowQAAA4AAAAAAAAAAQAgAAAAKwEA&#10;AGRycy9lMm9Eb2MueG1sUEsFBgAAAAAGAAYAWQEAANYFAAAAAA==&#10;" adj="10800">
                <v:fill type="gradient" on="t" color2="#007BD3" colors="0f #FFFFFF;0f #034373;65536f #007BD3"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-12700</wp:posOffset>
                </wp:positionH>
                <wp:positionV relativeFrom="paragraph">
                  <wp:posOffset>5271135</wp:posOffset>
                </wp:positionV>
                <wp:extent cx="8911590" cy="311150"/>
                <wp:effectExtent l="0" t="0" r="0" b="0"/>
                <wp:wrapNone/>
                <wp:docPr id="77" name="文本框 123"/>
                <wp:cNvGraphicFramePr/>
                <a:graphic xmlns:a="http://schemas.openxmlformats.org/drawingml/2006/main">
                  <a:graphicData uri="http://schemas.microsoft.com/office/word/2010/wordprocessingShape">
                    <wps:wsp>
                      <wps:cNvSpPr txBox="1"/>
                      <wps:spPr>
                        <a:xfrm>
                          <a:off x="0" y="0"/>
                          <a:ext cx="8911590" cy="311150"/>
                        </a:xfrm>
                        <a:prstGeom prst="rect">
                          <a:avLst/>
                        </a:prstGeom>
                        <a:noFill/>
                        <a:ln>
                          <a:noFill/>
                        </a:ln>
                      </wps:spPr>
                      <wps:txbx>
                        <w:txbxContent>
                          <w:p>
                            <w:pPr>
                              <w:ind w:left="0" w:leftChars="0" w:firstLine="0" w:firstLineChars="0"/>
                              <w:jc w:val="center"/>
                              <w:rPr>
                                <w:rFonts w:hint="default"/>
                                <w:lang w:val="en-US" w:eastAsia="zh-CN"/>
                              </w:rPr>
                            </w:pPr>
                            <w:r>
                              <w:rPr>
                                <w:rFonts w:hint="eastAsia"/>
                                <w:b/>
                                <w:bCs/>
                                <w:color w:val="auto"/>
                                <w:sz w:val="21"/>
                                <w:szCs w:val="21"/>
                                <w:lang w:val="en-US" w:eastAsia="zh-CN"/>
                              </w:rPr>
                              <w:t>图5.4-1  声环境监测点位图</w:t>
                            </w:r>
                          </w:p>
                        </w:txbxContent>
                      </wps:txbx>
                      <wps:bodyPr vert="horz" wrap="square" lIns="0" tIns="0" rIns="0" bIns="0" anchor="t" anchorCtr="0" upright="1"/>
                    </wps:wsp>
                  </a:graphicData>
                </a:graphic>
              </wp:anchor>
            </w:drawing>
          </mc:Choice>
          <mc:Fallback>
            <w:pict>
              <v:shape id="文本框 123" o:spid="_x0000_s1026" o:spt="202" type="#_x0000_t202" style="position:absolute;left:0pt;margin-left:-1pt;margin-top:415.05pt;height:24.5pt;width:701.7pt;z-index:251669504;mso-width-relative:page;mso-height-relative:page;" filled="f" stroked="f" coordsize="21600,21600" o:gfxdata="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ENT6iDaAAAACwEAAA8A&#10;AAAAAAAAAQAgAAAAIgAAAGRycy9kb3ducmV2LnhtbFBLAQIUABQAAAAIAIdO4kASkddr3AEAAKgD&#10;AAAOAAAAAAAAAAEAIAAAACkBAABkcnMvZTJvRG9jLnhtbFBLBQYAAAAABgAGAFkBAAB3BQAAAAA=&#10;">
                <v:fill on="f" focussize="0,0"/>
                <v:stroke on="f"/>
                <v:imagedata o:title=""/>
                <o:lock v:ext="edit" aspectratio="f"/>
                <v:textbox inset="0mm,0mm,0mm,0mm">
                  <w:txbxContent>
                    <w:p>
                      <w:pPr>
                        <w:ind w:left="0" w:leftChars="0" w:firstLine="0" w:firstLineChars="0"/>
                        <w:jc w:val="center"/>
                        <w:rPr>
                          <w:rFonts w:hint="default"/>
                          <w:lang w:val="en-US" w:eastAsia="zh-CN"/>
                        </w:rPr>
                      </w:pPr>
                      <w:r>
                        <w:rPr>
                          <w:rFonts w:hint="eastAsia"/>
                          <w:b/>
                          <w:bCs/>
                          <w:color w:val="auto"/>
                          <w:sz w:val="21"/>
                          <w:szCs w:val="21"/>
                          <w:lang w:val="en-US" w:eastAsia="zh-CN"/>
                        </w:rPr>
                        <w:t>图5.4-1  声环境监测点位图</w:t>
                      </w:r>
                    </w:p>
                  </w:txbxContent>
                </v:textbox>
              </v:shape>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7195185</wp:posOffset>
                </wp:positionH>
                <wp:positionV relativeFrom="paragraph">
                  <wp:posOffset>5267325</wp:posOffset>
                </wp:positionV>
                <wp:extent cx="153670" cy="168275"/>
                <wp:effectExtent l="0" t="0" r="17780" b="3175"/>
                <wp:wrapNone/>
                <wp:docPr id="142" name="自选图形 963"/>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401A5D">
                                <a:alpha val="100000"/>
                              </a:srgbClr>
                            </a:gs>
                            <a:gs pos="100000">
                              <a:srgbClr val="7B32B2">
                                <a:alpha val="100000"/>
                              </a:srgbClr>
                            </a:gs>
                          </a:gsLst>
                          <a:lin ang="5400000"/>
                          <a:tileRect/>
                        </a:gradFill>
                        <a:ln>
                          <a:noFill/>
                        </a:ln>
                      </wps:spPr>
                      <wps:bodyPr wrap="square" upright="1"/>
                    </wps:wsp>
                  </a:graphicData>
                </a:graphic>
              </wp:anchor>
            </w:drawing>
          </mc:Choice>
          <mc:Fallback>
            <w:pict>
              <v:shape id="自选图形 963" o:spid="_x0000_s1026" o:spt="5" type="#_x0000_t5" style="position:absolute;left:0pt;margin-left:566.55pt;margin-top:414.75pt;height:13.25pt;width:12.1pt;z-index:251685888;mso-width-relative:page;mso-height-relative:page;" fillcolor="#FFFFFF" filled="t" stroked="f" coordsize="21600,21600" o:gfxdata="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YGAln3gAAAA0BAAAPAAAAAAAAAAEAIAAAACIA&#10;AABkcnMvZG93bnJldi54bWxQSwECFAAUAAAACACHTuJAVpHa+jwCAAClBAAADgAAAAAAAAABACAA&#10;AAAtAQAAZHJzL2Uyb0RvYy54bWxQSwUGAAAAAAYABgBZAQAA2wUAAAAA&#10;" adj="10800">
                <v:fill type="gradient" on="t" color2="#7B32B2" colors="0f #FFFFFF;0f #401A5D;65536f #7B32B2"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7186295</wp:posOffset>
                </wp:positionH>
                <wp:positionV relativeFrom="paragraph">
                  <wp:posOffset>5029835</wp:posOffset>
                </wp:positionV>
                <wp:extent cx="153670" cy="168275"/>
                <wp:effectExtent l="0" t="0" r="17780" b="3175"/>
                <wp:wrapNone/>
                <wp:docPr id="111" name="自选图形 710"/>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solidFill>
                          <a:srgbClr val="FFFF00"/>
                        </a:solidFill>
                        <a:ln>
                          <a:noFill/>
                        </a:ln>
                      </wps:spPr>
                      <wps:bodyPr wrap="square" upright="1"/>
                    </wps:wsp>
                  </a:graphicData>
                </a:graphic>
              </wp:anchor>
            </w:drawing>
          </mc:Choice>
          <mc:Fallback>
            <w:pict>
              <v:shape id="自选图形 710" o:spid="_x0000_s1026" o:spt="5" type="#_x0000_t5" style="position:absolute;left:0pt;margin-left:565.85pt;margin-top:396.05pt;height:13.25pt;width:12.1pt;z-index:251677696;mso-width-relative:page;mso-height-relative:page;" fillcolor="#FFFF00" filled="t" stroked="f" coordsize="21600,21600" o:gfxdata="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xfWZjZAAAADQEA&#10;AA8AAAAAAAAAAQAgAAAAIgAAAGRycy9kb3ducmV2LnhtbFBLAQIUABQAAAAIAIdO4kBBqxOV4AEA&#10;AKYDAAAOAAAAAAAAAAEAIAAAACgBAABkcnMvZTJvRG9jLnhtbFBLBQYAAAAABgAGAFkBAAB6BQAA&#10;AAA=&#10;" adj="1080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7395210</wp:posOffset>
                </wp:positionH>
                <wp:positionV relativeFrom="paragraph">
                  <wp:posOffset>4936490</wp:posOffset>
                </wp:positionV>
                <wp:extent cx="1423035" cy="354965"/>
                <wp:effectExtent l="0" t="0" r="0" b="0"/>
                <wp:wrapNone/>
                <wp:docPr id="104" name="文本框 709"/>
                <wp:cNvGraphicFramePr/>
                <a:graphic xmlns:a="http://schemas.openxmlformats.org/drawingml/2006/main">
                  <a:graphicData uri="http://schemas.microsoft.com/office/word/2010/wordprocessingShape">
                    <wps:wsp>
                      <wps:cNvSpPr txBox="1"/>
                      <wps:spPr>
                        <a:xfrm>
                          <a:off x="0" y="0"/>
                          <a:ext cx="1423035"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交通噪声监测点位</w:t>
                            </w:r>
                          </w:p>
                        </w:txbxContent>
                      </wps:txbx>
                      <wps:bodyPr wrap="square" lIns="0" tIns="0" rIns="0" bIns="0" upright="1"/>
                    </wps:wsp>
                  </a:graphicData>
                </a:graphic>
              </wp:anchor>
            </w:drawing>
          </mc:Choice>
          <mc:Fallback>
            <w:pict>
              <v:shape id="文本框 709" o:spid="_x0000_s1026" o:spt="202" type="#_x0000_t202" style="position:absolute;left:0pt;margin-left:582.3pt;margin-top:388.7pt;height:27.95pt;width:112.05pt;z-index:251675648;mso-width-relative:page;mso-height-relative:page;" filled="f" stroked="f" coordsize="21600,21600" o:gfxdata="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PysJ52wAAAA0BAAAPAAAAAAAAAAEAIAAAACIAAABkcnMv&#10;ZG93bnJldi54bWxQSwECFAAUAAAACACHTuJAeqDbA8cBAACEAwAADgAAAAAAAAABACAAAAAqAQAA&#10;ZHJzL2Uyb0RvYy54bWxQSwUGAAAAAAYABgBZAQAAYwU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交通噪声监测点位</w:t>
                      </w:r>
                    </w:p>
                  </w:txbxContent>
                </v:textbox>
              </v:shape>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7167245</wp:posOffset>
                </wp:positionH>
                <wp:positionV relativeFrom="paragraph">
                  <wp:posOffset>4580255</wp:posOffset>
                </wp:positionV>
                <wp:extent cx="153670" cy="168275"/>
                <wp:effectExtent l="0" t="0" r="17780" b="3175"/>
                <wp:wrapNone/>
                <wp:docPr id="103" name="自选图形 708"/>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gradFill rotWithShape="1">
                          <a:gsLst>
                            <a:gs pos="0">
                              <a:srgbClr val="FFFFFF"/>
                            </a:gs>
                            <a:gs pos="0">
                              <a:srgbClr val="034373">
                                <a:alpha val="100000"/>
                              </a:srgbClr>
                            </a:gs>
                            <a:gs pos="100000">
                              <a:srgbClr val="007BD3">
                                <a:alpha val="100000"/>
                              </a:srgbClr>
                            </a:gs>
                          </a:gsLst>
                          <a:lin ang="5400000"/>
                          <a:tileRect/>
                        </a:gradFill>
                        <a:ln>
                          <a:noFill/>
                        </a:ln>
                      </wps:spPr>
                      <wps:bodyPr wrap="square" upright="1"/>
                    </wps:wsp>
                  </a:graphicData>
                </a:graphic>
              </wp:anchor>
            </w:drawing>
          </mc:Choice>
          <mc:Fallback>
            <w:pict>
              <v:shape id="自选图形 708" o:spid="_x0000_s1026" o:spt="5" type="#_x0000_t5" style="position:absolute;left:0pt;margin-left:564.35pt;margin-top:360.65pt;height:13.25pt;width:12.1pt;z-index:251674624;mso-width-relative:page;mso-height-relative:page;" fillcolor="#FFFFFF" filled="t" stroked="f" coordsize="21600,21600" o:gfxdata="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unA1d0AAAANAQAADwAAAAAAAAABACAAAAAiAAAA&#10;ZHJzL2Rvd25yZXYueG1sUEsBAhQAFAAAAAgAh07iQOUAxfg7AgAApQQAAA4AAAAAAAAAAQAgAAAA&#10;LAEAAGRycy9lMm9Eb2MueG1sUEsFBgAAAAAGAAYAWQEAANkFAAAAAA==&#10;" adj="10800">
                <v:fill type="gradient" on="t" color2="#007BD3" colors="0f #FFFFFF;0f #034373;65536f #007BD3" focus="100%" focussize="0,0" rotate="t">
                  <o:fill type="gradientUnscaled" v:ext="backwardCompatible"/>
                </v:fill>
                <v:stroke on="f"/>
                <v:imagedata o:title=""/>
                <o:lock v:ext="edit" aspectratio="f"/>
              </v:shape>
            </w:pict>
          </mc:Fallback>
        </mc:AlternateContent>
      </w:r>
      <w:r>
        <w:rPr>
          <w:color w:val="auto"/>
          <w:sz w:val="24"/>
        </w:rPr>
        <mc:AlternateContent>
          <mc:Choice Requires="wps">
            <w:drawing>
              <wp:anchor distT="0" distB="0" distL="114300" distR="114300" simplePos="0" relativeHeight="251659264" behindDoc="1" locked="0" layoutInCell="1" allowOverlap="1">
                <wp:simplePos x="0" y="0"/>
                <wp:positionH relativeFrom="column">
                  <wp:posOffset>7159625</wp:posOffset>
                </wp:positionH>
                <wp:positionV relativeFrom="paragraph">
                  <wp:posOffset>4595495</wp:posOffset>
                </wp:positionV>
                <wp:extent cx="153670" cy="168275"/>
                <wp:effectExtent l="0" t="0" r="17780" b="3175"/>
                <wp:wrapNone/>
                <wp:docPr id="1" name="自选图形 707"/>
                <wp:cNvGraphicFramePr/>
                <a:graphic xmlns:a="http://schemas.openxmlformats.org/drawingml/2006/main">
                  <a:graphicData uri="http://schemas.microsoft.com/office/word/2010/wordprocessingShape">
                    <wps:wsp>
                      <wps:cNvSpPr/>
                      <wps:spPr>
                        <a:xfrm>
                          <a:off x="0" y="0"/>
                          <a:ext cx="153670" cy="168275"/>
                        </a:xfrm>
                        <a:prstGeom prst="triangle">
                          <a:avLst>
                            <a:gd name="adj" fmla="val 50000"/>
                          </a:avLst>
                        </a:prstGeom>
                        <a:solidFill>
                          <a:srgbClr val="0070C0"/>
                        </a:solidFill>
                        <a:ln>
                          <a:noFill/>
                        </a:ln>
                      </wps:spPr>
                      <wps:bodyPr vert="horz" wrap="square" anchor="t" anchorCtr="0" upright="1"/>
                    </wps:wsp>
                  </a:graphicData>
                </a:graphic>
              </wp:anchor>
            </w:drawing>
          </mc:Choice>
          <mc:Fallback>
            <w:pict>
              <v:shape id="自选图形 707" o:spid="_x0000_s1026" o:spt="5" type="#_x0000_t5" style="position:absolute;left:0pt;margin-left:563.75pt;margin-top:361.85pt;height:13.25pt;width:12.1pt;z-index:-251657216;mso-width-relative:page;mso-height-relative:page;" fillcolor="#0070C0" filled="t" stroked="f" coordsize="21600,21600" o:gfxdata="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Rx5QTaAAAADQEAAA8AAAAAAAAAAQAgAAAAIgAAAGRycy9kb3ducmV2LnhtbFBL&#10;AQIUABQAAAAIAIdO4kBy9ksr9AEAAMkDAAAOAAAAAAAAAAEAIAAAACkBAABkcnMvZTJvRG9jLnht&#10;bFBLBQYAAAAABgAGAFkBAACPBQAAAAA=&#10;" adj="1080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7357110</wp:posOffset>
                </wp:positionH>
                <wp:positionV relativeFrom="paragraph">
                  <wp:posOffset>4490720</wp:posOffset>
                </wp:positionV>
                <wp:extent cx="1423035" cy="354965"/>
                <wp:effectExtent l="0" t="0" r="0" b="0"/>
                <wp:wrapNone/>
                <wp:docPr id="110" name="文本框 706"/>
                <wp:cNvGraphicFramePr/>
                <a:graphic xmlns:a="http://schemas.openxmlformats.org/drawingml/2006/main">
                  <a:graphicData uri="http://schemas.microsoft.com/office/word/2010/wordprocessingShape">
                    <wps:wsp>
                      <wps:cNvSpPr txBox="1"/>
                      <wps:spPr>
                        <a:xfrm>
                          <a:off x="0" y="0"/>
                          <a:ext cx="1423035"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场界声环境监测点位</w:t>
                            </w:r>
                          </w:p>
                        </w:txbxContent>
                      </wps:txbx>
                      <wps:bodyPr wrap="square" lIns="0" tIns="0" rIns="0" bIns="0" upright="1"/>
                    </wps:wsp>
                  </a:graphicData>
                </a:graphic>
              </wp:anchor>
            </w:drawing>
          </mc:Choice>
          <mc:Fallback>
            <w:pict>
              <v:shape id="文本框 706" o:spid="_x0000_s1026" o:spt="202" type="#_x0000_t202" style="position:absolute;left:0pt;margin-left:579.3pt;margin-top:353.6pt;height:27.95pt;width:112.05pt;z-index:251676672;mso-width-relative:page;mso-height-relative:page;" filled="f" stroked="f" coordsize="21600,21600" o:gfxdata="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1zUd/aAAAADQEAAA8AAAAAAAAAAQAgAAAAIgAAAGRycy9k&#10;b3ducmV2LnhtbFBLAQIUABQAAAAIAIdO4kB3rzP8xwEAAIQDAAAOAAAAAAAAAAEAIAAAACkBAABk&#10;cnMvZTJvRG9jLnhtbFBLBQYAAAAABgAGAFkBAABiBQ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场界声环境监测点位</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7381240</wp:posOffset>
                </wp:positionH>
                <wp:positionV relativeFrom="paragraph">
                  <wp:posOffset>4728845</wp:posOffset>
                </wp:positionV>
                <wp:extent cx="1423035" cy="354965"/>
                <wp:effectExtent l="0" t="0" r="0" b="0"/>
                <wp:wrapNone/>
                <wp:docPr id="53" name="文本框 271"/>
                <wp:cNvGraphicFramePr/>
                <a:graphic xmlns:a="http://schemas.openxmlformats.org/drawingml/2006/main">
                  <a:graphicData uri="http://schemas.microsoft.com/office/word/2010/wordprocessingShape">
                    <wps:wsp>
                      <wps:cNvSpPr txBox="1"/>
                      <wps:spPr>
                        <a:xfrm>
                          <a:off x="0" y="0"/>
                          <a:ext cx="1423035" cy="354965"/>
                        </a:xfrm>
                        <a:prstGeom prst="rect">
                          <a:avLst/>
                        </a:prstGeom>
                        <a:noFill/>
                        <a:ln>
                          <a:noFill/>
                        </a:ln>
                      </wps:spPr>
                      <wps:txbx>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敏感点声环境监测点位</w:t>
                            </w:r>
                          </w:p>
                        </w:txbxContent>
                      </wps:txbx>
                      <wps:bodyPr vert="horz" wrap="square" lIns="0" tIns="0" rIns="0" bIns="0" anchor="t" anchorCtr="0" upright="1"/>
                    </wps:wsp>
                  </a:graphicData>
                </a:graphic>
              </wp:anchor>
            </w:drawing>
          </mc:Choice>
          <mc:Fallback>
            <w:pict>
              <v:shape id="文本框 271" o:spid="_x0000_s1026" o:spt="202" type="#_x0000_t202" style="position:absolute;left:0pt;margin-left:581.2pt;margin-top:372.35pt;height:27.95pt;width:112.05pt;z-index:251668480;mso-width-relative:page;mso-height-relative:page;" filled="f" stroked="f" coordsize="21600,21600" o:gfxdata="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Lt7BE2gAAAA0BAAAP&#10;AAAAAAAAAAEAIAAAACIAAABkcnMvZG93bnJldi54bWxQSwECFAAUAAAACACHTuJATm0x690BAACo&#10;AwAADgAAAAAAAAABACAAAAApAQAAZHJzL2Uyb0RvYy54bWxQSwUGAAAAAAYABgBZAQAAeAUAAAAA&#10;">
                <v:fill on="f" focussize="0,0"/>
                <v:stroke on="f"/>
                <v:imagedata o:title=""/>
                <o:lock v:ext="edit" aspectratio="f"/>
                <v:textbox inset="0mm,0mm,0mm,0mm">
                  <w:txbxContent>
                    <w:p>
                      <w:pPr>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敏感点声环境监测点位</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7184390</wp:posOffset>
                </wp:positionH>
                <wp:positionV relativeFrom="paragraph">
                  <wp:posOffset>4866640</wp:posOffset>
                </wp:positionV>
                <wp:extent cx="147955" cy="114300"/>
                <wp:effectExtent l="8890" t="8890" r="14605" b="10160"/>
                <wp:wrapNone/>
                <wp:docPr id="52" name="自选图形 270"/>
                <wp:cNvGraphicFramePr/>
                <a:graphic xmlns:a="http://schemas.openxmlformats.org/drawingml/2006/main">
                  <a:graphicData uri="http://schemas.microsoft.com/office/word/2010/wordprocessingShape">
                    <wps:wsp>
                      <wps:cNvSpPr/>
                      <wps:spPr>
                        <a:xfrm>
                          <a:off x="0" y="0"/>
                          <a:ext cx="14795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0" o:spid="_x0000_s1026" o:spt="5" type="#_x0000_t5" style="position:absolute;left:0pt;margin-left:565.7pt;margin-top:383.2pt;height:9pt;width:11.65pt;z-index:251667456;mso-width-relative:page;mso-height-relative:page;" fillcolor="#FF0000" filled="t" stroked="t" coordsize="21600,21600" o:gfxdata="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HyOxCNkAAAANAQAADwAAAAAAAAABACAAAAAiAAAAZHJzL2Rv&#10;d25yZXYueG1sUEsBAhQAFAAAAAgAh07iQCWPXf85AgAAiQQAAA4AAAAAAAAAAQAgAAAAKAEAAGRy&#10;cy9lMm9Eb2MueG1sUEsFBgAAAAAGAAYAWQEAANMFAAAAAA==&#10;" adj="10800">
                <v:fill on="t" focussize="0,0"/>
                <v:stroke color="#FF0000" joinstyle="miter"/>
                <v:imagedata o:title=""/>
                <o:lock v:ext="edit" aspectratio="f"/>
              </v:shape>
            </w:pict>
          </mc:Fallback>
        </mc:AlternateContent>
      </w:r>
    </w:p>
    <w:p>
      <w:pPr>
        <w:ind w:firstLine="480"/>
        <w:rPr>
          <w:rFonts w:hint="eastAsia"/>
          <w:color w:val="auto"/>
        </w:rPr>
      </w:pPr>
      <w:r>
        <w:rPr>
          <w:rFonts w:hint="eastAsia"/>
          <w:color w:val="auto"/>
        </w:rPr>
        <w:t>（2）监测时间和频率</w:t>
      </w:r>
    </w:p>
    <w:p>
      <w:pPr>
        <w:ind w:firstLine="480"/>
        <w:rPr>
          <w:color w:val="auto"/>
        </w:rPr>
      </w:pPr>
      <w:r>
        <w:rPr>
          <w:color w:val="auto"/>
        </w:rPr>
        <w:t>监测分昼间（06</w:t>
      </w:r>
      <w:r>
        <w:rPr>
          <w:rFonts w:hint="eastAsia" w:eastAsia="宋体"/>
          <w:color w:val="auto"/>
          <w:lang w:eastAsia="zh-CN"/>
        </w:rPr>
        <w:t>:</w:t>
      </w:r>
      <w:r>
        <w:rPr>
          <w:color w:val="auto"/>
        </w:rPr>
        <w:t>00～22</w:t>
      </w:r>
      <w:r>
        <w:rPr>
          <w:rFonts w:hint="eastAsia" w:eastAsia="宋体"/>
          <w:color w:val="auto"/>
          <w:lang w:eastAsia="zh-CN"/>
        </w:rPr>
        <w:t>:</w:t>
      </w:r>
      <w:r>
        <w:rPr>
          <w:color w:val="auto"/>
        </w:rPr>
        <w:t>00）和夜间（22</w:t>
      </w:r>
      <w:r>
        <w:rPr>
          <w:rFonts w:hint="eastAsia" w:eastAsia="宋体"/>
          <w:color w:val="auto"/>
          <w:lang w:eastAsia="zh-CN"/>
        </w:rPr>
        <w:t>:</w:t>
      </w:r>
      <w:r>
        <w:rPr>
          <w:color w:val="auto"/>
        </w:rPr>
        <w:t>00～06</w:t>
      </w:r>
      <w:r>
        <w:rPr>
          <w:rFonts w:hint="eastAsia" w:eastAsia="宋体"/>
          <w:color w:val="auto"/>
          <w:lang w:eastAsia="zh-CN"/>
        </w:rPr>
        <w:t>:</w:t>
      </w:r>
      <w:r>
        <w:rPr>
          <w:color w:val="auto"/>
        </w:rPr>
        <w:t>00）进行，</w:t>
      </w:r>
      <w:r>
        <w:rPr>
          <w:rFonts w:hint="eastAsia"/>
          <w:color w:val="auto"/>
        </w:rPr>
        <w:t>昼间、夜间各监测一次</w:t>
      </w:r>
      <w:r>
        <w:rPr>
          <w:color w:val="auto"/>
        </w:rPr>
        <w:t xml:space="preserve">，统计连续等效A声级。 </w:t>
      </w:r>
    </w:p>
    <w:p>
      <w:pPr>
        <w:ind w:firstLine="480"/>
        <w:rPr>
          <w:rFonts w:hint="eastAsia"/>
          <w:color w:val="auto"/>
        </w:rPr>
      </w:pPr>
      <w:r>
        <w:rPr>
          <w:rFonts w:hint="eastAsia"/>
          <w:color w:val="auto"/>
        </w:rPr>
        <w:t>（3）监测方法</w:t>
      </w:r>
    </w:p>
    <w:p>
      <w:pPr>
        <w:ind w:firstLine="480"/>
        <w:rPr>
          <w:rFonts w:hint="eastAsia"/>
          <w:color w:val="auto"/>
        </w:rPr>
      </w:pPr>
      <w:r>
        <w:rPr>
          <w:color w:val="auto"/>
        </w:rPr>
        <w:t>监测方法按《</w:t>
      </w:r>
      <w:r>
        <w:rPr>
          <w:rFonts w:hint="eastAsia"/>
          <w:color w:val="auto"/>
        </w:rPr>
        <w:t>声环境质量标准</w:t>
      </w:r>
      <w:r>
        <w:rPr>
          <w:color w:val="auto"/>
        </w:rPr>
        <w:t>》（GB</w:t>
      </w:r>
      <w:r>
        <w:rPr>
          <w:rFonts w:hint="eastAsia"/>
          <w:color w:val="auto"/>
        </w:rPr>
        <w:t>3096</w:t>
      </w:r>
      <w:r>
        <w:rPr>
          <w:color w:val="auto"/>
        </w:rPr>
        <w:t>－</w:t>
      </w:r>
      <w:r>
        <w:rPr>
          <w:rFonts w:hint="eastAsia"/>
          <w:color w:val="auto"/>
        </w:rPr>
        <w:t>2008</w:t>
      </w:r>
      <w:r>
        <w:rPr>
          <w:color w:val="auto"/>
        </w:rPr>
        <w:t>）</w:t>
      </w:r>
      <w:r>
        <w:rPr>
          <w:rFonts w:hint="eastAsia"/>
          <w:color w:val="auto"/>
        </w:rPr>
        <w:t>中附录中的监测方法</w:t>
      </w:r>
      <w:r>
        <w:rPr>
          <w:color w:val="auto"/>
        </w:rPr>
        <w:t>进行，监测仪器为AWA6218B型噪声监测仪。</w:t>
      </w:r>
    </w:p>
    <w:p>
      <w:pPr>
        <w:ind w:firstLine="480"/>
        <w:rPr>
          <w:rFonts w:hint="eastAsia" w:hAnsi="宋体"/>
          <w:b/>
          <w:color w:val="auto"/>
          <w:sz w:val="21"/>
          <w:szCs w:val="21"/>
        </w:rPr>
      </w:pPr>
      <w:r>
        <w:rPr>
          <w:rFonts w:hint="eastAsia"/>
          <w:color w:val="auto"/>
        </w:rPr>
        <w:t>（4）区域声环境现状监测结果</w:t>
      </w:r>
    </w:p>
    <w:p>
      <w:pPr>
        <w:spacing w:line="480" w:lineRule="exact"/>
        <w:ind w:left="0" w:leftChars="0" w:firstLine="0" w:firstLineChars="0"/>
        <w:jc w:val="center"/>
        <w:rPr>
          <w:b/>
          <w:bCs/>
          <w:color w:val="auto"/>
          <w:sz w:val="21"/>
          <w:szCs w:val="21"/>
        </w:rPr>
      </w:pPr>
      <w:r>
        <w:rPr>
          <w:rFonts w:hAnsi="宋体"/>
          <w:b/>
          <w:color w:val="auto"/>
          <w:sz w:val="21"/>
          <w:szCs w:val="21"/>
        </w:rPr>
        <w:t>表</w:t>
      </w:r>
      <w:r>
        <w:rPr>
          <w:rFonts w:hint="eastAsia"/>
          <w:b/>
          <w:color w:val="auto"/>
          <w:sz w:val="21"/>
          <w:szCs w:val="21"/>
          <w:lang w:val="en-US" w:eastAsia="zh-CN"/>
        </w:rPr>
        <w:t>5.4</w:t>
      </w:r>
      <w:r>
        <w:rPr>
          <w:b/>
          <w:color w:val="auto"/>
          <w:sz w:val="21"/>
          <w:szCs w:val="21"/>
        </w:rPr>
        <w:t>-</w:t>
      </w:r>
      <w:r>
        <w:rPr>
          <w:rFonts w:hint="eastAsia"/>
          <w:b/>
          <w:color w:val="auto"/>
          <w:sz w:val="21"/>
          <w:szCs w:val="21"/>
        </w:rPr>
        <w:t>2</w:t>
      </w:r>
      <w:r>
        <w:rPr>
          <w:b/>
          <w:color w:val="auto"/>
          <w:sz w:val="21"/>
          <w:szCs w:val="21"/>
        </w:rPr>
        <w:t xml:space="preserve">  </w:t>
      </w:r>
      <w:r>
        <w:rPr>
          <w:b/>
          <w:bCs/>
          <w:color w:val="auto"/>
          <w:sz w:val="21"/>
          <w:szCs w:val="21"/>
        </w:rPr>
        <w:t>噪声监测布点及监测结果表</w:t>
      </w:r>
    </w:p>
    <w:tbl>
      <w:tblPr>
        <w:tblStyle w:val="48"/>
        <w:tblW w:w="505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69"/>
        <w:gridCol w:w="1334"/>
        <w:gridCol w:w="1928"/>
        <w:gridCol w:w="2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测点名称</w:t>
            </w:r>
          </w:p>
        </w:tc>
        <w:tc>
          <w:tcPr>
            <w:tcW w:w="7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检测时间</w:t>
            </w:r>
          </w:p>
        </w:tc>
        <w:tc>
          <w:tcPr>
            <w:tcW w:w="2444"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检测结果</w:t>
            </w:r>
            <w:r>
              <w:rPr>
                <w:rFonts w:hint="default" w:ascii="Times New Roman" w:hAnsi="宋体" w:eastAsia="宋体" w:cs="Times New Roman"/>
                <w:color w:val="auto"/>
                <w:sz w:val="21"/>
                <w:szCs w:val="21"/>
                <w:lang w:val="en-US" w:eastAsia="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昼间</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东侧外</w:t>
            </w:r>
            <w:r>
              <w:rPr>
                <w:rFonts w:hint="default" w:ascii="Times New Roman" w:hAnsi="宋体" w:eastAsia="宋体" w:cs="Times New Roman"/>
                <w:color w:val="auto"/>
                <w:sz w:val="21"/>
                <w:szCs w:val="21"/>
                <w:lang w:val="en-US" w:eastAsia="en-US"/>
              </w:rPr>
              <w:t>lm</w:t>
            </w:r>
          </w:p>
        </w:tc>
        <w:tc>
          <w:tcPr>
            <w:tcW w:w="7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2022年12月14日</w:t>
            </w: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56</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南侧外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55</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西侧外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53</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北侧外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54</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安徽省立医院老年医学康复中心（在建）</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50</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招商雍华府</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52</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郡和府（在建小区）</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51</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滨湖医院项目办</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49</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东侧外</w:t>
            </w:r>
            <w:r>
              <w:rPr>
                <w:rFonts w:hint="default" w:ascii="Times New Roman" w:hAnsi="宋体" w:eastAsia="宋体" w:cs="Times New Roman"/>
                <w:color w:val="auto"/>
                <w:sz w:val="21"/>
                <w:szCs w:val="21"/>
                <w:lang w:val="en-US" w:eastAsia="en-US"/>
              </w:rPr>
              <w:t>lm</w:t>
            </w:r>
          </w:p>
        </w:tc>
        <w:tc>
          <w:tcPr>
            <w:tcW w:w="7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2022年12月15日</w:t>
            </w: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57</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南侧外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54</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西侧外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55</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eastAsia="zh-CN"/>
              </w:rPr>
              <w:t>项目边界</w:t>
            </w:r>
            <w:r>
              <w:rPr>
                <w:rFonts w:hint="eastAsia" w:ascii="Times New Roman" w:hAnsi="宋体" w:eastAsia="宋体" w:cs="Times New Roman"/>
                <w:color w:val="auto"/>
                <w:sz w:val="21"/>
                <w:szCs w:val="21"/>
                <w:lang w:val="en-US" w:eastAsia="zh-CN"/>
              </w:rPr>
              <w:t>北侧外</w:t>
            </w:r>
            <w:r>
              <w:rPr>
                <w:rFonts w:hint="default" w:ascii="Times New Roman" w:hAnsi="宋体" w:eastAsia="宋体" w:cs="Times New Roman"/>
                <w:color w:val="auto"/>
                <w:sz w:val="21"/>
                <w:szCs w:val="21"/>
                <w:lang w:val="en-US" w:eastAsia="en-US"/>
              </w:rPr>
              <w:t>lm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53</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val="en-US" w:eastAsia="zh-CN"/>
              </w:rPr>
              <w:t>安徽省立医院老年医学康复中心（在建）</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51</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val="en-US" w:eastAsia="zh-CN"/>
              </w:rPr>
              <w:t>招商雍华府</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54</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val="en-US" w:eastAsia="zh-CN"/>
              </w:rPr>
              <w:t>郡和府（在建小区）</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51</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eastAsia="zh-CN"/>
              </w:rPr>
            </w:pPr>
            <w:r>
              <w:rPr>
                <w:rFonts w:hint="eastAsia" w:ascii="Times New Roman" w:hAnsi="宋体" w:eastAsia="宋体" w:cs="Times New Roman"/>
                <w:color w:val="auto"/>
                <w:sz w:val="21"/>
                <w:szCs w:val="21"/>
                <w:lang w:val="en-US" w:eastAsia="zh-CN"/>
              </w:rPr>
              <w:t>滨湖医院项目办</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50</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锦绣大道</w:t>
            </w:r>
          </w:p>
        </w:tc>
        <w:tc>
          <w:tcPr>
            <w:tcW w:w="7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2022年12月30日</w:t>
            </w: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62</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安徽路</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60</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拟建老年中心北侧外1m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54</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拟建拓展住院部大楼北侧外1m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55</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拟建综合管理中心西侧外1m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56</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拟建特殊门诊西侧外1m</w:t>
            </w:r>
          </w:p>
        </w:tc>
        <w:tc>
          <w:tcPr>
            <w:tcW w:w="7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宋体" w:eastAsia="宋体" w:cs="Times New Roman"/>
                <w:color w:val="auto"/>
                <w:sz w:val="21"/>
                <w:szCs w:val="21"/>
                <w:lang w:val="en-US" w:eastAsia="zh-CN"/>
              </w:rPr>
            </w:pPr>
          </w:p>
        </w:tc>
        <w:tc>
          <w:tcPr>
            <w:tcW w:w="11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52</w:t>
            </w:r>
          </w:p>
        </w:tc>
        <w:tc>
          <w:tcPr>
            <w:tcW w:w="12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45</w:t>
            </w:r>
          </w:p>
        </w:tc>
      </w:tr>
    </w:tbl>
    <w:p>
      <w:pPr>
        <w:pStyle w:val="5"/>
        <w:numPr>
          <w:ilvl w:val="2"/>
          <w:numId w:val="0"/>
        </w:numPr>
        <w:spacing w:before="120"/>
        <w:ind w:leftChars="0"/>
        <w:rPr>
          <w:rFonts w:hint="eastAsia"/>
          <w:color w:val="auto"/>
        </w:rPr>
      </w:pPr>
      <w:r>
        <w:rPr>
          <w:rFonts w:hint="eastAsia"/>
          <w:color w:val="auto"/>
          <w:lang w:val="en-US" w:eastAsia="zh-CN"/>
        </w:rPr>
        <w:t>4.4.2</w:t>
      </w:r>
      <w:r>
        <w:rPr>
          <w:rFonts w:hint="eastAsia"/>
          <w:color w:val="auto"/>
        </w:rPr>
        <w:t>区域噪声现状评价</w:t>
      </w:r>
    </w:p>
    <w:p>
      <w:pPr>
        <w:ind w:firstLine="482"/>
        <w:rPr>
          <w:b/>
          <w:color w:val="auto"/>
        </w:rPr>
      </w:pPr>
      <w:r>
        <w:rPr>
          <w:b/>
          <w:color w:val="auto"/>
        </w:rPr>
        <w:t>（1）评价标准</w:t>
      </w:r>
    </w:p>
    <w:p>
      <w:pPr>
        <w:ind w:firstLine="480"/>
        <w:rPr>
          <w:rFonts w:hint="eastAsia"/>
          <w:color w:val="auto"/>
        </w:rPr>
      </w:pPr>
      <w:r>
        <w:rPr>
          <w:color w:val="auto"/>
        </w:rPr>
        <w:t>项目</w:t>
      </w:r>
      <w:r>
        <w:rPr>
          <w:rFonts w:hint="eastAsia"/>
          <w:color w:val="auto"/>
          <w:lang w:val="en-US" w:eastAsia="zh-CN"/>
        </w:rPr>
        <w:t>区及敏感目标</w:t>
      </w:r>
      <w:r>
        <w:rPr>
          <w:rFonts w:hint="eastAsia"/>
          <w:color w:val="auto"/>
        </w:rPr>
        <w:t>声环境</w:t>
      </w:r>
      <w:r>
        <w:rPr>
          <w:color w:val="auto"/>
        </w:rPr>
        <w:t>执行《声环境质量标准》</w:t>
      </w:r>
      <w:r>
        <w:rPr>
          <w:rFonts w:hint="eastAsia"/>
          <w:color w:val="auto"/>
        </w:rPr>
        <w:t>（</w:t>
      </w:r>
      <w:r>
        <w:rPr>
          <w:color w:val="auto"/>
        </w:rPr>
        <w:t>GB3096</w:t>
      </w:r>
      <w:r>
        <w:rPr>
          <w:rFonts w:hint="eastAsia"/>
          <w:color w:val="auto"/>
          <w:lang w:val="en-US" w:eastAsia="zh-CN"/>
        </w:rPr>
        <w:t>-</w:t>
      </w:r>
      <w:r>
        <w:rPr>
          <w:color w:val="auto"/>
        </w:rPr>
        <w:t>2008</w:t>
      </w:r>
      <w:r>
        <w:rPr>
          <w:rFonts w:hint="eastAsia"/>
          <w:color w:val="auto"/>
        </w:rPr>
        <w:t>）</w:t>
      </w:r>
      <w:r>
        <w:rPr>
          <w:color w:val="auto"/>
        </w:rPr>
        <w:t>中的</w:t>
      </w:r>
      <w:r>
        <w:rPr>
          <w:rFonts w:hint="eastAsia"/>
          <w:color w:val="auto"/>
          <w:lang w:val="en-US" w:eastAsia="zh-CN"/>
        </w:rPr>
        <w:t>2</w:t>
      </w:r>
      <w:r>
        <w:rPr>
          <w:color w:val="auto"/>
        </w:rPr>
        <w:t>类标准</w:t>
      </w:r>
      <w:r>
        <w:rPr>
          <w:rFonts w:hint="eastAsia"/>
          <w:color w:val="auto"/>
        </w:rPr>
        <w:t>，</w:t>
      </w:r>
      <w:r>
        <w:rPr>
          <w:rFonts w:hint="eastAsia"/>
          <w:color w:val="auto"/>
          <w:lang w:val="en-US" w:eastAsia="zh-CN"/>
        </w:rPr>
        <w:t>西侧边界</w:t>
      </w:r>
      <w:r>
        <w:rPr>
          <w:rFonts w:hint="eastAsia" w:cs="Times New Roman"/>
          <w:color w:val="auto"/>
          <w:sz w:val="24"/>
          <w:szCs w:val="24"/>
          <w:highlight w:val="none"/>
          <w:lang w:val="en-US" w:eastAsia="zh-CN"/>
        </w:rPr>
        <w:t>临安徽路</w:t>
      </w:r>
      <w:r>
        <w:rPr>
          <w:rFonts w:hint="eastAsia"/>
          <w:color w:val="auto"/>
          <w:sz w:val="24"/>
          <w:szCs w:val="24"/>
          <w:lang w:val="en-US" w:eastAsia="zh-CN"/>
        </w:rPr>
        <w:t>35m±5m范围</w:t>
      </w:r>
      <w:r>
        <w:rPr>
          <w:rFonts w:hint="eastAsia"/>
          <w:color w:val="auto"/>
          <w:lang w:val="en-US" w:eastAsia="zh-CN"/>
        </w:rPr>
        <w:t>声环境执行</w:t>
      </w:r>
      <w:r>
        <w:rPr>
          <w:color w:val="auto"/>
        </w:rPr>
        <w:t>《声环境质量标准》</w:t>
      </w:r>
      <w:r>
        <w:rPr>
          <w:rFonts w:hint="eastAsia"/>
          <w:color w:val="auto"/>
        </w:rPr>
        <w:t>（</w:t>
      </w:r>
      <w:r>
        <w:rPr>
          <w:color w:val="auto"/>
        </w:rPr>
        <w:t>GB3096</w:t>
      </w:r>
      <w:r>
        <w:rPr>
          <w:rFonts w:hint="eastAsia"/>
          <w:color w:val="auto"/>
          <w:lang w:val="en-US" w:eastAsia="zh-CN"/>
        </w:rPr>
        <w:t>-</w:t>
      </w:r>
      <w:r>
        <w:rPr>
          <w:color w:val="auto"/>
        </w:rPr>
        <w:t>2008</w:t>
      </w:r>
      <w:r>
        <w:rPr>
          <w:rFonts w:hint="eastAsia"/>
          <w:color w:val="auto"/>
        </w:rPr>
        <w:t>）</w:t>
      </w:r>
      <w:r>
        <w:rPr>
          <w:color w:val="auto"/>
        </w:rPr>
        <w:t>中的</w:t>
      </w:r>
      <w:r>
        <w:rPr>
          <w:rFonts w:hint="eastAsia"/>
          <w:color w:val="auto"/>
          <w:lang w:val="en-US" w:eastAsia="zh-CN"/>
        </w:rPr>
        <w:t>4a</w:t>
      </w:r>
      <w:r>
        <w:rPr>
          <w:color w:val="auto"/>
        </w:rPr>
        <w:t>类标准</w:t>
      </w:r>
      <w:r>
        <w:rPr>
          <w:rFonts w:hint="eastAsia"/>
          <w:color w:val="auto"/>
          <w:lang w:eastAsia="zh-CN"/>
        </w:rPr>
        <w:t>，</w:t>
      </w:r>
      <w:r>
        <w:rPr>
          <w:rFonts w:hint="eastAsia"/>
          <w:color w:val="auto"/>
          <w:lang w:eastAsia="zh-CN"/>
        </w:rPr>
        <w:t>病房内部</w:t>
      </w:r>
      <w:r>
        <w:rPr>
          <w:rFonts w:hint="eastAsia"/>
          <w:color w:val="auto"/>
          <w:lang w:val="en-US" w:eastAsia="zh-CN"/>
        </w:rPr>
        <w:t>声</w:t>
      </w:r>
      <w:r>
        <w:rPr>
          <w:rFonts w:hint="eastAsia"/>
          <w:color w:val="auto"/>
          <w:lang w:val="en-US" w:eastAsia="zh-CN"/>
        </w:rPr>
        <w:t>环境执行</w:t>
      </w:r>
      <w:r>
        <w:rPr>
          <w:rFonts w:hint="eastAsia" w:hAnsi="宋体" w:eastAsia="宋体"/>
          <w:color w:val="auto"/>
          <w:szCs w:val="21"/>
          <w:lang w:eastAsia="zh-CN"/>
        </w:rPr>
        <w:t>《社会生活环境噪声排放标准》（GB22337-2008）表2室内（A类房间）标准。</w:t>
      </w:r>
      <w:r>
        <w:rPr>
          <w:color w:val="auto"/>
        </w:rPr>
        <w:t>声环境评价标准见表</w:t>
      </w:r>
      <w:r>
        <w:rPr>
          <w:rFonts w:hint="eastAsia"/>
          <w:color w:val="auto"/>
          <w:lang w:val="en-US" w:eastAsia="zh-CN"/>
        </w:rPr>
        <w:t>5.4-3</w:t>
      </w:r>
      <w:r>
        <w:rPr>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sz w:val="21"/>
          <w:szCs w:val="21"/>
        </w:rPr>
      </w:pPr>
      <w:r>
        <w:rPr>
          <w:rFonts w:hAnsi="宋体"/>
          <w:b/>
          <w:color w:val="auto"/>
          <w:sz w:val="21"/>
          <w:szCs w:val="21"/>
        </w:rPr>
        <w:t>表</w:t>
      </w:r>
      <w:r>
        <w:rPr>
          <w:rFonts w:hint="eastAsia"/>
          <w:b/>
          <w:color w:val="auto"/>
          <w:sz w:val="21"/>
          <w:szCs w:val="21"/>
          <w:lang w:val="en-US" w:eastAsia="zh-CN"/>
        </w:rPr>
        <w:t>5.4</w:t>
      </w:r>
      <w:r>
        <w:rPr>
          <w:b/>
          <w:color w:val="auto"/>
          <w:sz w:val="21"/>
          <w:szCs w:val="21"/>
        </w:rPr>
        <w:t>-</w:t>
      </w:r>
      <w:r>
        <w:rPr>
          <w:rFonts w:hint="eastAsia"/>
          <w:b/>
          <w:color w:val="auto"/>
          <w:sz w:val="21"/>
          <w:szCs w:val="21"/>
        </w:rPr>
        <w:t>3</w:t>
      </w:r>
      <w:r>
        <w:rPr>
          <w:b/>
          <w:color w:val="auto"/>
          <w:sz w:val="21"/>
          <w:szCs w:val="21"/>
        </w:rPr>
        <w:t xml:space="preserve">  </w:t>
      </w:r>
      <w:r>
        <w:rPr>
          <w:rFonts w:hAnsi="宋体"/>
          <w:b/>
          <w:color w:val="auto"/>
          <w:sz w:val="21"/>
          <w:szCs w:val="21"/>
        </w:rPr>
        <w:t>噪声环境评价标准</w:t>
      </w:r>
    </w:p>
    <w:tbl>
      <w:tblPr>
        <w:tblStyle w:val="4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8"/>
        <w:gridCol w:w="2475"/>
        <w:gridCol w:w="2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210" w:type="pct"/>
            <w:vMerge w:val="restart"/>
            <w:noWrap w:val="0"/>
            <w:vAlign w:val="center"/>
          </w:tcPr>
          <w:p>
            <w:pPr>
              <w:pStyle w:val="89"/>
              <w:adjustRightInd/>
              <w:snapToGrid/>
              <w:spacing w:line="240" w:lineRule="auto"/>
              <w:rPr>
                <w:rFonts w:eastAsia="宋体"/>
                <w:color w:val="auto"/>
                <w:szCs w:val="21"/>
              </w:rPr>
            </w:pPr>
            <w:r>
              <w:rPr>
                <w:rFonts w:hAnsi="宋体" w:eastAsia="宋体"/>
                <w:color w:val="auto"/>
                <w:szCs w:val="21"/>
              </w:rPr>
              <w:t>标准类别</w:t>
            </w:r>
          </w:p>
        </w:tc>
        <w:tc>
          <w:tcPr>
            <w:tcW w:w="2789" w:type="pct"/>
            <w:gridSpan w:val="2"/>
            <w:noWrap w:val="0"/>
            <w:vAlign w:val="center"/>
          </w:tcPr>
          <w:p>
            <w:pPr>
              <w:pStyle w:val="89"/>
              <w:adjustRightInd/>
              <w:snapToGrid/>
              <w:spacing w:line="240" w:lineRule="auto"/>
              <w:rPr>
                <w:rFonts w:eastAsia="宋体"/>
                <w:color w:val="auto"/>
                <w:szCs w:val="21"/>
              </w:rPr>
            </w:pPr>
            <w:r>
              <w:rPr>
                <w:rFonts w:hAnsi="宋体" w:eastAsia="宋体"/>
                <w:color w:val="auto"/>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210" w:type="pct"/>
            <w:vMerge w:val="continue"/>
            <w:noWrap w:val="0"/>
            <w:vAlign w:val="center"/>
          </w:tcPr>
          <w:p>
            <w:pPr>
              <w:pStyle w:val="89"/>
              <w:adjustRightInd/>
              <w:snapToGrid/>
              <w:spacing w:line="240" w:lineRule="auto"/>
              <w:rPr>
                <w:rFonts w:eastAsia="宋体"/>
                <w:color w:val="auto"/>
                <w:szCs w:val="21"/>
              </w:rPr>
            </w:pPr>
          </w:p>
        </w:tc>
        <w:tc>
          <w:tcPr>
            <w:tcW w:w="1451" w:type="pct"/>
            <w:noWrap w:val="0"/>
            <w:vAlign w:val="center"/>
          </w:tcPr>
          <w:p>
            <w:pPr>
              <w:pStyle w:val="89"/>
              <w:adjustRightInd/>
              <w:snapToGrid/>
              <w:spacing w:line="240" w:lineRule="auto"/>
              <w:rPr>
                <w:rFonts w:eastAsia="宋体"/>
                <w:color w:val="auto"/>
                <w:szCs w:val="21"/>
              </w:rPr>
            </w:pPr>
            <w:r>
              <w:rPr>
                <w:rFonts w:hAnsi="宋体" w:eastAsia="宋体"/>
                <w:color w:val="auto"/>
                <w:szCs w:val="21"/>
              </w:rPr>
              <w:t>昼间</w:t>
            </w:r>
          </w:p>
        </w:tc>
        <w:tc>
          <w:tcPr>
            <w:tcW w:w="1338" w:type="pct"/>
            <w:noWrap w:val="0"/>
            <w:vAlign w:val="center"/>
          </w:tcPr>
          <w:p>
            <w:pPr>
              <w:pStyle w:val="89"/>
              <w:adjustRightInd/>
              <w:snapToGrid/>
              <w:spacing w:line="240" w:lineRule="auto"/>
              <w:rPr>
                <w:rFonts w:eastAsia="宋体"/>
                <w:color w:val="auto"/>
                <w:szCs w:val="21"/>
              </w:rPr>
            </w:pPr>
            <w:r>
              <w:rPr>
                <w:rFonts w:hAnsi="宋体" w:eastAsia="宋体"/>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10" w:type="pct"/>
            <w:noWrap w:val="0"/>
            <w:vAlign w:val="center"/>
          </w:tcPr>
          <w:p>
            <w:pPr>
              <w:pStyle w:val="89"/>
              <w:adjustRightInd/>
              <w:snapToGrid/>
              <w:spacing w:line="240" w:lineRule="auto"/>
              <w:rPr>
                <w:rFonts w:eastAsia="宋体"/>
                <w:color w:val="auto"/>
                <w:szCs w:val="21"/>
              </w:rPr>
            </w:pPr>
            <w:r>
              <w:rPr>
                <w:rFonts w:eastAsia="宋体"/>
                <w:color w:val="auto"/>
                <w:szCs w:val="21"/>
              </w:rPr>
              <w:t>GB3096</w:t>
            </w:r>
            <w:r>
              <w:rPr>
                <w:rFonts w:hint="eastAsia" w:eastAsia="宋体"/>
                <w:color w:val="auto"/>
                <w:szCs w:val="21"/>
                <w:lang w:val="en-US" w:eastAsia="zh-CN"/>
              </w:rPr>
              <w:t>-</w:t>
            </w:r>
            <w:r>
              <w:rPr>
                <w:rFonts w:eastAsia="宋体"/>
                <w:color w:val="auto"/>
                <w:szCs w:val="21"/>
              </w:rPr>
              <w:t>2008</w:t>
            </w:r>
            <w:r>
              <w:rPr>
                <w:rFonts w:hAnsi="宋体" w:eastAsia="宋体"/>
                <w:color w:val="auto"/>
                <w:szCs w:val="21"/>
              </w:rPr>
              <w:t>《声环境质量标准》</w:t>
            </w:r>
            <w:r>
              <w:rPr>
                <w:rFonts w:hint="eastAsia" w:eastAsia="宋体"/>
                <w:color w:val="auto"/>
                <w:szCs w:val="21"/>
              </w:rPr>
              <w:t>2</w:t>
            </w:r>
            <w:r>
              <w:rPr>
                <w:rFonts w:hAnsi="宋体" w:eastAsia="宋体"/>
                <w:color w:val="auto"/>
                <w:szCs w:val="21"/>
              </w:rPr>
              <w:t>类</w:t>
            </w:r>
          </w:p>
        </w:tc>
        <w:tc>
          <w:tcPr>
            <w:tcW w:w="1451" w:type="pct"/>
            <w:noWrap w:val="0"/>
            <w:vAlign w:val="center"/>
          </w:tcPr>
          <w:p>
            <w:pPr>
              <w:pStyle w:val="89"/>
              <w:adjustRightInd/>
              <w:snapToGrid/>
              <w:spacing w:line="240" w:lineRule="auto"/>
              <w:rPr>
                <w:rFonts w:hint="eastAsia" w:eastAsia="宋体"/>
                <w:color w:val="auto"/>
                <w:szCs w:val="21"/>
              </w:rPr>
            </w:pPr>
            <w:r>
              <w:rPr>
                <w:rFonts w:hint="eastAsia" w:eastAsia="宋体"/>
                <w:color w:val="auto"/>
                <w:szCs w:val="21"/>
              </w:rPr>
              <w:t>60</w:t>
            </w:r>
          </w:p>
        </w:tc>
        <w:tc>
          <w:tcPr>
            <w:tcW w:w="1338" w:type="pct"/>
            <w:noWrap w:val="0"/>
            <w:vAlign w:val="center"/>
          </w:tcPr>
          <w:p>
            <w:pPr>
              <w:pStyle w:val="89"/>
              <w:adjustRightInd/>
              <w:snapToGrid/>
              <w:spacing w:line="240" w:lineRule="auto"/>
              <w:rPr>
                <w:rFonts w:hint="eastAsia" w:eastAsia="宋体"/>
                <w:color w:val="auto"/>
                <w:szCs w:val="21"/>
              </w:rPr>
            </w:pPr>
            <w:r>
              <w:rPr>
                <w:rFonts w:hint="eastAsia" w:eastAsia="宋体"/>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10" w:type="pct"/>
            <w:noWrap w:val="0"/>
            <w:vAlign w:val="center"/>
          </w:tcPr>
          <w:p>
            <w:pPr>
              <w:pStyle w:val="89"/>
              <w:adjustRightInd/>
              <w:snapToGrid/>
              <w:spacing w:line="240" w:lineRule="auto"/>
              <w:rPr>
                <w:rFonts w:eastAsia="宋体"/>
                <w:color w:val="auto"/>
                <w:szCs w:val="21"/>
              </w:rPr>
            </w:pPr>
            <w:r>
              <w:rPr>
                <w:rFonts w:eastAsia="宋体"/>
                <w:color w:val="auto"/>
                <w:szCs w:val="21"/>
              </w:rPr>
              <w:t>GB3096</w:t>
            </w:r>
            <w:r>
              <w:rPr>
                <w:rFonts w:hint="eastAsia" w:eastAsia="宋体"/>
                <w:color w:val="auto"/>
                <w:szCs w:val="21"/>
                <w:lang w:val="en-US" w:eastAsia="zh-CN"/>
              </w:rPr>
              <w:t>-</w:t>
            </w:r>
            <w:r>
              <w:rPr>
                <w:rFonts w:eastAsia="宋体"/>
                <w:color w:val="auto"/>
                <w:szCs w:val="21"/>
              </w:rPr>
              <w:t>2008</w:t>
            </w:r>
            <w:r>
              <w:rPr>
                <w:rFonts w:hAnsi="宋体" w:eastAsia="宋体"/>
                <w:color w:val="auto"/>
                <w:szCs w:val="21"/>
              </w:rPr>
              <w:t>《声环境质量标准》</w:t>
            </w:r>
            <w:r>
              <w:rPr>
                <w:rFonts w:hint="eastAsia" w:hAnsi="宋体" w:eastAsia="宋体"/>
                <w:color w:val="auto"/>
                <w:szCs w:val="21"/>
                <w:lang w:val="en-US" w:eastAsia="zh-CN"/>
              </w:rPr>
              <w:t>4a</w:t>
            </w:r>
            <w:r>
              <w:rPr>
                <w:rFonts w:hAnsi="宋体" w:eastAsia="宋体"/>
                <w:color w:val="auto"/>
                <w:szCs w:val="21"/>
              </w:rPr>
              <w:t>类</w:t>
            </w:r>
          </w:p>
        </w:tc>
        <w:tc>
          <w:tcPr>
            <w:tcW w:w="1451" w:type="pct"/>
            <w:noWrap w:val="0"/>
            <w:vAlign w:val="center"/>
          </w:tcPr>
          <w:p>
            <w:pPr>
              <w:pStyle w:val="89"/>
              <w:adjustRightInd/>
              <w:snapToGrid/>
              <w:spacing w:line="240" w:lineRule="auto"/>
              <w:rPr>
                <w:rFonts w:hint="default" w:eastAsia="宋体"/>
                <w:color w:val="auto"/>
                <w:szCs w:val="21"/>
                <w:lang w:val="en-US" w:eastAsia="zh-CN"/>
              </w:rPr>
            </w:pPr>
            <w:r>
              <w:rPr>
                <w:rFonts w:hint="eastAsia" w:eastAsia="宋体"/>
                <w:color w:val="auto"/>
                <w:szCs w:val="21"/>
                <w:lang w:val="en-US" w:eastAsia="zh-CN"/>
              </w:rPr>
              <w:t>70</w:t>
            </w:r>
          </w:p>
        </w:tc>
        <w:tc>
          <w:tcPr>
            <w:tcW w:w="1338" w:type="pct"/>
            <w:noWrap w:val="0"/>
            <w:vAlign w:val="center"/>
          </w:tcPr>
          <w:p>
            <w:pPr>
              <w:pStyle w:val="89"/>
              <w:adjustRightInd/>
              <w:snapToGrid/>
              <w:spacing w:line="240" w:lineRule="auto"/>
              <w:rPr>
                <w:rFonts w:hint="default" w:eastAsia="宋体"/>
                <w:color w:val="auto"/>
                <w:szCs w:val="21"/>
                <w:lang w:val="en-US" w:eastAsia="zh-CN"/>
              </w:rPr>
            </w:pPr>
            <w:r>
              <w:rPr>
                <w:rFonts w:hint="eastAsia" w:eastAsia="宋体"/>
                <w:color w:val="auto"/>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10" w:type="pct"/>
            <w:noWrap w:val="0"/>
            <w:vAlign w:val="center"/>
          </w:tcPr>
          <w:p>
            <w:pPr>
              <w:pStyle w:val="89"/>
              <w:adjustRightInd/>
              <w:snapToGrid/>
              <w:spacing w:line="240" w:lineRule="auto"/>
              <w:rPr>
                <w:rFonts w:eastAsia="宋体"/>
                <w:color w:val="auto"/>
                <w:szCs w:val="21"/>
              </w:rPr>
            </w:pPr>
            <w:r>
              <w:rPr>
                <w:rFonts w:hint="eastAsia" w:hAnsi="宋体" w:eastAsia="宋体"/>
                <w:color w:val="auto"/>
                <w:szCs w:val="21"/>
                <w:lang w:eastAsia="zh-CN"/>
              </w:rPr>
              <w:t>GB22337-2008《社会生活环境噪声排放标准》表2室内（A类房间）</w:t>
            </w:r>
          </w:p>
        </w:tc>
        <w:tc>
          <w:tcPr>
            <w:tcW w:w="1451" w:type="pct"/>
            <w:noWrap w:val="0"/>
            <w:vAlign w:val="center"/>
          </w:tcPr>
          <w:p>
            <w:pPr>
              <w:pStyle w:val="89"/>
              <w:adjustRightInd/>
              <w:snapToGrid/>
              <w:spacing w:line="360" w:lineRule="exact"/>
              <w:ind w:firstLine="0" w:firstLineChars="0"/>
              <w:rPr>
                <w:rFonts w:hint="eastAsia" w:ascii="Times New Roman" w:hAnsi="Times New Roman" w:eastAsia="宋体"/>
                <w:color w:val="auto"/>
                <w:kern w:val="2"/>
                <w:sz w:val="21"/>
                <w:szCs w:val="21"/>
                <w:lang w:val="en-US" w:eastAsia="zh-CN" w:bidi="ar-SA"/>
              </w:rPr>
            </w:pPr>
            <w:r>
              <w:rPr>
                <w:rFonts w:hint="eastAsia" w:eastAsia="宋体"/>
                <w:color w:val="auto"/>
                <w:szCs w:val="21"/>
                <w:lang w:val="en-US" w:eastAsia="zh-CN"/>
              </w:rPr>
              <w:t>45</w:t>
            </w:r>
          </w:p>
        </w:tc>
        <w:tc>
          <w:tcPr>
            <w:tcW w:w="1338" w:type="pct"/>
            <w:noWrap w:val="0"/>
            <w:vAlign w:val="center"/>
          </w:tcPr>
          <w:p>
            <w:pPr>
              <w:pStyle w:val="89"/>
              <w:adjustRightInd/>
              <w:snapToGrid/>
              <w:spacing w:line="360" w:lineRule="exact"/>
              <w:ind w:firstLine="0" w:firstLineChars="0"/>
              <w:rPr>
                <w:rFonts w:hint="eastAsia" w:ascii="Times New Roman" w:hAnsi="Times New Roman" w:eastAsia="宋体"/>
                <w:color w:val="auto"/>
                <w:kern w:val="2"/>
                <w:sz w:val="21"/>
                <w:szCs w:val="21"/>
                <w:lang w:val="en-US" w:eastAsia="zh-CN" w:bidi="ar-SA"/>
              </w:rPr>
            </w:pPr>
            <w:r>
              <w:rPr>
                <w:rFonts w:hint="eastAsia" w:eastAsia="宋体"/>
                <w:color w:val="auto"/>
                <w:szCs w:val="21"/>
                <w:lang w:val="en-US" w:eastAsia="zh-CN"/>
              </w:rPr>
              <w:t>35</w:t>
            </w:r>
          </w:p>
        </w:tc>
      </w:tr>
    </w:tbl>
    <w:p>
      <w:pPr>
        <w:pageBreakBefore w:val="0"/>
        <w:widowControl w:val="0"/>
        <w:kinsoku/>
        <w:wordWrap/>
        <w:overflowPunct/>
        <w:topLinePunct w:val="0"/>
        <w:autoSpaceDE/>
        <w:autoSpaceDN/>
        <w:bidi w:val="0"/>
        <w:adjustRightInd/>
        <w:snapToGrid/>
        <w:spacing w:line="360" w:lineRule="auto"/>
        <w:ind w:left="0" w:leftChars="0" w:right="0" w:rightChars="0" w:firstLine="482"/>
        <w:jc w:val="both"/>
        <w:textAlignment w:val="auto"/>
        <w:rPr>
          <w:rFonts w:hint="default" w:ascii="Times New Roman" w:hAnsi="Times New Roman" w:cs="Times New Roman"/>
          <w:b/>
          <w:color w:val="auto"/>
        </w:rPr>
      </w:pPr>
      <w:r>
        <w:rPr>
          <w:rFonts w:hint="default" w:ascii="Times New Roman" w:hAnsi="Times New Roman" w:cs="Times New Roman"/>
          <w:b/>
          <w:color w:val="auto"/>
        </w:rPr>
        <w:t>（2）环境噪声现状评价结果</w:t>
      </w:r>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default" w:ascii="Times New Roman" w:hAnsi="Times New Roman" w:cs="Times New Roman"/>
          <w:color w:val="auto"/>
        </w:rPr>
      </w:pPr>
      <w:r>
        <w:rPr>
          <w:rFonts w:hint="default" w:ascii="Times New Roman" w:hAnsi="Times New Roman" w:cs="Times New Roman"/>
          <w:color w:val="auto"/>
        </w:rPr>
        <w:t>由以上监测结果可</w:t>
      </w:r>
      <w:r>
        <w:rPr>
          <w:rFonts w:hint="eastAsia" w:cs="Times New Roman"/>
          <w:color w:val="auto"/>
          <w:lang w:val="en-US" w:eastAsia="zh-CN"/>
        </w:rPr>
        <w:t>知</w:t>
      </w:r>
      <w:r>
        <w:rPr>
          <w:rFonts w:hint="default" w:ascii="Times New Roman" w:hAnsi="Times New Roman" w:cs="Times New Roman"/>
          <w:color w:val="auto"/>
        </w:rPr>
        <w:t>，项目</w:t>
      </w:r>
      <w:r>
        <w:rPr>
          <w:rFonts w:hint="eastAsia" w:cs="Times New Roman"/>
          <w:color w:val="auto"/>
          <w:szCs w:val="21"/>
          <w:lang w:val="en-US" w:eastAsia="zh-CN"/>
        </w:rPr>
        <w:t>敏感目标</w:t>
      </w:r>
      <w:r>
        <w:rPr>
          <w:rFonts w:hint="default" w:ascii="Times New Roman" w:hAnsi="Times New Roman" w:cs="Times New Roman"/>
          <w:color w:val="auto"/>
          <w:szCs w:val="21"/>
        </w:rPr>
        <w:t>声环境能满足</w:t>
      </w:r>
      <w:r>
        <w:rPr>
          <w:rFonts w:hint="default" w:ascii="Times New Roman" w:hAnsi="Times New Roman" w:cs="Times New Roman"/>
          <w:color w:val="auto"/>
        </w:rPr>
        <w:t>《声环境质量标准》（GB3096</w:t>
      </w:r>
      <w:r>
        <w:rPr>
          <w:rFonts w:hint="default" w:ascii="Times New Roman" w:hAnsi="Times New Roman" w:cs="Times New Roman"/>
          <w:color w:val="auto"/>
          <w:lang w:val="en-US" w:eastAsia="zh-CN"/>
        </w:rPr>
        <w:t>-</w:t>
      </w:r>
      <w:r>
        <w:rPr>
          <w:rFonts w:hint="default" w:ascii="Times New Roman" w:hAnsi="Times New Roman" w:cs="Times New Roman"/>
          <w:color w:val="auto"/>
        </w:rPr>
        <w:t>2008）2</w:t>
      </w:r>
      <w:r>
        <w:rPr>
          <w:rFonts w:hint="default" w:ascii="Times New Roman" w:hAnsi="Times New Roman" w:cs="Times New Roman"/>
          <w:color w:val="auto"/>
          <w:szCs w:val="21"/>
        </w:rPr>
        <w:t>类区要求，</w:t>
      </w:r>
      <w:r>
        <w:rPr>
          <w:rFonts w:hint="eastAsia" w:cs="Times New Roman"/>
          <w:color w:val="auto"/>
          <w:szCs w:val="21"/>
          <w:lang w:eastAsia="zh-CN"/>
        </w:rPr>
        <w:t>拟建的</w:t>
      </w:r>
      <w:r>
        <w:rPr>
          <w:rFonts w:hint="eastAsia" w:cs="Times New Roman"/>
          <w:color w:val="auto"/>
          <w:szCs w:val="21"/>
          <w:lang w:val="en-US" w:eastAsia="zh-CN"/>
        </w:rPr>
        <w:t>老年中心、拓展住院部大楼的声环境质量超过</w:t>
      </w:r>
      <w:r>
        <w:rPr>
          <w:rFonts w:hint="eastAsia" w:hAnsi="宋体" w:eastAsia="宋体"/>
          <w:color w:val="auto"/>
          <w:szCs w:val="21"/>
          <w:lang w:eastAsia="zh-CN"/>
        </w:rPr>
        <w:t>GB22337-2008《社会生活环境噪声排放标准》表2室内（A类房间）</w:t>
      </w:r>
      <w:r>
        <w:rPr>
          <w:rFonts w:hint="eastAsia" w:hAnsi="宋体"/>
          <w:color w:val="auto"/>
          <w:szCs w:val="21"/>
          <w:lang w:eastAsia="zh-CN"/>
        </w:rPr>
        <w:t>中标准要求</w:t>
      </w:r>
      <w:r>
        <w:rPr>
          <w:rFonts w:hint="eastAsia"/>
          <w:color w:val="auto"/>
          <w:lang w:val="en-US" w:eastAsia="zh-CN"/>
        </w:rPr>
        <w:t>，</w:t>
      </w:r>
      <w:r>
        <w:rPr>
          <w:rFonts w:hint="eastAsia"/>
          <w:color w:val="auto"/>
          <w:lang w:eastAsia="zh-CN"/>
        </w:rPr>
        <w:t>后期老年中心、拓展住院部大楼内的</w:t>
      </w:r>
      <w:r>
        <w:rPr>
          <w:rFonts w:hint="eastAsia"/>
          <w:b/>
          <w:bCs/>
          <w:color w:val="auto"/>
          <w:lang w:eastAsia="zh-CN"/>
        </w:rPr>
        <w:t>病房</w:t>
      </w:r>
      <w:r>
        <w:rPr>
          <w:rFonts w:hint="eastAsia"/>
          <w:color w:val="auto"/>
          <w:lang w:val="en-US" w:eastAsia="zh-CN"/>
        </w:rPr>
        <w:t>在关窗情况下室内声环境质量均能满足满足</w:t>
      </w:r>
      <w:r>
        <w:rPr>
          <w:rFonts w:hint="eastAsia" w:hAnsi="宋体" w:eastAsia="宋体"/>
          <w:color w:val="auto"/>
          <w:szCs w:val="21"/>
          <w:lang w:eastAsia="zh-CN"/>
        </w:rPr>
        <w:t>《社会生活环境噪声排放标准》（GB22337-2008）表2（A类房间）标准，</w:t>
      </w:r>
      <w:r>
        <w:rPr>
          <w:rFonts w:hint="eastAsia" w:cs="Times New Roman"/>
          <w:color w:val="auto"/>
          <w:szCs w:val="21"/>
          <w:lang w:eastAsia="zh-CN"/>
        </w:rPr>
        <w:t>西边界</w:t>
      </w:r>
      <w:r>
        <w:rPr>
          <w:rFonts w:hint="eastAsia" w:cs="Times New Roman"/>
          <w:color w:val="auto"/>
          <w:sz w:val="24"/>
          <w:szCs w:val="24"/>
          <w:highlight w:val="none"/>
          <w:lang w:val="en-US" w:eastAsia="zh-CN"/>
        </w:rPr>
        <w:t>临路</w:t>
      </w:r>
      <w:r>
        <w:rPr>
          <w:rFonts w:hint="eastAsia"/>
          <w:color w:val="auto"/>
          <w:sz w:val="24"/>
          <w:szCs w:val="24"/>
          <w:lang w:val="en-US" w:eastAsia="zh-CN"/>
        </w:rPr>
        <w:t xml:space="preserve"> 35m±5m范围</w:t>
      </w:r>
      <w:r>
        <w:rPr>
          <w:rFonts w:hint="default" w:ascii="Times New Roman" w:hAnsi="Times New Roman" w:cs="Times New Roman"/>
          <w:color w:val="auto"/>
          <w:szCs w:val="21"/>
        </w:rPr>
        <w:t>声环境能满足</w:t>
      </w:r>
      <w:r>
        <w:rPr>
          <w:rFonts w:hint="default" w:ascii="Times New Roman" w:hAnsi="Times New Roman" w:cs="Times New Roman"/>
          <w:color w:val="auto"/>
        </w:rPr>
        <w:t>《声环境质量标准》（GB3096</w:t>
      </w:r>
      <w:r>
        <w:rPr>
          <w:rFonts w:hint="default" w:ascii="Times New Roman" w:hAnsi="Times New Roman" w:cs="Times New Roman"/>
          <w:color w:val="auto"/>
          <w:lang w:val="en-US" w:eastAsia="zh-CN"/>
        </w:rPr>
        <w:t>-</w:t>
      </w:r>
      <w:r>
        <w:rPr>
          <w:rFonts w:hint="default" w:ascii="Times New Roman" w:hAnsi="Times New Roman" w:cs="Times New Roman"/>
          <w:color w:val="auto"/>
        </w:rPr>
        <w:t>2008）中的</w:t>
      </w:r>
      <w:r>
        <w:rPr>
          <w:rFonts w:hint="eastAsia" w:ascii="Times New Roman" w:hAnsi="Times New Roman" w:cs="Times New Roman"/>
          <w:color w:val="auto"/>
          <w:lang w:val="en-US" w:eastAsia="zh-CN"/>
        </w:rPr>
        <w:t>4</w:t>
      </w:r>
      <w:r>
        <w:rPr>
          <w:rFonts w:hint="default" w:ascii="Times New Roman" w:hAnsi="Times New Roman" w:cs="Times New Roman"/>
          <w:color w:val="auto"/>
        </w:rPr>
        <w:t>a类</w:t>
      </w:r>
      <w:r>
        <w:rPr>
          <w:rFonts w:hint="default" w:ascii="Times New Roman" w:hAnsi="Times New Roman" w:cs="Times New Roman"/>
          <w:color w:val="auto"/>
          <w:szCs w:val="21"/>
        </w:rPr>
        <w:t>区</w:t>
      </w:r>
      <w:r>
        <w:rPr>
          <w:rFonts w:hint="default" w:ascii="Times New Roman" w:hAnsi="Times New Roman" w:cs="Times New Roman"/>
          <w:color w:val="auto"/>
        </w:rPr>
        <w:t>标准</w:t>
      </w:r>
      <w:r>
        <w:rPr>
          <w:rFonts w:hint="default" w:ascii="Times New Roman" w:hAnsi="Times New Roman" w:cs="Times New Roman"/>
          <w:color w:val="auto"/>
          <w:szCs w:val="21"/>
        </w:rPr>
        <w:t>。</w:t>
      </w:r>
    </w:p>
    <w:p>
      <w:pPr>
        <w:pStyle w:val="4"/>
        <w:pageBreakBefore w:val="0"/>
        <w:widowControl w:val="0"/>
        <w:numPr>
          <w:ilvl w:val="1"/>
          <w:numId w:val="0"/>
        </w:numPr>
        <w:kinsoku/>
        <w:wordWrap/>
        <w:overflowPunct/>
        <w:topLinePunct w:val="0"/>
        <w:autoSpaceDE/>
        <w:autoSpaceDN/>
        <w:bidi w:val="0"/>
        <w:adjustRightInd/>
        <w:snapToGrid/>
        <w:spacing w:before="0" w:after="0" w:line="360" w:lineRule="auto"/>
        <w:ind w:leftChars="0" w:right="0" w:rightChars="0"/>
        <w:jc w:val="both"/>
        <w:textAlignment w:val="auto"/>
        <w:rPr>
          <w:rFonts w:hint="eastAsia" w:eastAsia="宋体" w:cs="Times New Roman"/>
          <w:color w:val="auto"/>
          <w:lang w:val="en-US" w:eastAsia="zh-CN"/>
        </w:rPr>
      </w:pPr>
      <w:bookmarkStart w:id="70" w:name="_Toc22726"/>
      <w:r>
        <w:rPr>
          <w:rFonts w:hint="eastAsia" w:cs="Times New Roman"/>
          <w:color w:val="auto"/>
          <w:lang w:val="en-US" w:eastAsia="zh-CN"/>
        </w:rPr>
        <w:t>4.</w:t>
      </w:r>
      <w:r>
        <w:rPr>
          <w:rFonts w:hint="eastAsia" w:ascii="Times New Roman" w:hAnsi="Times New Roman" w:cs="Times New Roman"/>
          <w:color w:val="auto"/>
          <w:lang w:val="en-US" w:eastAsia="zh-CN"/>
        </w:rPr>
        <w:t>5</w:t>
      </w:r>
      <w:r>
        <w:rPr>
          <w:rFonts w:hint="eastAsia" w:cs="Times New Roman"/>
          <w:color w:val="auto"/>
          <w:lang w:val="en-US" w:eastAsia="zh-CN"/>
        </w:rPr>
        <w:t xml:space="preserve"> 地下水</w:t>
      </w:r>
      <w:r>
        <w:rPr>
          <w:rFonts w:hint="eastAsia"/>
          <w:color w:val="auto"/>
          <w:lang w:eastAsia="zh-CN"/>
        </w:rPr>
        <w:t>环境质量现状调查及评价</w:t>
      </w:r>
      <w:bookmarkEnd w:id="70"/>
    </w:p>
    <w:p>
      <w:pPr>
        <w:adjustRightInd w:val="0"/>
        <w:snapToGrid w:val="0"/>
        <w:spacing w:line="360" w:lineRule="auto"/>
        <w:rPr>
          <w:b w:val="0"/>
          <w:bCs w:val="0"/>
          <w:color w:val="auto"/>
          <w:sz w:val="24"/>
        </w:rPr>
      </w:pPr>
      <w:r>
        <w:rPr>
          <w:b w:val="0"/>
          <w:bCs w:val="0"/>
          <w:color w:val="auto"/>
          <w:sz w:val="24"/>
        </w:rPr>
        <w:t xml:space="preserve"> </w:t>
      </w:r>
      <w:r>
        <w:rPr>
          <w:rFonts w:hint="eastAsia"/>
          <w:b w:val="0"/>
          <w:bCs w:val="0"/>
          <w:color w:val="auto"/>
          <w:sz w:val="24"/>
          <w:lang w:val="en-US" w:eastAsia="zh-CN"/>
        </w:rPr>
        <w:t>1.</w:t>
      </w:r>
      <w:r>
        <w:rPr>
          <w:b w:val="0"/>
          <w:bCs w:val="0"/>
          <w:color w:val="auto"/>
          <w:sz w:val="24"/>
        </w:rPr>
        <w:t>地下水环境现状调查</w:t>
      </w:r>
    </w:p>
    <w:p>
      <w:pPr>
        <w:adjustRightInd w:val="0"/>
        <w:snapToGrid w:val="0"/>
        <w:spacing w:line="360" w:lineRule="auto"/>
        <w:ind w:firstLine="480" w:firstLineChars="200"/>
        <w:rPr>
          <w:color w:val="auto"/>
          <w:sz w:val="24"/>
        </w:rPr>
      </w:pPr>
      <w:r>
        <w:rPr>
          <w:color w:val="auto"/>
          <w:sz w:val="24"/>
        </w:rPr>
        <w:t>（1）监测点布设</w:t>
      </w:r>
    </w:p>
    <w:p>
      <w:pPr>
        <w:spacing w:line="360" w:lineRule="auto"/>
        <w:ind w:firstLine="480" w:firstLineChars="200"/>
        <w:rPr>
          <w:rFonts w:hint="eastAsia" w:ascii="宋体" w:hAnsi="宋体" w:eastAsia="宋体"/>
          <w:color w:val="auto"/>
          <w:sz w:val="24"/>
          <w:lang w:eastAsia="zh-CN"/>
        </w:rPr>
      </w:pPr>
      <w:r>
        <w:rPr>
          <w:rFonts w:hAnsi="宋体"/>
          <w:color w:val="auto"/>
          <w:sz w:val="24"/>
        </w:rPr>
        <w:t>本</w:t>
      </w:r>
      <w:r>
        <w:rPr>
          <w:rFonts w:hint="eastAsia" w:ascii="Times New Roman" w:hAnsi="Times New Roman" w:eastAsia="宋体" w:cs="Times New Roman"/>
          <w:color w:val="auto"/>
          <w:sz w:val="24"/>
          <w:szCs w:val="24"/>
          <w:vertAlign w:val="baseline"/>
          <w:lang w:val="en-US" w:eastAsia="zh-CN"/>
        </w:rPr>
        <w:t>次环评委托</w:t>
      </w:r>
      <w:r>
        <w:rPr>
          <w:rFonts w:hint="eastAsia" w:cs="Times New Roman"/>
          <w:color w:val="auto"/>
          <w:sz w:val="24"/>
          <w:szCs w:val="24"/>
          <w:highlight w:val="none"/>
          <w:lang w:val="en-US" w:eastAsia="zh-CN"/>
        </w:rPr>
        <w:t>安徽省国众检测科技有限公司对项目所在地附近地下水现状环境质量进行了监测，</w:t>
      </w:r>
      <w:r>
        <w:rPr>
          <w:rFonts w:hint="eastAsia" w:hAnsi="宋体"/>
          <w:color w:val="auto"/>
          <w:sz w:val="24"/>
          <w:lang w:val="en-US" w:eastAsia="zh-CN"/>
        </w:rPr>
        <w:t>监测内容及结果如下</w:t>
      </w:r>
      <w:r>
        <w:rPr>
          <w:rFonts w:hint="eastAsia" w:ascii="宋体" w:hAnsi="宋体"/>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rPr>
      </w:pPr>
      <w:r>
        <w:rPr>
          <w:rFonts w:hint="eastAsia" w:ascii="Times New Roman" w:hAnsi="Times New Roman" w:eastAsia="宋体" w:cs="Times New Roman"/>
          <w:b/>
          <w:bCs w:val="0"/>
          <w:color w:val="auto"/>
          <w:sz w:val="21"/>
          <w:szCs w:val="21"/>
          <w:lang w:val="en-US" w:eastAsia="zh-CN"/>
        </w:rPr>
        <w:t>表</w:t>
      </w:r>
      <w:r>
        <w:rPr>
          <w:rFonts w:hint="eastAsia" w:cs="Times New Roman"/>
          <w:b/>
          <w:bCs w:val="0"/>
          <w:color w:val="auto"/>
          <w:sz w:val="21"/>
          <w:szCs w:val="21"/>
          <w:lang w:val="en-US" w:eastAsia="zh-CN"/>
        </w:rPr>
        <w:t>5.5-1</w:t>
      </w:r>
      <w:r>
        <w:rPr>
          <w:rFonts w:hint="default" w:ascii="Times New Roman" w:hAnsi="Times New Roman" w:eastAsia="宋体" w:cs="Times New Roman"/>
          <w:b/>
          <w:bCs w:val="0"/>
          <w:color w:val="auto"/>
          <w:sz w:val="21"/>
          <w:szCs w:val="21"/>
        </w:rPr>
        <w:t xml:space="preserve"> </w:t>
      </w:r>
      <w:r>
        <w:rPr>
          <w:rFonts w:hint="default" w:ascii="Times New Roman" w:hAnsi="Times New Roman" w:eastAsia="宋体" w:cs="Times New Roman"/>
          <w:b/>
          <w:bCs w:val="0"/>
          <w:color w:val="auto"/>
          <w:sz w:val="21"/>
          <w:szCs w:val="21"/>
          <w:lang w:val="en-US" w:eastAsia="zh-CN"/>
        </w:rPr>
        <w:t>地下水</w:t>
      </w:r>
      <w:r>
        <w:rPr>
          <w:rFonts w:hint="default" w:ascii="Times New Roman" w:hAnsi="Times New Roman" w:eastAsia="宋体" w:cs="Times New Roman"/>
          <w:b/>
          <w:bCs w:val="0"/>
          <w:color w:val="auto"/>
          <w:sz w:val="21"/>
          <w:szCs w:val="21"/>
        </w:rPr>
        <w:t>监测点位一览表</w:t>
      </w:r>
    </w:p>
    <w:tbl>
      <w:tblPr>
        <w:tblStyle w:val="48"/>
        <w:tblW w:w="5013" w:type="pct"/>
        <w:jc w:val="center"/>
        <w:tblLayout w:type="autofit"/>
        <w:tblCellMar>
          <w:top w:w="0" w:type="dxa"/>
          <w:left w:w="108" w:type="dxa"/>
          <w:bottom w:w="0" w:type="dxa"/>
          <w:right w:w="108" w:type="dxa"/>
        </w:tblCellMar>
      </w:tblPr>
      <w:tblGrid>
        <w:gridCol w:w="1212"/>
        <w:gridCol w:w="1436"/>
        <w:gridCol w:w="2866"/>
        <w:gridCol w:w="1329"/>
        <w:gridCol w:w="1501"/>
      </w:tblGrid>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编号</w:t>
            </w:r>
          </w:p>
        </w:tc>
        <w:tc>
          <w:tcPr>
            <w:tcW w:w="860"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监测性质</w:t>
            </w:r>
          </w:p>
        </w:tc>
        <w:tc>
          <w:tcPr>
            <w:tcW w:w="1717"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监测点</w:t>
            </w:r>
          </w:p>
        </w:tc>
        <w:tc>
          <w:tcPr>
            <w:tcW w:w="79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距离(m)</w:t>
            </w:r>
          </w:p>
        </w:tc>
        <w:tc>
          <w:tcPr>
            <w:tcW w:w="899"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方位</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D1</w:t>
            </w:r>
          </w:p>
        </w:tc>
        <w:tc>
          <w:tcPr>
            <w:tcW w:w="860" w:type="pct"/>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水质兼水位监测点</w:t>
            </w: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eastAsia="zh-CN"/>
              </w:rPr>
            </w:pPr>
            <w:r>
              <w:rPr>
                <w:rFonts w:hint="eastAsia" w:ascii="Times New Roman" w:hAnsi="Times New Roman" w:eastAsia="宋体" w:cs="Times New Roman"/>
                <w:bCs/>
                <w:color w:val="auto"/>
                <w:spacing w:val="2"/>
                <w:kern w:val="0"/>
                <w:sz w:val="21"/>
                <w:szCs w:val="21"/>
                <w:lang w:eastAsia="zh-CN"/>
              </w:rPr>
              <w:t>项目地</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rPr>
              <w:t>—</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eastAsia" w:ascii="Times New Roman" w:hAnsi="Times New Roman" w:eastAsia="宋体" w:cs="Times New Roman"/>
                <w:bCs/>
                <w:color w:val="auto"/>
                <w:spacing w:val="2"/>
                <w:kern w:val="0"/>
                <w:sz w:val="21"/>
                <w:szCs w:val="21"/>
              </w:rPr>
              <w:t>—</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D2</w:t>
            </w:r>
          </w:p>
        </w:tc>
        <w:tc>
          <w:tcPr>
            <w:tcW w:w="860"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eastAsia="zh-CN"/>
              </w:rPr>
            </w:pPr>
            <w:r>
              <w:rPr>
                <w:rFonts w:hint="eastAsia" w:ascii="Times New Roman" w:hAnsi="Times New Roman" w:eastAsia="宋体" w:cs="Times New Roman"/>
                <w:bCs/>
                <w:color w:val="auto"/>
                <w:spacing w:val="2"/>
                <w:kern w:val="0"/>
                <w:sz w:val="21"/>
                <w:szCs w:val="21"/>
                <w:lang w:val="en-US" w:eastAsia="zh-CN"/>
              </w:rPr>
              <w:t>大陈村</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rPr>
            </w:pPr>
            <w:r>
              <w:rPr>
                <w:rFonts w:hint="eastAsia" w:cs="Times New Roman"/>
                <w:bCs/>
                <w:color w:val="auto"/>
                <w:spacing w:val="2"/>
                <w:kern w:val="0"/>
                <w:sz w:val="21"/>
                <w:szCs w:val="21"/>
                <w:lang w:val="en-US" w:eastAsia="zh-CN"/>
              </w:rPr>
              <w:t>760</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eastAsia" w:ascii="Times New Roman" w:hAnsi="Times New Roman" w:eastAsia="宋体" w:cs="Times New Roman"/>
                <w:bCs/>
                <w:color w:val="auto"/>
                <w:spacing w:val="2"/>
                <w:kern w:val="0"/>
                <w:sz w:val="21"/>
                <w:szCs w:val="21"/>
                <w:lang w:val="en-US" w:eastAsia="zh-CN"/>
              </w:rPr>
              <w:t>SE</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D3</w:t>
            </w:r>
          </w:p>
        </w:tc>
        <w:tc>
          <w:tcPr>
            <w:tcW w:w="860"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color w:val="auto"/>
                <w:sz w:val="21"/>
                <w:szCs w:val="21"/>
                <w:lang w:val="en-US" w:eastAsia="zh-CN"/>
              </w:rPr>
              <w:t>郡和府（在建小区）</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86</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D4</w:t>
            </w:r>
          </w:p>
        </w:tc>
        <w:tc>
          <w:tcPr>
            <w:tcW w:w="860" w:type="pct"/>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水位监测点</w:t>
            </w: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滨水湾小区</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750</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NW</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D5</w:t>
            </w:r>
          </w:p>
        </w:tc>
        <w:tc>
          <w:tcPr>
            <w:tcW w:w="860"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eastAsia="zh-CN"/>
              </w:rPr>
            </w:pPr>
            <w:r>
              <w:rPr>
                <w:rFonts w:hint="eastAsia" w:ascii="Times New Roman" w:hAnsi="Times New Roman" w:eastAsia="宋体" w:cs="Times New Roman"/>
                <w:bCs/>
                <w:color w:val="auto"/>
                <w:spacing w:val="2"/>
                <w:kern w:val="0"/>
                <w:sz w:val="21"/>
                <w:szCs w:val="21"/>
                <w:lang w:eastAsia="zh-CN"/>
              </w:rPr>
              <w:t>南京路与安徽路东南角</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420</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S</w:t>
            </w:r>
          </w:p>
        </w:tc>
      </w:tr>
      <w:tr>
        <w:tblPrEx>
          <w:tblCellMar>
            <w:top w:w="0" w:type="dxa"/>
            <w:left w:w="108" w:type="dxa"/>
            <w:bottom w:w="0" w:type="dxa"/>
            <w:right w:w="108" w:type="dxa"/>
          </w:tblCellMar>
        </w:tblPrEx>
        <w:trPr>
          <w:trHeight w:val="454" w:hRule="atLeast"/>
          <w:jc w:val="center"/>
        </w:trPr>
        <w:tc>
          <w:tcPr>
            <w:tcW w:w="726"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D6</w:t>
            </w:r>
          </w:p>
        </w:tc>
        <w:tc>
          <w:tcPr>
            <w:tcW w:w="860"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286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桥岗</w:t>
            </w:r>
          </w:p>
        </w:tc>
        <w:tc>
          <w:tcPr>
            <w:tcW w:w="1329"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423</w:t>
            </w:r>
          </w:p>
        </w:tc>
        <w:tc>
          <w:tcPr>
            <w:tcW w:w="150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N</w:t>
            </w:r>
          </w:p>
        </w:tc>
      </w:tr>
    </w:tbl>
    <w:p>
      <w:pPr>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right="0" w:rightChars="0"/>
        <w:jc w:val="both"/>
        <w:textAlignment w:val="auto"/>
        <w:outlineLvl w:val="9"/>
        <w:rPr>
          <w:color w:val="auto"/>
          <w:sz w:val="24"/>
        </w:rPr>
      </w:pPr>
      <w:r>
        <w:rPr>
          <w:color w:val="auto"/>
          <w:sz w:val="24"/>
        </w:rPr>
        <w:t>（2）监测项目</w:t>
      </w:r>
    </w:p>
    <w:p>
      <w:pPr>
        <w:keepNext w:val="0"/>
        <w:keepLines w:val="0"/>
        <w:pageBreakBefore w:val="0"/>
        <w:kinsoku/>
        <w:wordWrap/>
        <w:overflowPunct/>
        <w:topLinePunct w:val="0"/>
        <w:autoSpaceDE w:val="0"/>
        <w:autoSpaceDN w:val="0"/>
        <w:bidi w:val="0"/>
        <w:adjustRightInd w:val="0"/>
        <w:spacing w:line="360" w:lineRule="auto"/>
        <w:ind w:left="0" w:firstLine="480" w:firstLineChars="200"/>
        <w:jc w:val="left"/>
        <w:rPr>
          <w:color w:val="auto"/>
          <w:kern w:val="0"/>
          <w:sz w:val="24"/>
          <w:lang w:val="zh-CN"/>
        </w:rPr>
      </w:pPr>
      <w:r>
        <w:rPr>
          <w:color w:val="auto"/>
          <w:kern w:val="0"/>
          <w:sz w:val="24"/>
          <w:lang w:val="zh-CN"/>
        </w:rPr>
        <w:t>本次地下水环境质量现状评价的监测因子包括：</w:t>
      </w:r>
      <w:r>
        <w:rPr>
          <w:snapToGrid w:val="0"/>
          <w:color w:val="auto"/>
          <w:sz w:val="24"/>
        </w:rPr>
        <w:t>pH</w:t>
      </w:r>
      <w:r>
        <w:rPr>
          <w:rFonts w:hAnsi="宋体"/>
          <w:snapToGrid w:val="0"/>
          <w:color w:val="auto"/>
          <w:sz w:val="24"/>
        </w:rPr>
        <w:t>、氨氮</w:t>
      </w:r>
      <w:r>
        <w:rPr>
          <w:rFonts w:hint="eastAsia" w:hAnsi="宋体"/>
          <w:snapToGrid w:val="0"/>
          <w:color w:val="auto"/>
          <w:sz w:val="24"/>
          <w:lang w:eastAsia="zh-CN"/>
        </w:rPr>
        <w:t>、</w:t>
      </w:r>
      <w:r>
        <w:rPr>
          <w:rFonts w:hAnsi="宋体"/>
          <w:snapToGrid w:val="0"/>
          <w:color w:val="auto"/>
          <w:sz w:val="24"/>
        </w:rPr>
        <w:t>硝酸盐、亚硝酸盐、挥发性酚类、氰化物、砷、汞、六价铬、总硬度、铅、镉、</w:t>
      </w:r>
      <w:r>
        <w:rPr>
          <w:rFonts w:hint="eastAsia" w:hAnsi="宋体"/>
          <w:snapToGrid w:val="0"/>
          <w:color w:val="auto"/>
          <w:sz w:val="24"/>
          <w:lang w:eastAsia="zh-CN"/>
        </w:rPr>
        <w:t>铁、锰、溶解性总固体、</w:t>
      </w:r>
      <w:r>
        <w:rPr>
          <w:rFonts w:hAnsi="宋体"/>
          <w:snapToGrid w:val="0"/>
          <w:color w:val="auto"/>
          <w:sz w:val="24"/>
        </w:rPr>
        <w:t>氟</w:t>
      </w:r>
      <w:r>
        <w:rPr>
          <w:rFonts w:hint="eastAsia" w:hAnsi="宋体"/>
          <w:snapToGrid w:val="0"/>
          <w:color w:val="auto"/>
          <w:sz w:val="24"/>
          <w:lang w:eastAsia="zh-CN"/>
        </w:rPr>
        <w:t>化物、</w:t>
      </w:r>
      <w:r>
        <w:rPr>
          <w:rFonts w:hAnsi="宋体"/>
          <w:snapToGrid w:val="0"/>
          <w:color w:val="auto"/>
          <w:sz w:val="24"/>
        </w:rPr>
        <w:t>总大肠菌群</w:t>
      </w:r>
      <w:r>
        <w:rPr>
          <w:rFonts w:hint="eastAsia" w:hAnsi="宋体"/>
          <w:snapToGrid w:val="0"/>
          <w:color w:val="auto"/>
          <w:sz w:val="24"/>
          <w:lang w:eastAsia="zh-CN"/>
        </w:rPr>
        <w:t>、细菌总数</w:t>
      </w:r>
      <w:r>
        <w:rPr>
          <w:rFonts w:hint="eastAsia"/>
          <w:color w:val="auto"/>
          <w:kern w:val="0"/>
          <w:sz w:val="24"/>
          <w:lang w:val="en-US" w:eastAsia="zh-CN"/>
        </w:rPr>
        <w:t>。检测分析地下水环境中K</w:t>
      </w:r>
      <w:r>
        <w:rPr>
          <w:rFonts w:hint="eastAsia"/>
          <w:color w:val="auto"/>
          <w:kern w:val="0"/>
          <w:sz w:val="24"/>
          <w:vertAlign w:val="superscript"/>
          <w:lang w:val="en-US" w:eastAsia="zh-CN"/>
        </w:rPr>
        <w:t>+</w:t>
      </w:r>
      <w:r>
        <w:rPr>
          <w:rFonts w:hint="eastAsia"/>
          <w:color w:val="auto"/>
          <w:kern w:val="0"/>
          <w:sz w:val="24"/>
          <w:lang w:val="en-US" w:eastAsia="zh-CN"/>
        </w:rPr>
        <w:t>、Na</w:t>
      </w:r>
      <w:r>
        <w:rPr>
          <w:rFonts w:hint="eastAsia"/>
          <w:color w:val="auto"/>
          <w:kern w:val="0"/>
          <w:sz w:val="24"/>
          <w:vertAlign w:val="superscript"/>
          <w:lang w:val="en-US" w:eastAsia="zh-CN"/>
        </w:rPr>
        <w:t>+</w:t>
      </w:r>
      <w:r>
        <w:rPr>
          <w:rFonts w:hint="eastAsia"/>
          <w:color w:val="auto"/>
          <w:kern w:val="0"/>
          <w:sz w:val="24"/>
          <w:lang w:val="en-US" w:eastAsia="zh-CN"/>
        </w:rPr>
        <w:t>、Ca</w:t>
      </w:r>
      <w:r>
        <w:rPr>
          <w:rFonts w:hint="eastAsia"/>
          <w:color w:val="auto"/>
          <w:kern w:val="0"/>
          <w:sz w:val="24"/>
          <w:vertAlign w:val="superscript"/>
          <w:lang w:val="en-US" w:eastAsia="zh-CN"/>
        </w:rPr>
        <w:t>2+</w:t>
      </w:r>
      <w:r>
        <w:rPr>
          <w:rFonts w:hint="eastAsia"/>
          <w:color w:val="auto"/>
          <w:kern w:val="0"/>
          <w:sz w:val="24"/>
          <w:lang w:val="en-US" w:eastAsia="zh-CN"/>
        </w:rPr>
        <w:t>、Mg</w:t>
      </w:r>
      <w:r>
        <w:rPr>
          <w:rFonts w:hint="eastAsia"/>
          <w:color w:val="auto"/>
          <w:kern w:val="0"/>
          <w:sz w:val="24"/>
          <w:vertAlign w:val="superscript"/>
          <w:lang w:val="en-US" w:eastAsia="zh-CN"/>
        </w:rPr>
        <w:t>2+</w:t>
      </w:r>
      <w:r>
        <w:rPr>
          <w:rFonts w:hint="eastAsia"/>
          <w:color w:val="auto"/>
          <w:kern w:val="0"/>
          <w:sz w:val="24"/>
          <w:lang w:val="en-US" w:eastAsia="zh-CN"/>
        </w:rPr>
        <w:t>、CO</w:t>
      </w:r>
      <w:r>
        <w:rPr>
          <w:rFonts w:hint="eastAsia"/>
          <w:color w:val="auto"/>
          <w:kern w:val="0"/>
          <w:sz w:val="24"/>
          <w:vertAlign w:val="subscript"/>
          <w:lang w:val="en-US" w:eastAsia="zh-CN"/>
        </w:rPr>
        <w:t>3</w:t>
      </w:r>
      <w:r>
        <w:rPr>
          <w:rFonts w:hint="eastAsia"/>
          <w:color w:val="auto"/>
          <w:kern w:val="0"/>
          <w:sz w:val="24"/>
          <w:vertAlign w:val="superscript"/>
          <w:lang w:val="en-US" w:eastAsia="zh-CN"/>
        </w:rPr>
        <w:t>2+</w:t>
      </w:r>
      <w:r>
        <w:rPr>
          <w:rFonts w:hint="eastAsia"/>
          <w:color w:val="auto"/>
          <w:kern w:val="0"/>
          <w:sz w:val="24"/>
          <w:lang w:val="en-US" w:eastAsia="zh-CN"/>
        </w:rPr>
        <w:t>、HCO</w:t>
      </w:r>
      <w:r>
        <w:rPr>
          <w:rFonts w:hint="eastAsia"/>
          <w:color w:val="auto"/>
          <w:kern w:val="0"/>
          <w:sz w:val="24"/>
          <w:vertAlign w:val="subscript"/>
          <w:lang w:val="en-US" w:eastAsia="zh-CN"/>
        </w:rPr>
        <w:t>3</w:t>
      </w:r>
      <w:r>
        <w:rPr>
          <w:rFonts w:hint="eastAsia"/>
          <w:color w:val="auto"/>
          <w:kern w:val="0"/>
          <w:sz w:val="24"/>
          <w:vertAlign w:val="superscript"/>
          <w:lang w:val="en-US" w:eastAsia="zh-CN"/>
        </w:rPr>
        <w:t>-</w:t>
      </w:r>
      <w:r>
        <w:rPr>
          <w:rFonts w:hint="eastAsia"/>
          <w:color w:val="auto"/>
          <w:kern w:val="0"/>
          <w:sz w:val="24"/>
          <w:lang w:val="en-US" w:eastAsia="zh-CN"/>
        </w:rPr>
        <w:t>、Cl</w:t>
      </w:r>
      <w:r>
        <w:rPr>
          <w:rFonts w:hint="eastAsia"/>
          <w:color w:val="auto"/>
          <w:kern w:val="0"/>
          <w:sz w:val="24"/>
          <w:vertAlign w:val="superscript"/>
          <w:lang w:val="en-US" w:eastAsia="zh-CN"/>
        </w:rPr>
        <w:t>-</w:t>
      </w:r>
      <w:r>
        <w:rPr>
          <w:rFonts w:hint="eastAsia"/>
          <w:color w:val="auto"/>
          <w:kern w:val="0"/>
          <w:sz w:val="24"/>
          <w:lang w:val="en-US" w:eastAsia="zh-CN"/>
        </w:rPr>
        <w:t>、SO</w:t>
      </w:r>
      <w:r>
        <w:rPr>
          <w:rFonts w:hint="eastAsia"/>
          <w:color w:val="auto"/>
          <w:kern w:val="0"/>
          <w:sz w:val="24"/>
          <w:vertAlign w:val="subscript"/>
          <w:lang w:val="en-US" w:eastAsia="zh-CN"/>
        </w:rPr>
        <w:t>4</w:t>
      </w:r>
      <w:r>
        <w:rPr>
          <w:rFonts w:hint="eastAsia"/>
          <w:color w:val="auto"/>
          <w:kern w:val="0"/>
          <w:sz w:val="24"/>
          <w:vertAlign w:val="superscript"/>
          <w:lang w:val="en-US" w:eastAsia="zh-CN"/>
        </w:rPr>
        <w:t>2-</w:t>
      </w:r>
      <w:r>
        <w:rPr>
          <w:rFonts w:hint="eastAsia"/>
          <w:color w:val="auto"/>
          <w:kern w:val="0"/>
          <w:sz w:val="24"/>
          <w:lang w:val="en-US" w:eastAsia="zh-CN"/>
        </w:rPr>
        <w:t>，</w:t>
      </w:r>
      <w:r>
        <w:rPr>
          <w:color w:val="auto"/>
          <w:kern w:val="0"/>
          <w:sz w:val="24"/>
          <w:lang w:val="zh-CN"/>
        </w:rPr>
        <w:t>同时测量监测井的水温、井深和附近地下水埋深，采样一次。</w:t>
      </w:r>
    </w:p>
    <w:p>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rightChars="0" w:firstLine="480" w:firstLineChars="200"/>
        <w:jc w:val="both"/>
        <w:textAlignment w:val="auto"/>
        <w:outlineLvl w:val="9"/>
        <w:rPr>
          <w:color w:val="auto"/>
          <w:sz w:val="24"/>
        </w:rPr>
      </w:pPr>
      <w:r>
        <w:rPr>
          <w:color w:val="auto"/>
          <w:sz w:val="24"/>
        </w:rPr>
        <w:t>（3）监测时间</w:t>
      </w:r>
    </w:p>
    <w:p>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rightChars="0" w:firstLine="480" w:firstLineChars="200"/>
        <w:jc w:val="both"/>
        <w:textAlignment w:val="auto"/>
        <w:outlineLvl w:val="9"/>
        <w:rPr>
          <w:color w:val="auto"/>
          <w:sz w:val="24"/>
        </w:rPr>
      </w:pPr>
      <w:r>
        <w:rPr>
          <w:color w:val="auto"/>
          <w:sz w:val="24"/>
        </w:rPr>
        <w:t>20</w:t>
      </w:r>
      <w:r>
        <w:rPr>
          <w:rFonts w:hint="eastAsia"/>
          <w:color w:val="auto"/>
          <w:sz w:val="24"/>
          <w:lang w:val="en-US" w:eastAsia="zh-CN"/>
        </w:rPr>
        <w:t>22</w:t>
      </w:r>
      <w:r>
        <w:rPr>
          <w:color w:val="auto"/>
          <w:sz w:val="24"/>
        </w:rPr>
        <w:t>年</w:t>
      </w:r>
      <w:r>
        <w:rPr>
          <w:rFonts w:hint="eastAsia"/>
          <w:color w:val="auto"/>
          <w:sz w:val="24"/>
          <w:lang w:val="en-US" w:eastAsia="zh-CN"/>
        </w:rPr>
        <w:t>12</w:t>
      </w:r>
      <w:r>
        <w:rPr>
          <w:color w:val="auto"/>
          <w:sz w:val="24"/>
        </w:rPr>
        <w:t>月</w:t>
      </w:r>
      <w:r>
        <w:rPr>
          <w:rFonts w:hint="eastAsia"/>
          <w:color w:val="auto"/>
          <w:sz w:val="24"/>
          <w:lang w:val="en-US" w:eastAsia="zh-CN"/>
        </w:rPr>
        <w:t>16</w:t>
      </w:r>
      <w:r>
        <w:rPr>
          <w:color w:val="auto"/>
          <w:sz w:val="24"/>
        </w:rPr>
        <w:t>日</w:t>
      </w:r>
      <w:r>
        <w:rPr>
          <w:rFonts w:hint="eastAsia"/>
          <w:color w:val="auto"/>
          <w:sz w:val="24"/>
        </w:rPr>
        <w:t>安徽</w:t>
      </w:r>
      <w:r>
        <w:rPr>
          <w:rFonts w:hint="eastAsia"/>
          <w:color w:val="auto"/>
          <w:sz w:val="24"/>
          <w:lang w:eastAsia="zh-CN"/>
        </w:rPr>
        <w:t>省国众</w:t>
      </w:r>
      <w:r>
        <w:rPr>
          <w:rFonts w:hint="eastAsia"/>
          <w:color w:val="auto"/>
          <w:sz w:val="24"/>
        </w:rPr>
        <w:t>检测技术有限公司</w:t>
      </w:r>
      <w:r>
        <w:rPr>
          <w:color w:val="auto"/>
          <w:sz w:val="24"/>
        </w:rPr>
        <w:t>进行了采样监测，每个测点每天采样分析一次。</w:t>
      </w:r>
    </w:p>
    <w:p>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rightChars="0" w:firstLine="480" w:firstLineChars="200"/>
        <w:jc w:val="both"/>
        <w:textAlignment w:val="auto"/>
        <w:outlineLvl w:val="9"/>
        <w:rPr>
          <w:bCs/>
          <w:color w:val="auto"/>
          <w:sz w:val="24"/>
          <w:szCs w:val="20"/>
        </w:rPr>
      </w:pPr>
      <w:r>
        <w:rPr>
          <w:bCs/>
          <w:color w:val="auto"/>
          <w:sz w:val="24"/>
          <w:szCs w:val="20"/>
        </w:rPr>
        <w:t>（4）技术要求</w:t>
      </w:r>
    </w:p>
    <w:p>
      <w:pPr>
        <w:pStyle w:val="258"/>
        <w:keepNext w:val="0"/>
        <w:keepLines w:val="0"/>
        <w:pageBreakBefore w:val="0"/>
        <w:kinsoku/>
        <w:wordWrap/>
        <w:overflowPunct/>
        <w:topLinePunct w:val="0"/>
        <w:bidi w:val="0"/>
        <w:spacing w:line="360" w:lineRule="auto"/>
        <w:ind w:left="0" w:firstLine="480" w:firstLineChars="200"/>
        <w:rPr>
          <w:color w:val="auto"/>
        </w:rPr>
      </w:pPr>
      <w:r>
        <w:rPr>
          <w:rFonts w:hint="eastAsia" w:ascii="Times New Roman" w:hAnsi="Times New Roman" w:eastAsia="宋体" w:cs="Times New Roman"/>
          <w:color w:val="auto"/>
          <w:kern w:val="0"/>
          <w:sz w:val="24"/>
          <w:szCs w:val="24"/>
          <w:lang w:val="en-US" w:eastAsia="zh-CN" w:bidi="ar-SA"/>
        </w:rPr>
        <w:t>采样方法按《地下水环境监测技术规范》(HJ/T 164-2004)来进行的。分析方法按《地下水质量标准》(GB/T 14848-2017)执行。</w:t>
      </w:r>
    </w:p>
    <w:p>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rightChars="0" w:firstLine="480" w:firstLineChars="200"/>
        <w:jc w:val="both"/>
        <w:textAlignment w:val="auto"/>
        <w:outlineLvl w:val="9"/>
        <w:rPr>
          <w:bCs/>
          <w:color w:val="auto"/>
          <w:sz w:val="24"/>
          <w:szCs w:val="20"/>
        </w:rPr>
      </w:pPr>
      <w:r>
        <w:rPr>
          <w:rFonts w:hint="eastAsia"/>
          <w:bCs/>
          <w:color w:val="auto"/>
          <w:sz w:val="24"/>
          <w:szCs w:val="20"/>
          <w:lang w:eastAsia="zh-CN"/>
        </w:rPr>
        <w:t>（</w:t>
      </w:r>
      <w:r>
        <w:rPr>
          <w:rFonts w:hint="eastAsia"/>
          <w:bCs/>
          <w:color w:val="auto"/>
          <w:sz w:val="24"/>
          <w:szCs w:val="20"/>
          <w:lang w:val="en-US" w:eastAsia="zh-CN"/>
        </w:rPr>
        <w:t>5</w:t>
      </w:r>
      <w:r>
        <w:rPr>
          <w:rFonts w:hint="eastAsia"/>
          <w:bCs/>
          <w:color w:val="auto"/>
          <w:sz w:val="24"/>
          <w:szCs w:val="20"/>
          <w:lang w:eastAsia="zh-CN"/>
        </w:rPr>
        <w:t>）</w:t>
      </w:r>
      <w:r>
        <w:rPr>
          <w:bCs/>
          <w:color w:val="auto"/>
          <w:sz w:val="24"/>
          <w:szCs w:val="20"/>
        </w:rPr>
        <w:t>地下水现状监测结果</w:t>
      </w:r>
    </w:p>
    <w:p>
      <w:pPr>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b/>
          <w:bCs/>
          <w:color w:val="auto"/>
          <w:sz w:val="21"/>
          <w:szCs w:val="21"/>
        </w:rPr>
      </w:pPr>
      <w:r>
        <w:rPr>
          <w:bCs/>
          <w:color w:val="auto"/>
          <w:sz w:val="24"/>
          <w:szCs w:val="20"/>
        </w:rPr>
        <w:t>地下水水质现状监测结果可见</w:t>
      </w:r>
      <w:r>
        <w:rPr>
          <w:rFonts w:hint="eastAsia"/>
          <w:bCs/>
          <w:color w:val="auto"/>
          <w:sz w:val="24"/>
          <w:szCs w:val="20"/>
          <w:lang w:eastAsia="zh-CN"/>
        </w:rPr>
        <w:t>下</w:t>
      </w:r>
      <w:r>
        <w:rPr>
          <w:bCs/>
          <w:color w:val="auto"/>
          <w:sz w:val="24"/>
          <w:szCs w:val="20"/>
        </w:rPr>
        <w:t>表。</w:t>
      </w:r>
    </w:p>
    <w:p>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5.5-1</w:t>
      </w:r>
      <w:r>
        <w:rPr>
          <w:rFonts w:hint="default" w:ascii="Times New Roman" w:hAnsi="Times New Roman" w:eastAsia="宋体" w:cs="Times New Roman"/>
          <w:b/>
          <w:bCs/>
          <w:color w:val="auto"/>
          <w:sz w:val="21"/>
          <w:szCs w:val="21"/>
        </w:rPr>
        <w:t xml:space="preserve"> 地下水水质现状监测结果</w:t>
      </w:r>
    </w:p>
    <w:tbl>
      <w:tblPr>
        <w:tblStyle w:val="49"/>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2063"/>
        <w:gridCol w:w="2063"/>
        <w:gridCol w:w="2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检测项目</w:t>
            </w:r>
          </w:p>
        </w:tc>
        <w:tc>
          <w:tcPr>
            <w:tcW w:w="363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项目地</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大陈村</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郡和府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pH（无量纲）</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7.7（19.2℃）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8.1（20.4℃）</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7.2（20.2℃）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钾（mg/L）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2.73</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2.55</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钠（mg/L）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118</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76.9</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钙（mg/L）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72.7</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镁（mg/L）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9.79</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36.4</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碳酸盐（mg/L）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重碳酸盐（mg/L）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387</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188</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Cl-（mg/L）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2.26</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SO</w:t>
            </w:r>
            <w:r>
              <w:rPr>
                <w:rFonts w:hint="eastAsia" w:ascii="Times New Roman" w:hAnsi="Times New Roman" w:eastAsia="宋体" w:cs="Times New Roman"/>
                <w:color w:val="auto"/>
                <w:sz w:val="21"/>
                <w:szCs w:val="21"/>
                <w:vertAlign w:val="subscript"/>
                <w:lang w:val="en-US" w:eastAsia="zh-CN"/>
              </w:rPr>
              <w:t>4</w:t>
            </w:r>
            <w:r>
              <w:rPr>
                <w:rFonts w:hint="eastAsia" w:ascii="Times New Roman" w:hAnsi="Times New Roman" w:eastAsia="宋体" w:cs="Times New Roman"/>
                <w:color w:val="auto"/>
                <w:sz w:val="21"/>
                <w:szCs w:val="21"/>
                <w:lang w:val="en-US" w:eastAsia="zh-CN"/>
              </w:rPr>
              <w:t>2-（mg/L）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134</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氨氮（mg/L）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0.146</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0.353</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NO</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lang w:val="en-US" w:eastAsia="zh-CN"/>
              </w:rPr>
              <w:t>-（以N计）（mg/L）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0.168</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7.36</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lang w:val="en-US" w:eastAsia="zh-CN"/>
              </w:rPr>
              <w:t>-（以N计）（mg/L）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挥发酚（mg/L）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氰化物（mg/L）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汞（mg/L）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0.00009</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0.00010</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砷（mg/L）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0.0007</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0.0006</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六价铬（mg/L）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总硬度（mg/L）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337</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铅（mg/L）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22</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镉（mg/L）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0.0024</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铁（mg/L）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锰（mg/L）</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21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氟化物（mg/L）</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0.060</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0.768</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溶解性总固体（mg/L）</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665</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792</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总大肠菌群（MPN/L）</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细菌总数（CFU/mL）</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水位（m）</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7.23</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5.43</w:t>
            </w:r>
          </w:p>
        </w:tc>
        <w:tc>
          <w:tcPr>
            <w:tcW w:w="231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5.69</w:t>
            </w:r>
          </w:p>
        </w:tc>
      </w:tr>
    </w:tbl>
    <w:p>
      <w:pPr>
        <w:keepNext w:val="0"/>
        <w:keepLines w:val="0"/>
        <w:pageBreakBefore w:val="0"/>
        <w:widowControl w:val="0"/>
        <w:kinsoku/>
        <w:wordWrap/>
        <w:overflowPunct/>
        <w:topLinePunct w:val="0"/>
        <w:autoSpaceDE/>
        <w:autoSpaceDN/>
        <w:bidi w:val="0"/>
        <w:adjustRightInd w:val="0"/>
        <w:snapToGrid w:val="0"/>
        <w:spacing w:before="0" w:beforeLines="0" w:after="0" w:afterLines="0" w:line="520" w:lineRule="exact"/>
        <w:ind w:left="0" w:leftChars="0" w:right="0" w:rightChars="0" w:firstLine="480" w:firstLineChars="200"/>
        <w:jc w:val="both"/>
        <w:textAlignment w:val="auto"/>
        <w:outlineLvl w:val="9"/>
        <w:rPr>
          <w:rFonts w:hint="eastAsia" w:ascii="Times New Roman" w:hAnsi="Times New Roman" w:eastAsia="宋体" w:cs="Times New Roman"/>
          <w:b/>
          <w:bCs/>
          <w:color w:val="auto"/>
          <w:sz w:val="21"/>
          <w:szCs w:val="21"/>
          <w:lang w:eastAsia="zh-CN"/>
        </w:rPr>
      </w:pPr>
      <w:r>
        <w:rPr>
          <w:bCs/>
          <w:color w:val="auto"/>
          <w:sz w:val="24"/>
          <w:szCs w:val="20"/>
        </w:rPr>
        <w:t>地下水</w:t>
      </w:r>
      <w:r>
        <w:rPr>
          <w:rFonts w:hint="eastAsia"/>
          <w:bCs/>
          <w:color w:val="auto"/>
          <w:sz w:val="24"/>
          <w:szCs w:val="20"/>
          <w:lang w:eastAsia="zh-CN"/>
        </w:rPr>
        <w:t>水位及井深</w:t>
      </w:r>
      <w:r>
        <w:rPr>
          <w:bCs/>
          <w:color w:val="auto"/>
          <w:sz w:val="24"/>
          <w:szCs w:val="20"/>
        </w:rPr>
        <w:t>监测结果见</w:t>
      </w:r>
      <w:r>
        <w:rPr>
          <w:rFonts w:hint="eastAsia"/>
          <w:bCs/>
          <w:color w:val="auto"/>
          <w:sz w:val="24"/>
          <w:szCs w:val="20"/>
          <w:lang w:eastAsia="zh-CN"/>
        </w:rPr>
        <w:t>下</w:t>
      </w:r>
      <w:r>
        <w:rPr>
          <w:bCs/>
          <w:color w:val="auto"/>
          <w:sz w:val="24"/>
          <w:szCs w:val="20"/>
        </w:rPr>
        <w:t>表</w:t>
      </w:r>
      <w:r>
        <w:rPr>
          <w:rFonts w:hint="eastAsia"/>
          <w:bCs/>
          <w:color w:val="auto"/>
          <w:sz w:val="24"/>
          <w:szCs w:val="20"/>
          <w:lang w:eastAsia="zh-CN"/>
        </w:rPr>
        <w:t>：</w:t>
      </w:r>
    </w:p>
    <w:p>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5.5-2</w:t>
      </w:r>
      <w:r>
        <w:rPr>
          <w:rFonts w:hint="default" w:ascii="Times New Roman" w:hAnsi="Times New Roman" w:eastAsia="宋体" w:cs="Times New Roman"/>
          <w:b/>
          <w:bCs/>
          <w:color w:val="auto"/>
          <w:sz w:val="21"/>
          <w:szCs w:val="21"/>
        </w:rPr>
        <w:t xml:space="preserve"> 地下水</w:t>
      </w:r>
      <w:r>
        <w:rPr>
          <w:rFonts w:hint="eastAsia" w:ascii="Times New Roman" w:hAnsi="Times New Roman" w:eastAsia="宋体" w:cs="Times New Roman"/>
          <w:b/>
          <w:bCs/>
          <w:color w:val="auto"/>
          <w:sz w:val="21"/>
          <w:szCs w:val="21"/>
          <w:lang w:eastAsia="zh-CN"/>
        </w:rPr>
        <w:t>水位及井深</w:t>
      </w:r>
      <w:r>
        <w:rPr>
          <w:rFonts w:hint="default" w:ascii="Times New Roman" w:hAnsi="Times New Roman" w:eastAsia="宋体" w:cs="Times New Roman"/>
          <w:b/>
          <w:bCs/>
          <w:color w:val="auto"/>
          <w:sz w:val="21"/>
          <w:szCs w:val="21"/>
        </w:rPr>
        <w:t>监测结果</w:t>
      </w:r>
    </w:p>
    <w:tbl>
      <w:tblPr>
        <w:tblStyle w:val="49"/>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1"/>
        <w:gridCol w:w="2687"/>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点位名称</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水位（m）</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井深（m）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eastAsia="zh-CN"/>
              </w:rPr>
              <w:t>项目地</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7.23</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大陈村</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5.43</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color w:val="auto"/>
                <w:sz w:val="21"/>
                <w:szCs w:val="21"/>
                <w:lang w:val="en-US" w:eastAsia="zh-CN"/>
              </w:rPr>
              <w:t>郡和府（在建小区）</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5.69</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滨水湾小区</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3.45</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eastAsia="zh-CN"/>
              </w:rPr>
              <w:t>南京路与安徽路东南角</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5.28</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桥岗</w:t>
            </w:r>
          </w:p>
        </w:tc>
        <w:tc>
          <w:tcPr>
            <w:tcW w:w="157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6.72</w:t>
            </w:r>
          </w:p>
        </w:tc>
        <w:tc>
          <w:tcPr>
            <w:tcW w:w="1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8.0</w:t>
            </w:r>
          </w:p>
        </w:tc>
      </w:tr>
    </w:tbl>
    <w:p>
      <w:pPr>
        <w:adjustRightInd w:val="0"/>
        <w:snapToGrid w:val="0"/>
        <w:spacing w:line="360" w:lineRule="auto"/>
        <w:rPr>
          <w:b w:val="0"/>
          <w:bCs/>
          <w:color w:val="auto"/>
          <w:sz w:val="24"/>
          <w:szCs w:val="20"/>
        </w:rPr>
      </w:pPr>
      <w:r>
        <w:rPr>
          <w:b w:val="0"/>
          <w:bCs/>
          <w:color w:val="auto"/>
          <w:sz w:val="24"/>
          <w:szCs w:val="20"/>
        </w:rPr>
        <w:t>2</w:t>
      </w:r>
      <w:r>
        <w:rPr>
          <w:rFonts w:hint="eastAsia"/>
          <w:b w:val="0"/>
          <w:bCs/>
          <w:color w:val="auto"/>
          <w:sz w:val="24"/>
          <w:szCs w:val="20"/>
          <w:lang w:val="en-US" w:eastAsia="zh-CN"/>
        </w:rPr>
        <w:t>.</w:t>
      </w:r>
      <w:r>
        <w:rPr>
          <w:b w:val="0"/>
          <w:bCs/>
          <w:color w:val="auto"/>
          <w:sz w:val="24"/>
          <w:szCs w:val="20"/>
        </w:rPr>
        <w:t>地下水环境现状评价</w:t>
      </w:r>
    </w:p>
    <w:p>
      <w:pPr>
        <w:adjustRightInd w:val="0"/>
        <w:snapToGrid w:val="0"/>
        <w:spacing w:line="360" w:lineRule="auto"/>
        <w:ind w:firstLine="480"/>
        <w:rPr>
          <w:bCs/>
          <w:color w:val="auto"/>
          <w:sz w:val="24"/>
          <w:szCs w:val="20"/>
        </w:rPr>
      </w:pPr>
      <w:r>
        <w:rPr>
          <w:bCs/>
          <w:color w:val="auto"/>
          <w:sz w:val="24"/>
          <w:szCs w:val="20"/>
        </w:rPr>
        <w:t>（1）评价标准</w:t>
      </w:r>
    </w:p>
    <w:p>
      <w:pPr>
        <w:adjustRightInd w:val="0"/>
        <w:snapToGrid w:val="0"/>
        <w:spacing w:line="360" w:lineRule="auto"/>
        <w:ind w:firstLine="480"/>
        <w:rPr>
          <w:bCs/>
          <w:color w:val="auto"/>
          <w:sz w:val="24"/>
          <w:szCs w:val="20"/>
        </w:rPr>
      </w:pPr>
      <w:r>
        <w:rPr>
          <w:rFonts w:hint="eastAsia"/>
          <w:bCs/>
          <w:color w:val="auto"/>
          <w:sz w:val="24"/>
          <w:szCs w:val="20"/>
          <w:lang w:eastAsia="zh-CN"/>
        </w:rPr>
        <w:t>项目地</w:t>
      </w:r>
      <w:r>
        <w:rPr>
          <w:bCs/>
          <w:color w:val="auto"/>
          <w:sz w:val="24"/>
          <w:szCs w:val="20"/>
        </w:rPr>
        <w:t>周围地下水水质现状评价执行GB/T14848-</w:t>
      </w:r>
      <w:r>
        <w:rPr>
          <w:rFonts w:hint="eastAsia"/>
          <w:bCs/>
          <w:color w:val="auto"/>
          <w:sz w:val="24"/>
          <w:szCs w:val="20"/>
          <w:lang w:val="en-US" w:eastAsia="zh-CN"/>
        </w:rPr>
        <w:t>2017</w:t>
      </w:r>
      <w:r>
        <w:rPr>
          <w:bCs/>
          <w:color w:val="auto"/>
          <w:sz w:val="24"/>
          <w:szCs w:val="20"/>
        </w:rPr>
        <w:t>《地下水环境质量标准》中</w:t>
      </w:r>
      <w:r>
        <w:rPr>
          <w:bCs/>
          <w:color w:val="auto"/>
          <w:sz w:val="24"/>
          <w:szCs w:val="20"/>
        </w:rPr>
        <w:fldChar w:fldCharType="begin"/>
      </w:r>
      <w:r>
        <w:rPr>
          <w:bCs/>
          <w:color w:val="auto"/>
          <w:sz w:val="24"/>
          <w:szCs w:val="20"/>
        </w:rPr>
        <w:instrText xml:space="preserve"> = 3 \* ROMAN </w:instrText>
      </w:r>
      <w:r>
        <w:rPr>
          <w:bCs/>
          <w:color w:val="auto"/>
          <w:sz w:val="24"/>
          <w:szCs w:val="20"/>
        </w:rPr>
        <w:fldChar w:fldCharType="separate"/>
      </w:r>
      <w:r>
        <w:rPr>
          <w:bCs/>
          <w:color w:val="auto"/>
          <w:sz w:val="24"/>
          <w:szCs w:val="20"/>
        </w:rPr>
        <w:t>III</w:t>
      </w:r>
      <w:r>
        <w:rPr>
          <w:bCs/>
          <w:color w:val="auto"/>
          <w:sz w:val="24"/>
          <w:szCs w:val="20"/>
        </w:rPr>
        <w:fldChar w:fldCharType="end"/>
      </w:r>
      <w:r>
        <w:rPr>
          <w:bCs/>
          <w:color w:val="auto"/>
          <w:sz w:val="24"/>
          <w:szCs w:val="20"/>
        </w:rPr>
        <w:t>类标准，其标准执行值可见表</w:t>
      </w:r>
      <w:r>
        <w:rPr>
          <w:rFonts w:hint="eastAsia"/>
          <w:bCs/>
          <w:color w:val="auto"/>
          <w:sz w:val="24"/>
          <w:szCs w:val="20"/>
          <w:lang w:val="en-US" w:eastAsia="zh-CN"/>
        </w:rPr>
        <w:t>5.5</w:t>
      </w:r>
      <w:r>
        <w:rPr>
          <w:bCs/>
          <w:color w:val="auto"/>
          <w:sz w:val="24"/>
          <w:szCs w:val="20"/>
        </w:rPr>
        <w:t>-</w:t>
      </w:r>
      <w:r>
        <w:rPr>
          <w:rFonts w:hint="eastAsia"/>
          <w:bCs/>
          <w:color w:val="auto"/>
          <w:sz w:val="24"/>
          <w:szCs w:val="20"/>
          <w:lang w:val="en-US" w:eastAsia="zh-CN"/>
        </w:rPr>
        <w:t>3</w:t>
      </w:r>
      <w:r>
        <w:rPr>
          <w:bCs/>
          <w:color w:val="auto"/>
          <w:sz w:val="24"/>
          <w:szCs w:val="20"/>
        </w:rPr>
        <w:t>。</w:t>
      </w:r>
    </w:p>
    <w:p>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5.5-3</w:t>
      </w:r>
      <w:r>
        <w:rPr>
          <w:rFonts w:hint="default" w:ascii="Times New Roman" w:hAnsi="Times New Roman" w:eastAsia="宋体" w:cs="Times New Roman"/>
          <w:b/>
          <w:bCs/>
          <w:color w:val="auto"/>
          <w:sz w:val="21"/>
          <w:szCs w:val="21"/>
        </w:rPr>
        <w:t xml:space="preserve"> 地下水水环境质量执行标准  </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4"/>
        <w:gridCol w:w="3026"/>
        <w:gridCol w:w="2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标准类别</w:t>
            </w: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项目</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GB/T14848-</w:t>
            </w:r>
            <w:r>
              <w:rPr>
                <w:rFonts w:hint="eastAsia" w:ascii="Times New Roman" w:hAnsi="Times New Roman" w:eastAsia="宋体" w:cs="Times New Roman"/>
                <w:bCs/>
                <w:color w:val="auto"/>
                <w:spacing w:val="2"/>
                <w:kern w:val="0"/>
                <w:sz w:val="21"/>
                <w:szCs w:val="21"/>
                <w:lang w:val="en-US" w:eastAsia="zh-CN"/>
              </w:rPr>
              <w:t>2017</w:t>
            </w:r>
            <w:r>
              <w:rPr>
                <w:rFonts w:hint="default" w:ascii="Times New Roman" w:hAnsi="Times New Roman" w:eastAsia="宋体" w:cs="Times New Roman"/>
                <w:bCs/>
                <w:color w:val="auto"/>
                <w:spacing w:val="2"/>
                <w:kern w:val="0"/>
                <w:sz w:val="21"/>
                <w:szCs w:val="21"/>
              </w:rPr>
              <w:t>中Ⅲ类</w:t>
            </w: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pH值</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氨氮</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硝酸盐</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N计,mg/L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亚硝酸盐</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N计,mg/L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挥发酚</w:t>
            </w:r>
            <w:r>
              <w:rPr>
                <w:rFonts w:hint="eastAsia" w:ascii="Times New Roman" w:hAnsi="Times New Roman" w:eastAsia="宋体" w:cs="Times New Roman"/>
                <w:bCs/>
                <w:color w:val="auto"/>
                <w:spacing w:val="2"/>
                <w:kern w:val="0"/>
                <w:sz w:val="21"/>
                <w:szCs w:val="21"/>
                <w:lang w:eastAsia="zh-CN"/>
              </w:rPr>
              <w:t>（以苯酚计，</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0.00</w:t>
            </w:r>
            <w:r>
              <w:rPr>
                <w:rFonts w:hint="eastAsia" w:ascii="Times New Roman" w:hAnsi="Times New Roman" w:eastAsia="宋体" w:cs="Times New Roman"/>
                <w:bCs/>
                <w:color w:val="auto"/>
                <w:spacing w:val="2"/>
                <w:kern w:val="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氰化物</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总硬度</w:t>
            </w:r>
            <w:r>
              <w:rPr>
                <w:rFonts w:hint="eastAsia" w:ascii="Times New Roman" w:hAnsi="Times New Roman" w:eastAsia="宋体" w:cs="Times New Roman"/>
                <w:bCs/>
                <w:color w:val="auto"/>
                <w:spacing w:val="2"/>
                <w:kern w:val="0"/>
                <w:sz w:val="21"/>
                <w:szCs w:val="21"/>
                <w:lang w:eastAsia="zh-CN"/>
              </w:rPr>
              <w:t>（以</w:t>
            </w:r>
            <w:r>
              <w:rPr>
                <w:rFonts w:hint="eastAsia" w:ascii="Times New Roman" w:hAnsi="Times New Roman" w:eastAsia="宋体" w:cs="Times New Roman"/>
                <w:bCs/>
                <w:color w:val="auto"/>
                <w:spacing w:val="2"/>
                <w:kern w:val="0"/>
                <w:sz w:val="21"/>
                <w:szCs w:val="21"/>
                <w:lang w:val="en-US" w:eastAsia="zh-CN"/>
              </w:rPr>
              <w:t>CaCO</w:t>
            </w:r>
            <w:r>
              <w:rPr>
                <w:rFonts w:hint="eastAsia" w:ascii="Times New Roman" w:hAnsi="Times New Roman" w:eastAsia="宋体" w:cs="Times New Roman"/>
                <w:bCs/>
                <w:color w:val="auto"/>
                <w:spacing w:val="2"/>
                <w:kern w:val="0"/>
                <w:sz w:val="21"/>
                <w:szCs w:val="21"/>
                <w:vertAlign w:val="subscript"/>
                <w:lang w:val="en-US" w:eastAsia="zh-CN"/>
              </w:rPr>
              <w:t>3</w:t>
            </w:r>
            <w:r>
              <w:rPr>
                <w:rFonts w:hint="eastAsia" w:ascii="Times New Roman" w:hAnsi="Times New Roman" w:eastAsia="宋体" w:cs="Times New Roman"/>
                <w:bCs/>
                <w:color w:val="auto"/>
                <w:spacing w:val="2"/>
                <w:kern w:val="0"/>
                <w:sz w:val="21"/>
                <w:szCs w:val="21"/>
                <w:lang w:val="en-US" w:eastAsia="zh-CN"/>
              </w:rPr>
              <w:t>计,mg/L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溶解性总固体</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总大肠菌群</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MPN</w:t>
            </w:r>
            <w:r>
              <w:rPr>
                <w:rFonts w:hint="eastAsia" w:ascii="Times New Roman" w:hAnsi="Times New Roman" w:eastAsia="宋体" w:cs="Times New Roman"/>
                <w:bCs/>
                <w:color w:val="auto"/>
                <w:spacing w:val="2"/>
                <w:kern w:val="0"/>
                <w:sz w:val="21"/>
                <w:szCs w:val="21"/>
                <w:vertAlign w:val="superscript"/>
                <w:lang w:val="en-US" w:eastAsia="zh-CN"/>
              </w:rPr>
              <w:t>b</w:t>
            </w:r>
            <w:r>
              <w:rPr>
                <w:rFonts w:hint="eastAsia" w:ascii="Times New Roman" w:hAnsi="Times New Roman" w:eastAsia="宋体" w:cs="Times New Roman"/>
                <w:bCs/>
                <w:color w:val="auto"/>
                <w:spacing w:val="2"/>
                <w:kern w:val="0"/>
                <w:sz w:val="21"/>
                <w:szCs w:val="21"/>
                <w:lang w:val="en-US" w:eastAsia="zh-CN"/>
              </w:rPr>
              <w:t>/100mL或CFU</w:t>
            </w:r>
            <w:r>
              <w:rPr>
                <w:rFonts w:hint="eastAsia" w:ascii="Times New Roman" w:hAnsi="Times New Roman" w:eastAsia="宋体" w:cs="Times New Roman"/>
                <w:bCs/>
                <w:color w:val="auto"/>
                <w:spacing w:val="2"/>
                <w:kern w:val="0"/>
                <w:sz w:val="21"/>
                <w:szCs w:val="21"/>
                <w:vertAlign w:val="superscript"/>
                <w:lang w:val="en-US" w:eastAsia="zh-CN"/>
              </w:rPr>
              <w:t>c</w:t>
            </w:r>
            <w:r>
              <w:rPr>
                <w:rFonts w:hint="eastAsia" w:ascii="Times New Roman" w:hAnsi="Times New Roman" w:eastAsia="宋体" w:cs="Times New Roman"/>
                <w:bCs/>
                <w:color w:val="auto"/>
                <w:spacing w:val="2"/>
                <w:kern w:val="0"/>
                <w:sz w:val="21"/>
                <w:szCs w:val="21"/>
                <w:lang w:val="en-US" w:eastAsia="zh-CN"/>
              </w:rPr>
              <w:t>/100mL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eastAsia" w:ascii="Times New Roman" w:hAnsi="Times New Roman" w:eastAsia="宋体" w:cs="Times New Roman"/>
                <w:bCs/>
                <w:color w:val="auto"/>
                <w:spacing w:val="2"/>
                <w:kern w:val="0"/>
                <w:sz w:val="21"/>
                <w:szCs w:val="21"/>
                <w:lang w:eastAsia="zh-CN"/>
              </w:rPr>
              <w:t>菌落</w:t>
            </w:r>
            <w:r>
              <w:rPr>
                <w:rFonts w:hint="default" w:ascii="Times New Roman" w:hAnsi="Times New Roman" w:eastAsia="宋体" w:cs="Times New Roman"/>
                <w:bCs/>
                <w:color w:val="auto"/>
                <w:spacing w:val="2"/>
                <w:kern w:val="0"/>
                <w:sz w:val="21"/>
                <w:szCs w:val="21"/>
              </w:rPr>
              <w:t>总数</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CFU/mL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汞</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砷</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六价铬</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铅</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镉</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0.0</w:t>
            </w:r>
            <w:r>
              <w:rPr>
                <w:rFonts w:hint="eastAsia" w:ascii="Times New Roman" w:hAnsi="Times New Roman" w:eastAsia="宋体" w:cs="Times New Roman"/>
                <w:bCs/>
                <w:color w:val="auto"/>
                <w:spacing w:val="2"/>
                <w:kern w:val="0"/>
                <w:sz w:val="21"/>
                <w:szCs w:val="21"/>
                <w:lang w:val="en-US" w:eastAsia="zh-CN"/>
              </w:rPr>
              <w:t>0</w:t>
            </w:r>
            <w:r>
              <w:rPr>
                <w:rFonts w:hint="default" w:ascii="Times New Roman" w:hAnsi="Times New Roman" w:eastAsia="宋体" w:cs="Times New Roman"/>
                <w:bCs/>
                <w:color w:val="auto"/>
                <w:spacing w:val="2"/>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rPr>
            </w:pPr>
            <w:r>
              <w:rPr>
                <w:rFonts w:hint="default" w:ascii="Times New Roman" w:hAnsi="Times New Roman" w:eastAsia="宋体" w:cs="Times New Roman"/>
                <w:bCs/>
                <w:color w:val="auto"/>
                <w:spacing w:val="2"/>
                <w:kern w:val="0"/>
                <w:sz w:val="21"/>
                <w:szCs w:val="21"/>
              </w:rPr>
              <w:t>铁</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default" w:ascii="Times New Roman" w:hAnsi="Times New Roman" w:eastAsia="宋体" w:cs="Times New Roman"/>
                <w:bCs/>
                <w:color w:val="auto"/>
                <w:spacing w:val="2"/>
                <w:kern w:val="0"/>
                <w:sz w:val="21"/>
                <w:szCs w:val="21"/>
              </w:rPr>
              <w:t>0.</w:t>
            </w:r>
            <w:r>
              <w:rPr>
                <w:rFonts w:hint="eastAsia" w:ascii="Times New Roman" w:hAnsi="Times New Roman" w:eastAsia="宋体" w:cs="Times New Roman"/>
                <w:bCs/>
                <w:color w:val="auto"/>
                <w:spacing w:val="2"/>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锰</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rPr>
            </w:pPr>
          </w:p>
        </w:tc>
        <w:tc>
          <w:tcPr>
            <w:tcW w:w="17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氟化物</w:t>
            </w:r>
            <w:r>
              <w:rPr>
                <w:rFonts w:hint="eastAsia" w:ascii="Times New Roman" w:hAnsi="Times New Roman" w:eastAsia="宋体" w:cs="Times New Roman"/>
                <w:bCs/>
                <w:color w:val="auto"/>
                <w:spacing w:val="2"/>
                <w:kern w:val="0"/>
                <w:sz w:val="21"/>
                <w:szCs w:val="21"/>
                <w:lang w:eastAsia="zh-CN"/>
              </w:rPr>
              <w:t>（</w:t>
            </w:r>
            <w:r>
              <w:rPr>
                <w:rFonts w:hint="eastAsia" w:ascii="Times New Roman" w:hAnsi="Times New Roman" w:eastAsia="宋体" w:cs="Times New Roman"/>
                <w:bCs/>
                <w:color w:val="auto"/>
                <w:spacing w:val="2"/>
                <w:kern w:val="0"/>
                <w:sz w:val="21"/>
                <w:szCs w:val="21"/>
                <w:lang w:val="en-US" w:eastAsia="zh-CN"/>
              </w:rPr>
              <w:t>mg/L</w:t>
            </w:r>
            <w:r>
              <w:rPr>
                <w:rFonts w:hint="eastAsia" w:ascii="Times New Roman" w:hAnsi="Times New Roman" w:eastAsia="宋体" w:cs="Times New Roman"/>
                <w:bCs/>
                <w:color w:val="auto"/>
                <w:spacing w:val="2"/>
                <w:kern w:val="0"/>
                <w:sz w:val="21"/>
                <w:szCs w:val="21"/>
                <w:lang w:eastAsia="zh-CN"/>
              </w:rPr>
              <w:t>）</w:t>
            </w:r>
          </w:p>
        </w:tc>
        <w:tc>
          <w:tcPr>
            <w:tcW w:w="14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1.0</w:t>
            </w:r>
          </w:p>
        </w:tc>
      </w:tr>
    </w:tbl>
    <w:p>
      <w:pPr>
        <w:adjustRightInd w:val="0"/>
        <w:snapToGrid w:val="0"/>
        <w:spacing w:line="360" w:lineRule="auto"/>
        <w:ind w:firstLine="240" w:firstLineChars="100"/>
        <w:rPr>
          <w:bCs/>
          <w:color w:val="auto"/>
          <w:sz w:val="24"/>
          <w:szCs w:val="20"/>
        </w:rPr>
      </w:pPr>
      <w:r>
        <w:rPr>
          <w:bCs/>
          <w:color w:val="auto"/>
          <w:sz w:val="24"/>
          <w:szCs w:val="20"/>
        </w:rPr>
        <w:t>（2）评价方法</w:t>
      </w:r>
    </w:p>
    <w:p>
      <w:pPr>
        <w:adjustRightInd w:val="0"/>
        <w:snapToGrid w:val="0"/>
        <w:spacing w:line="360" w:lineRule="auto"/>
        <w:ind w:firstLine="480" w:firstLineChars="200"/>
        <w:rPr>
          <w:color w:val="auto"/>
          <w:sz w:val="24"/>
        </w:rPr>
      </w:pPr>
      <w:r>
        <w:rPr>
          <w:color w:val="auto"/>
          <w:sz w:val="24"/>
        </w:rPr>
        <w:t>采用单项污染指数法进行地</w:t>
      </w:r>
      <w:r>
        <w:rPr>
          <w:rFonts w:hint="eastAsia"/>
          <w:color w:val="auto"/>
          <w:sz w:val="24"/>
          <w:lang w:eastAsia="zh-CN"/>
        </w:rPr>
        <w:t>下</w:t>
      </w:r>
      <w:r>
        <w:rPr>
          <w:color w:val="auto"/>
          <w:sz w:val="24"/>
        </w:rPr>
        <w:t>水环境质量现状评价。</w:t>
      </w:r>
    </w:p>
    <w:p>
      <w:pPr>
        <w:adjustRightInd w:val="0"/>
        <w:snapToGrid w:val="0"/>
        <w:spacing w:line="360" w:lineRule="auto"/>
        <w:ind w:firstLine="480" w:firstLineChars="200"/>
        <w:rPr>
          <w:color w:val="auto"/>
          <w:sz w:val="24"/>
        </w:rPr>
      </w:pPr>
      <w:r>
        <w:rPr>
          <w:color w:val="auto"/>
          <w:sz w:val="24"/>
        </w:rPr>
        <w:t>其计算公式如下：</w:t>
      </w:r>
    </w:p>
    <w:p>
      <w:pPr>
        <w:adjustRightInd w:val="0"/>
        <w:snapToGrid w:val="0"/>
        <w:spacing w:line="360" w:lineRule="auto"/>
        <w:ind w:firstLine="540" w:firstLineChars="225"/>
        <w:rPr>
          <w:color w:val="auto"/>
          <w:sz w:val="24"/>
        </w:rPr>
      </w:pPr>
      <w:r>
        <w:rPr>
          <w:color w:val="auto"/>
          <w:sz w:val="24"/>
        </w:rPr>
        <w:t xml:space="preserve">        S</w:t>
      </w:r>
      <w:r>
        <w:rPr>
          <w:color w:val="auto"/>
          <w:sz w:val="24"/>
          <w:vertAlign w:val="subscript"/>
        </w:rPr>
        <w:t>i, j</w:t>
      </w:r>
      <w:r>
        <w:rPr>
          <w:color w:val="auto"/>
          <w:sz w:val="24"/>
        </w:rPr>
        <w:t xml:space="preserve">  =  </w:t>
      </w:r>
      <w:r>
        <w:rPr>
          <w:color w:val="auto"/>
          <w:position w:val="-26"/>
          <w:sz w:val="24"/>
        </w:rPr>
        <w:drawing>
          <wp:inline distT="0" distB="0" distL="114300" distR="114300">
            <wp:extent cx="321945" cy="466725"/>
            <wp:effectExtent l="0" t="0" r="0" b="8890"/>
            <wp:docPr id="183"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71"/>
                    <pic:cNvPicPr>
                      <a:picLocks noChangeAspect="1"/>
                    </pic:cNvPicPr>
                  </pic:nvPicPr>
                  <pic:blipFill>
                    <a:blip r:embed="rId34"/>
                    <a:stretch>
                      <a:fillRect/>
                    </a:stretch>
                  </pic:blipFill>
                  <pic:spPr>
                    <a:xfrm>
                      <a:off x="0" y="0"/>
                      <a:ext cx="321945" cy="466725"/>
                    </a:xfrm>
                    <a:prstGeom prst="rect">
                      <a:avLst/>
                    </a:prstGeom>
                    <a:noFill/>
                    <a:ln>
                      <a:noFill/>
                    </a:ln>
                  </pic:spPr>
                </pic:pic>
              </a:graphicData>
            </a:graphic>
          </wp:inline>
        </w:drawing>
      </w:r>
    </w:p>
    <w:p>
      <w:pPr>
        <w:adjustRightInd w:val="0"/>
        <w:snapToGrid w:val="0"/>
        <w:spacing w:line="360" w:lineRule="auto"/>
        <w:ind w:firstLine="540" w:firstLineChars="225"/>
        <w:rPr>
          <w:color w:val="auto"/>
          <w:sz w:val="24"/>
        </w:rPr>
      </w:pPr>
      <w:r>
        <w:rPr>
          <w:color w:val="auto"/>
          <w:sz w:val="24"/>
        </w:rPr>
        <w:t>式中：S</w:t>
      </w:r>
      <w:r>
        <w:rPr>
          <w:color w:val="auto"/>
          <w:sz w:val="24"/>
          <w:vertAlign w:val="subscript"/>
        </w:rPr>
        <w:t>i, j</w:t>
      </w:r>
      <w:r>
        <w:rPr>
          <w:color w:val="auto"/>
          <w:sz w:val="24"/>
        </w:rPr>
        <w:t>——参数i在j断面（点）的指数值</w:t>
      </w:r>
    </w:p>
    <w:p>
      <w:pPr>
        <w:adjustRightInd w:val="0"/>
        <w:snapToGrid w:val="0"/>
        <w:spacing w:line="360" w:lineRule="auto"/>
        <w:ind w:firstLine="1260" w:firstLineChars="525"/>
        <w:rPr>
          <w:color w:val="auto"/>
          <w:sz w:val="24"/>
        </w:rPr>
      </w:pPr>
      <w:r>
        <w:rPr>
          <w:color w:val="auto"/>
          <w:sz w:val="24"/>
        </w:rPr>
        <w:t>C</w:t>
      </w:r>
      <w:r>
        <w:rPr>
          <w:color w:val="auto"/>
          <w:sz w:val="24"/>
          <w:vertAlign w:val="subscript"/>
        </w:rPr>
        <w:t>ij</w:t>
      </w:r>
      <w:r>
        <w:rPr>
          <w:color w:val="auto"/>
          <w:sz w:val="24"/>
        </w:rPr>
        <w:t>——参数i在j断面（点）的浓度值(mg/L)</w:t>
      </w:r>
    </w:p>
    <w:p>
      <w:pPr>
        <w:adjustRightInd w:val="0"/>
        <w:snapToGrid w:val="0"/>
        <w:spacing w:line="360" w:lineRule="auto"/>
        <w:ind w:firstLine="480" w:firstLineChars="200"/>
        <w:rPr>
          <w:color w:val="auto"/>
          <w:sz w:val="24"/>
          <w:szCs w:val="20"/>
        </w:rPr>
      </w:pPr>
      <w:r>
        <w:rPr>
          <w:color w:val="auto"/>
          <w:sz w:val="24"/>
          <w:szCs w:val="20"/>
        </w:rPr>
        <w:t xml:space="preserve">      C</w:t>
      </w:r>
      <w:r>
        <w:rPr>
          <w:color w:val="auto"/>
          <w:sz w:val="24"/>
          <w:szCs w:val="20"/>
          <w:vertAlign w:val="subscript"/>
        </w:rPr>
        <w:t>sj</w:t>
      </w:r>
      <w:r>
        <w:rPr>
          <w:color w:val="auto"/>
          <w:sz w:val="24"/>
          <w:szCs w:val="20"/>
        </w:rPr>
        <w:t>——参数i的地表水质标准值(mg/L)</w:t>
      </w:r>
    </w:p>
    <w:p>
      <w:pPr>
        <w:adjustRightInd w:val="0"/>
        <w:snapToGrid w:val="0"/>
        <w:spacing w:line="360" w:lineRule="auto"/>
        <w:ind w:firstLine="540" w:firstLineChars="225"/>
        <w:rPr>
          <w:color w:val="auto"/>
          <w:sz w:val="24"/>
        </w:rPr>
      </w:pPr>
      <w:r>
        <w:rPr>
          <w:color w:val="auto"/>
          <w:sz w:val="24"/>
        </w:rPr>
        <w:t>pH值污染指数采用下列计算公式：</w:t>
      </w:r>
    </w:p>
    <w:p>
      <w:pPr>
        <w:adjustRightInd w:val="0"/>
        <w:snapToGrid w:val="0"/>
        <w:spacing w:line="360" w:lineRule="auto"/>
        <w:ind w:firstLine="540" w:firstLineChars="225"/>
        <w:rPr>
          <w:color w:val="auto"/>
          <w:sz w:val="24"/>
        </w:rPr>
      </w:pPr>
      <w:r>
        <w:rPr>
          <w:color w:val="auto"/>
          <w:sz w:val="24"/>
        </w:rPr>
        <w:t xml:space="preserve">      S</w:t>
      </w:r>
      <w:r>
        <w:rPr>
          <w:color w:val="auto"/>
          <w:sz w:val="24"/>
          <w:vertAlign w:val="subscript"/>
        </w:rPr>
        <w:t>pH</w:t>
      </w:r>
      <w:r>
        <w:rPr>
          <w:color w:val="auto"/>
          <w:sz w:val="24"/>
        </w:rPr>
        <w:t xml:space="preserve">  =  </w:t>
      </w:r>
      <w:r>
        <w:rPr>
          <w:color w:val="auto"/>
          <w:position w:val="-24"/>
          <w:sz w:val="24"/>
        </w:rPr>
        <w:drawing>
          <wp:inline distT="0" distB="0" distL="114300" distR="114300">
            <wp:extent cx="804545" cy="436245"/>
            <wp:effectExtent l="0" t="0" r="0" b="1905"/>
            <wp:docPr id="184"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72"/>
                    <pic:cNvPicPr>
                      <a:picLocks noChangeAspect="1"/>
                    </pic:cNvPicPr>
                  </pic:nvPicPr>
                  <pic:blipFill>
                    <a:blip r:embed="rId35"/>
                    <a:stretch>
                      <a:fillRect/>
                    </a:stretch>
                  </pic:blipFill>
                  <pic:spPr>
                    <a:xfrm>
                      <a:off x="0" y="0"/>
                      <a:ext cx="804545" cy="436245"/>
                    </a:xfrm>
                    <a:prstGeom prst="rect">
                      <a:avLst/>
                    </a:prstGeom>
                    <a:noFill/>
                    <a:ln>
                      <a:noFill/>
                    </a:ln>
                  </pic:spPr>
                </pic:pic>
              </a:graphicData>
            </a:graphic>
          </wp:inline>
        </w:drawing>
      </w:r>
      <w:r>
        <w:rPr>
          <w:color w:val="auto"/>
          <w:sz w:val="24"/>
        </w:rPr>
        <w:t xml:space="preserve">       pH</w:t>
      </w:r>
      <w:r>
        <w:rPr>
          <w:color w:val="auto"/>
          <w:sz w:val="24"/>
          <w:vertAlign w:val="subscript"/>
        </w:rPr>
        <w:t>i</w:t>
      </w:r>
      <w:r>
        <w:rPr>
          <w:color w:val="auto"/>
          <w:sz w:val="24"/>
        </w:rPr>
        <w:t xml:space="preserve"> ≤7.0</w:t>
      </w:r>
    </w:p>
    <w:p>
      <w:pPr>
        <w:adjustRightInd w:val="0"/>
        <w:snapToGrid w:val="0"/>
        <w:spacing w:line="360" w:lineRule="auto"/>
        <w:ind w:firstLine="540" w:firstLineChars="225"/>
        <w:rPr>
          <w:color w:val="auto"/>
          <w:sz w:val="24"/>
        </w:rPr>
      </w:pPr>
      <w:r>
        <w:rPr>
          <w:color w:val="auto"/>
          <w:sz w:val="24"/>
        </w:rPr>
        <w:t xml:space="preserve">      S</w:t>
      </w:r>
      <w:r>
        <w:rPr>
          <w:color w:val="auto"/>
          <w:sz w:val="24"/>
          <w:vertAlign w:val="subscript"/>
        </w:rPr>
        <w:t xml:space="preserve">pH </w:t>
      </w:r>
      <w:r>
        <w:rPr>
          <w:color w:val="auto"/>
          <w:sz w:val="24"/>
        </w:rPr>
        <w:t xml:space="preserve"> =  </w:t>
      </w:r>
      <w:r>
        <w:rPr>
          <w:color w:val="auto"/>
          <w:position w:val="-24"/>
          <w:sz w:val="24"/>
        </w:rPr>
        <w:drawing>
          <wp:inline distT="0" distB="0" distL="114300" distR="114300">
            <wp:extent cx="789305" cy="436245"/>
            <wp:effectExtent l="0" t="0" r="10795" b="1905"/>
            <wp:docPr id="185"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3"/>
                    <pic:cNvPicPr>
                      <a:picLocks noChangeAspect="1"/>
                    </pic:cNvPicPr>
                  </pic:nvPicPr>
                  <pic:blipFill>
                    <a:blip r:embed="rId36"/>
                    <a:stretch>
                      <a:fillRect/>
                    </a:stretch>
                  </pic:blipFill>
                  <pic:spPr>
                    <a:xfrm>
                      <a:off x="0" y="0"/>
                      <a:ext cx="789305" cy="436245"/>
                    </a:xfrm>
                    <a:prstGeom prst="rect">
                      <a:avLst/>
                    </a:prstGeom>
                    <a:noFill/>
                    <a:ln>
                      <a:noFill/>
                    </a:ln>
                  </pic:spPr>
                </pic:pic>
              </a:graphicData>
            </a:graphic>
          </wp:inline>
        </w:drawing>
      </w:r>
      <w:r>
        <w:rPr>
          <w:color w:val="auto"/>
          <w:sz w:val="24"/>
        </w:rPr>
        <w:t xml:space="preserve">       pH</w:t>
      </w:r>
      <w:r>
        <w:rPr>
          <w:color w:val="auto"/>
          <w:sz w:val="24"/>
          <w:vertAlign w:val="subscript"/>
        </w:rPr>
        <w:t>i</w:t>
      </w:r>
      <w:r>
        <w:rPr>
          <w:color w:val="auto"/>
          <w:sz w:val="24"/>
        </w:rPr>
        <w:t>&gt;7.0</w:t>
      </w:r>
    </w:p>
    <w:p>
      <w:pPr>
        <w:adjustRightInd w:val="0"/>
        <w:snapToGrid w:val="0"/>
        <w:spacing w:line="360" w:lineRule="auto"/>
        <w:ind w:firstLine="480" w:firstLineChars="200"/>
        <w:rPr>
          <w:color w:val="auto"/>
          <w:sz w:val="24"/>
        </w:rPr>
      </w:pPr>
      <w:r>
        <w:rPr>
          <w:color w:val="auto"/>
          <w:sz w:val="24"/>
        </w:rPr>
        <w:t>式中：S</w:t>
      </w:r>
      <w:r>
        <w:rPr>
          <w:color w:val="auto"/>
          <w:sz w:val="24"/>
          <w:vertAlign w:val="subscript"/>
        </w:rPr>
        <w:t>pH</w:t>
      </w:r>
      <w:r>
        <w:rPr>
          <w:color w:val="auto"/>
          <w:sz w:val="24"/>
        </w:rPr>
        <w:t>——pH值的分指数</w:t>
      </w:r>
    </w:p>
    <w:p>
      <w:pPr>
        <w:adjustRightInd w:val="0"/>
        <w:snapToGrid w:val="0"/>
        <w:spacing w:line="360" w:lineRule="auto"/>
        <w:ind w:firstLine="540" w:firstLineChars="225"/>
        <w:rPr>
          <w:color w:val="auto"/>
          <w:sz w:val="24"/>
        </w:rPr>
      </w:pPr>
      <w:r>
        <w:rPr>
          <w:color w:val="auto"/>
          <w:sz w:val="24"/>
        </w:rPr>
        <w:t xml:space="preserve">      pH</w:t>
      </w:r>
      <w:r>
        <w:rPr>
          <w:color w:val="auto"/>
          <w:sz w:val="24"/>
          <w:vertAlign w:val="subscript"/>
        </w:rPr>
        <w:t>i</w:t>
      </w:r>
      <w:r>
        <w:rPr>
          <w:color w:val="auto"/>
          <w:sz w:val="24"/>
        </w:rPr>
        <w:t>——pH值的实测值</w:t>
      </w:r>
    </w:p>
    <w:p>
      <w:pPr>
        <w:adjustRightInd w:val="0"/>
        <w:snapToGrid w:val="0"/>
        <w:spacing w:line="360" w:lineRule="auto"/>
        <w:ind w:firstLine="540" w:firstLineChars="225"/>
        <w:rPr>
          <w:color w:val="auto"/>
          <w:sz w:val="24"/>
        </w:rPr>
      </w:pPr>
      <w:r>
        <w:rPr>
          <w:color w:val="auto"/>
          <w:sz w:val="24"/>
        </w:rPr>
        <w:t xml:space="preserve">      pH</w:t>
      </w:r>
      <w:r>
        <w:rPr>
          <w:color w:val="auto"/>
          <w:sz w:val="24"/>
          <w:vertAlign w:val="subscript"/>
        </w:rPr>
        <w:t>sd</w:t>
      </w:r>
      <w:r>
        <w:rPr>
          <w:color w:val="auto"/>
          <w:sz w:val="24"/>
        </w:rPr>
        <w:t>——pH值评价标准的下限值</w:t>
      </w:r>
    </w:p>
    <w:p>
      <w:pPr>
        <w:adjustRightInd w:val="0"/>
        <w:snapToGrid w:val="0"/>
        <w:spacing w:line="360" w:lineRule="auto"/>
        <w:ind w:firstLine="540" w:firstLineChars="225"/>
        <w:rPr>
          <w:color w:val="auto"/>
          <w:sz w:val="24"/>
        </w:rPr>
      </w:pPr>
      <w:r>
        <w:rPr>
          <w:color w:val="auto"/>
          <w:sz w:val="24"/>
        </w:rPr>
        <w:t xml:space="preserve">      pH</w:t>
      </w:r>
      <w:r>
        <w:rPr>
          <w:color w:val="auto"/>
          <w:sz w:val="24"/>
          <w:vertAlign w:val="subscript"/>
        </w:rPr>
        <w:t>su</w:t>
      </w:r>
      <w:r>
        <w:rPr>
          <w:color w:val="auto"/>
          <w:sz w:val="24"/>
        </w:rPr>
        <w:t>——pH值评价标准的上限值</w:t>
      </w:r>
    </w:p>
    <w:p>
      <w:pPr>
        <w:adjustRightInd w:val="0"/>
        <w:snapToGrid w:val="0"/>
        <w:spacing w:line="360" w:lineRule="auto"/>
        <w:ind w:firstLine="360" w:firstLineChars="150"/>
        <w:rPr>
          <w:bCs/>
          <w:color w:val="auto"/>
          <w:sz w:val="24"/>
          <w:szCs w:val="20"/>
        </w:rPr>
      </w:pPr>
      <w:r>
        <w:rPr>
          <w:bCs/>
          <w:color w:val="auto"/>
          <w:sz w:val="24"/>
          <w:szCs w:val="20"/>
        </w:rPr>
        <w:t>（3）评价结果</w:t>
      </w:r>
    </w:p>
    <w:p>
      <w:pPr>
        <w:adjustRightInd w:val="0"/>
        <w:snapToGrid w:val="0"/>
        <w:spacing w:line="360" w:lineRule="auto"/>
        <w:ind w:firstLine="480" w:firstLineChars="200"/>
        <w:rPr>
          <w:bCs/>
          <w:color w:val="auto"/>
          <w:sz w:val="24"/>
          <w:szCs w:val="20"/>
        </w:rPr>
      </w:pPr>
      <w:r>
        <w:rPr>
          <w:bCs/>
          <w:color w:val="auto"/>
          <w:sz w:val="24"/>
          <w:szCs w:val="20"/>
        </w:rPr>
        <w:t>地下水环境质量评价结果可见表</w:t>
      </w:r>
      <w:r>
        <w:rPr>
          <w:rFonts w:hint="eastAsia"/>
          <w:bCs/>
          <w:color w:val="auto"/>
          <w:sz w:val="24"/>
          <w:szCs w:val="20"/>
          <w:lang w:val="en-US" w:eastAsia="zh-CN"/>
        </w:rPr>
        <w:t>5.5</w:t>
      </w:r>
      <w:r>
        <w:rPr>
          <w:bCs/>
          <w:color w:val="auto"/>
          <w:sz w:val="24"/>
          <w:szCs w:val="20"/>
        </w:rPr>
        <w:t>-</w:t>
      </w:r>
      <w:r>
        <w:rPr>
          <w:rFonts w:hint="eastAsia"/>
          <w:bCs/>
          <w:color w:val="auto"/>
          <w:sz w:val="24"/>
          <w:szCs w:val="20"/>
          <w:lang w:val="en-US" w:eastAsia="zh-CN"/>
        </w:rPr>
        <w:t>4</w:t>
      </w:r>
      <w:r>
        <w:rPr>
          <w:bCs/>
          <w:color w:val="auto"/>
          <w:sz w:val="24"/>
          <w:szCs w:val="20"/>
        </w:rPr>
        <w:t>。</w:t>
      </w:r>
    </w:p>
    <w:p>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5</w:t>
      </w:r>
      <w:r>
        <w:rPr>
          <w:rFonts w:hint="eastAsia" w:ascii="Times New Roman" w:hAnsi="Times New Roman" w:eastAsia="宋体" w:cs="Times New Roman"/>
          <w:b/>
          <w:bCs/>
          <w:color w:val="auto"/>
          <w:sz w:val="21"/>
          <w:szCs w:val="21"/>
          <w:lang w:val="en-US" w:eastAsia="zh-CN"/>
        </w:rPr>
        <w:t>.</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rPr>
        <w:t>-</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地下水水质现状单因子（Si）评价结果</w:t>
      </w:r>
    </w:p>
    <w:tbl>
      <w:tblPr>
        <w:tblStyle w:val="49"/>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9"/>
        <w:gridCol w:w="2203"/>
        <w:gridCol w:w="2204"/>
        <w:gridCol w:w="2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检测项目</w:t>
            </w:r>
          </w:p>
        </w:tc>
        <w:tc>
          <w:tcPr>
            <w:tcW w:w="3879"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eastAsia="zh-CN"/>
              </w:rPr>
              <w:t>项目地</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大陈村</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color w:val="auto"/>
                <w:szCs w:val="21"/>
                <w:lang w:val="en-US" w:eastAsia="zh-CN"/>
              </w:rPr>
              <w:t>郡和府（在建小区）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K</w:t>
            </w:r>
            <w:r>
              <w:rPr>
                <w:rFonts w:hint="eastAsia" w:ascii="Times New Roman" w:hAnsi="Times New Roman" w:eastAsia="宋体" w:cs="Times New Roman"/>
                <w:bCs/>
                <w:color w:val="auto"/>
                <w:spacing w:val="2"/>
                <w:kern w:val="0"/>
                <w:sz w:val="21"/>
                <w:szCs w:val="21"/>
                <w:vertAlign w:val="superscript"/>
                <w:lang w:val="en-US" w:eastAsia="zh-CN"/>
              </w:rPr>
              <w:t>+</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Na</w:t>
            </w:r>
            <w:r>
              <w:rPr>
                <w:rFonts w:hint="eastAsia" w:ascii="Times New Roman" w:hAnsi="Times New Roman" w:eastAsia="宋体" w:cs="Times New Roman"/>
                <w:bCs/>
                <w:color w:val="auto"/>
                <w:spacing w:val="2"/>
                <w:kern w:val="0"/>
                <w:sz w:val="21"/>
                <w:szCs w:val="21"/>
                <w:vertAlign w:val="superscript"/>
                <w:lang w:val="en-US" w:eastAsia="zh-CN"/>
              </w:rPr>
              <w:t>+</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Ca</w:t>
            </w:r>
            <w:r>
              <w:rPr>
                <w:rFonts w:hint="eastAsia" w:ascii="Times New Roman" w:hAnsi="Times New Roman" w:eastAsia="宋体" w:cs="Times New Roman"/>
                <w:bCs/>
                <w:color w:val="auto"/>
                <w:spacing w:val="2"/>
                <w:kern w:val="0"/>
                <w:sz w:val="21"/>
                <w:szCs w:val="21"/>
                <w:vertAlign w:val="superscript"/>
                <w:lang w:val="en-US" w:eastAsia="zh-CN"/>
              </w:rPr>
              <w:t>2+</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Mg</w:t>
            </w:r>
            <w:r>
              <w:rPr>
                <w:rFonts w:hint="eastAsia" w:ascii="Times New Roman" w:hAnsi="Times New Roman" w:eastAsia="宋体" w:cs="Times New Roman"/>
                <w:bCs/>
                <w:color w:val="auto"/>
                <w:spacing w:val="2"/>
                <w:kern w:val="0"/>
                <w:sz w:val="21"/>
                <w:szCs w:val="21"/>
                <w:vertAlign w:val="superscript"/>
                <w:lang w:val="en-US" w:eastAsia="zh-CN"/>
              </w:rPr>
              <w:t>2+</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CO</w:t>
            </w:r>
            <w:r>
              <w:rPr>
                <w:rFonts w:hint="eastAsia" w:ascii="Times New Roman" w:hAnsi="Times New Roman" w:eastAsia="宋体" w:cs="Times New Roman"/>
                <w:bCs/>
                <w:color w:val="auto"/>
                <w:spacing w:val="2"/>
                <w:kern w:val="0"/>
                <w:sz w:val="21"/>
                <w:szCs w:val="21"/>
                <w:vertAlign w:val="subscript"/>
                <w:lang w:val="en-US" w:eastAsia="zh-CN"/>
              </w:rPr>
              <w:t>3</w:t>
            </w:r>
            <w:r>
              <w:rPr>
                <w:rFonts w:hint="eastAsia" w:ascii="Times New Roman" w:hAnsi="Times New Roman" w:eastAsia="宋体" w:cs="Times New Roman"/>
                <w:bCs/>
                <w:color w:val="auto"/>
                <w:spacing w:val="2"/>
                <w:kern w:val="0"/>
                <w:sz w:val="21"/>
                <w:szCs w:val="21"/>
                <w:vertAlign w:val="superscript"/>
                <w:lang w:val="en-US" w:eastAsia="zh-CN"/>
              </w:rPr>
              <w:t>2-</w:t>
            </w:r>
            <w:r>
              <w:rPr>
                <w:rFonts w:hint="eastAsia" w:ascii="Times New Roman" w:hAnsi="Times New Roman" w:eastAsia="宋体" w:cs="Times New Roman"/>
                <w:bCs/>
                <w:color w:val="auto"/>
                <w:spacing w:val="2"/>
                <w:kern w:val="0"/>
                <w:sz w:val="21"/>
                <w:szCs w:val="21"/>
                <w:lang w:val="en-US" w:eastAsia="zh-CN"/>
              </w:rPr>
              <w:t>（mmol/L）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HCO</w:t>
            </w:r>
            <w:r>
              <w:rPr>
                <w:rFonts w:hint="eastAsia" w:ascii="Times New Roman" w:hAnsi="Times New Roman" w:eastAsia="宋体" w:cs="Times New Roman"/>
                <w:bCs/>
                <w:color w:val="auto"/>
                <w:spacing w:val="2"/>
                <w:kern w:val="0"/>
                <w:sz w:val="21"/>
                <w:szCs w:val="21"/>
                <w:vertAlign w:val="subscript"/>
                <w:lang w:val="en-US" w:eastAsia="zh-CN"/>
              </w:rPr>
              <w:t>3</w:t>
            </w:r>
            <w:r>
              <w:rPr>
                <w:rFonts w:hint="eastAsia" w:ascii="Times New Roman" w:hAnsi="Times New Roman" w:eastAsia="宋体" w:cs="Times New Roman"/>
                <w:bCs/>
                <w:color w:val="auto"/>
                <w:spacing w:val="2"/>
                <w:kern w:val="0"/>
                <w:sz w:val="21"/>
                <w:szCs w:val="21"/>
                <w:vertAlign w:val="superscript"/>
                <w:lang w:val="en-US" w:eastAsia="zh-CN"/>
              </w:rPr>
              <w:t>-</w:t>
            </w:r>
            <w:r>
              <w:rPr>
                <w:rFonts w:hint="eastAsia" w:ascii="Times New Roman" w:hAnsi="Times New Roman" w:eastAsia="宋体" w:cs="Times New Roman"/>
                <w:bCs/>
                <w:color w:val="auto"/>
                <w:spacing w:val="2"/>
                <w:kern w:val="0"/>
                <w:sz w:val="21"/>
                <w:szCs w:val="21"/>
                <w:lang w:val="en-US" w:eastAsia="zh-CN"/>
              </w:rPr>
              <w:t>（mmol/L）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Cl</w:t>
            </w:r>
            <w:r>
              <w:rPr>
                <w:rFonts w:hint="eastAsia" w:ascii="Times New Roman" w:hAnsi="Times New Roman" w:eastAsia="宋体" w:cs="Times New Roman"/>
                <w:bCs/>
                <w:color w:val="auto"/>
                <w:spacing w:val="2"/>
                <w:kern w:val="0"/>
                <w:sz w:val="21"/>
                <w:szCs w:val="21"/>
                <w:vertAlign w:val="superscript"/>
                <w:lang w:val="en-US" w:eastAsia="zh-CN"/>
              </w:rPr>
              <w:t>-</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SO</w:t>
            </w:r>
            <w:r>
              <w:rPr>
                <w:rFonts w:hint="eastAsia" w:ascii="Times New Roman" w:hAnsi="Times New Roman" w:eastAsia="宋体" w:cs="Times New Roman"/>
                <w:bCs/>
                <w:color w:val="auto"/>
                <w:spacing w:val="2"/>
                <w:kern w:val="0"/>
                <w:sz w:val="21"/>
                <w:szCs w:val="21"/>
                <w:vertAlign w:val="subscript"/>
                <w:lang w:val="en-US" w:eastAsia="zh-CN"/>
              </w:rPr>
              <w:t>4</w:t>
            </w:r>
            <w:r>
              <w:rPr>
                <w:rFonts w:hint="eastAsia" w:ascii="Times New Roman" w:hAnsi="Times New Roman" w:eastAsia="宋体" w:cs="Times New Roman"/>
                <w:bCs/>
                <w:color w:val="auto"/>
                <w:spacing w:val="2"/>
                <w:kern w:val="0"/>
                <w:sz w:val="21"/>
                <w:szCs w:val="21"/>
                <w:vertAlign w:val="superscript"/>
                <w:lang w:val="en-US" w:eastAsia="zh-CN"/>
              </w:rPr>
              <w:t>2-</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pH（无量纲）</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w:t>
            </w:r>
            <w:r>
              <w:rPr>
                <w:rFonts w:hint="eastAsia" w:cs="Times New Roman"/>
                <w:bCs/>
                <w:color w:val="auto"/>
                <w:spacing w:val="2"/>
                <w:kern w:val="0"/>
                <w:sz w:val="21"/>
                <w:szCs w:val="21"/>
                <w:lang w:val="en-US" w:eastAsia="zh-CN"/>
              </w:rPr>
              <w:t>47</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0.73</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氨氮（mg/L）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0.292</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0.706</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NO</w:t>
            </w:r>
            <w:r>
              <w:rPr>
                <w:rFonts w:hint="eastAsia" w:ascii="Times New Roman" w:hAnsi="Times New Roman" w:eastAsia="宋体" w:cs="Times New Roman"/>
                <w:bCs/>
                <w:color w:val="auto"/>
                <w:spacing w:val="2"/>
                <w:kern w:val="0"/>
                <w:sz w:val="21"/>
                <w:szCs w:val="21"/>
                <w:vertAlign w:val="superscript"/>
                <w:lang w:val="en-US" w:eastAsia="zh-CN"/>
              </w:rPr>
              <w:t>2-</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0.052</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NO</w:t>
            </w:r>
            <w:r>
              <w:rPr>
                <w:rFonts w:hint="eastAsia" w:ascii="Times New Roman" w:hAnsi="Times New Roman" w:eastAsia="宋体" w:cs="Times New Roman"/>
                <w:bCs/>
                <w:color w:val="auto"/>
                <w:spacing w:val="2"/>
                <w:kern w:val="0"/>
                <w:sz w:val="21"/>
                <w:szCs w:val="21"/>
                <w:vertAlign w:val="superscript"/>
                <w:lang w:val="en-US" w:eastAsia="zh-CN"/>
              </w:rPr>
              <w:t>3-</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0.0084</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0.368</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挥发酚（mg/L）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氰化物</w:t>
            </w:r>
            <w:r>
              <w:rPr>
                <w:rFonts w:hint="eastAsia" w:ascii="Times New Roman" w:hAnsi="Times New Roman" w:eastAsia="宋体" w:cs="Times New Roman"/>
                <w:bCs/>
                <w:color w:val="auto"/>
                <w:spacing w:val="2"/>
                <w:kern w:val="0"/>
                <w:sz w:val="21"/>
                <w:szCs w:val="21"/>
                <w:lang w:val="en-US" w:eastAsia="zh-CN"/>
              </w:rPr>
              <w:t>（mg/L）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砷（mg/L）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0.07</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0.06</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汞（mg/L）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0.09</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0.10</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六价铬（mg/L）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总硬度（mg/L）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0.227</w:t>
            </w:r>
            <w:r>
              <w:rPr>
                <w:rFonts w:hint="eastAsia" w:ascii="Times New Roman" w:hAnsi="Times New Roman" w:eastAsia="宋体" w:cs="Times New Roman"/>
                <w:bCs/>
                <w:color w:val="auto"/>
                <w:spacing w:val="2"/>
                <w:kern w:val="0"/>
                <w:sz w:val="21"/>
                <w:szCs w:val="21"/>
                <w:lang w:val="en-US" w:eastAsia="zh-CN"/>
              </w:rPr>
              <w:t xml:space="preserve"> </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0.749</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0.578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铅（mg/L）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0.22</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镉（mg/L）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0.48</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氰</w:t>
            </w:r>
            <w:r>
              <w:rPr>
                <w:rFonts w:hint="eastAsia" w:ascii="Times New Roman" w:hAnsi="Times New Roman" w:eastAsia="宋体" w:cs="Times New Roman"/>
                <w:bCs/>
                <w:color w:val="auto"/>
                <w:spacing w:val="2"/>
                <w:kern w:val="0"/>
                <w:sz w:val="21"/>
                <w:szCs w:val="21"/>
                <w:lang w:val="en-US" w:eastAsia="zh-CN"/>
              </w:rPr>
              <w:t>化物（mg/L）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铁（mg/L）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锰（mg/L）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0.1</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溶解性总固体（mg/L）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w:t>
            </w:r>
            <w:r>
              <w:rPr>
                <w:rFonts w:hint="eastAsia" w:cs="Times New Roman"/>
                <w:bCs/>
                <w:color w:val="auto"/>
                <w:spacing w:val="2"/>
                <w:kern w:val="0"/>
                <w:sz w:val="21"/>
                <w:szCs w:val="21"/>
                <w:lang w:val="en-US" w:eastAsia="zh-CN"/>
              </w:rPr>
              <w:t>665</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w:t>
            </w:r>
            <w:r>
              <w:rPr>
                <w:rFonts w:hint="eastAsia" w:cs="Times New Roman"/>
                <w:bCs/>
                <w:color w:val="auto"/>
                <w:spacing w:val="2"/>
                <w:kern w:val="0"/>
                <w:sz w:val="21"/>
                <w:szCs w:val="21"/>
                <w:lang w:val="en-US" w:eastAsia="zh-CN"/>
              </w:rPr>
              <w:t>.792</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0.</w:t>
            </w:r>
            <w:r>
              <w:rPr>
                <w:rFonts w:hint="eastAsia" w:cs="Times New Roman"/>
                <w:bCs/>
                <w:color w:val="auto"/>
                <w:spacing w:val="2"/>
                <w:kern w:val="0"/>
                <w:sz w:val="21"/>
                <w:szCs w:val="21"/>
                <w:lang w:val="en-US" w:eastAsia="zh-CN"/>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总大肠菌群（MPN/L）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bidi="ar-SA"/>
              </w:rPr>
            </w:pPr>
            <w:r>
              <w:rPr>
                <w:rFonts w:hint="eastAsia" w:ascii="Times New Roman" w:hAnsi="Times New Roman" w:eastAsia="宋体" w:cs="Times New Roman"/>
                <w:bCs/>
                <w:color w:val="auto"/>
                <w:spacing w:val="2"/>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ascii="Times New Roman" w:hAnsi="Times New Roman" w:eastAsia="宋体" w:cs="Times New Roman"/>
                <w:bCs/>
                <w:color w:val="auto"/>
                <w:spacing w:val="2"/>
                <w:kern w:val="0"/>
                <w:sz w:val="21"/>
                <w:szCs w:val="21"/>
                <w:lang w:val="en-US" w:eastAsia="zh-CN"/>
              </w:rPr>
              <w:t>细菌总数（CFU/mL）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0.64</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0.32</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spacing w:val="2"/>
                <w:kern w:val="0"/>
                <w:sz w:val="21"/>
                <w:szCs w:val="21"/>
                <w:lang w:val="en-US" w:eastAsia="zh-CN"/>
              </w:rPr>
            </w:pPr>
            <w:r>
              <w:rPr>
                <w:rFonts w:hint="eastAsia" w:cs="Times New Roman"/>
                <w:bCs/>
                <w:color w:val="auto"/>
                <w:spacing w:val="2"/>
                <w:kern w:val="0"/>
                <w:sz w:val="21"/>
                <w:szCs w:val="21"/>
                <w:lang w:val="en-US" w:eastAsia="zh-CN"/>
              </w:rPr>
              <w:t>氟</w:t>
            </w:r>
            <w:r>
              <w:rPr>
                <w:rFonts w:hint="eastAsia" w:ascii="Times New Roman" w:hAnsi="Times New Roman" w:eastAsia="宋体" w:cs="Times New Roman"/>
                <w:bCs/>
                <w:color w:val="auto"/>
                <w:spacing w:val="2"/>
                <w:kern w:val="0"/>
                <w:sz w:val="21"/>
                <w:szCs w:val="21"/>
                <w:lang w:val="en-US" w:eastAsia="zh-CN"/>
              </w:rPr>
              <w:t>化物（mg/L）</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cs="Times New Roman"/>
                <w:bCs/>
                <w:color w:val="auto"/>
                <w:spacing w:val="2"/>
                <w:kern w:val="0"/>
                <w:sz w:val="21"/>
                <w:szCs w:val="21"/>
                <w:lang w:val="en-US" w:eastAsia="zh-CN" w:bidi="ar-SA"/>
              </w:rPr>
              <w:t>0.060</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cs="Times New Roman"/>
                <w:bCs/>
                <w:color w:val="auto"/>
                <w:spacing w:val="2"/>
                <w:kern w:val="0"/>
                <w:sz w:val="21"/>
                <w:szCs w:val="21"/>
                <w:lang w:val="en-US" w:eastAsia="zh-CN" w:bidi="ar-SA"/>
              </w:rPr>
              <w:t>0.768</w:t>
            </w:r>
          </w:p>
        </w:tc>
        <w:tc>
          <w:tcPr>
            <w:tcW w:w="129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pacing w:val="2"/>
                <w:kern w:val="0"/>
                <w:sz w:val="21"/>
                <w:szCs w:val="21"/>
                <w:lang w:val="en-US" w:eastAsia="zh-CN" w:bidi="ar-SA"/>
              </w:rPr>
            </w:pPr>
            <w:r>
              <w:rPr>
                <w:rFonts w:hint="eastAsia" w:cs="Times New Roman"/>
                <w:bCs/>
                <w:color w:val="auto"/>
                <w:spacing w:val="2"/>
                <w:kern w:val="0"/>
                <w:sz w:val="21"/>
                <w:szCs w:val="21"/>
                <w:lang w:val="en-US" w:eastAsia="zh-CN" w:bidi="ar-SA"/>
              </w:rPr>
              <w:t>0.798</w:t>
            </w:r>
          </w:p>
        </w:tc>
      </w:tr>
    </w:tbl>
    <w:p>
      <w:pPr>
        <w:bidi w:val="0"/>
        <w:rPr>
          <w:rFonts w:hint="eastAsia"/>
          <w:color w:val="auto"/>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bCs/>
          <w:color w:val="auto"/>
          <w:sz w:val="24"/>
          <w:szCs w:val="20"/>
        </w:rPr>
        <w:t>根据地下水现状监测结果，拟建项目</w:t>
      </w:r>
      <w:r>
        <w:rPr>
          <w:rFonts w:hint="eastAsia"/>
          <w:bCs/>
          <w:color w:val="auto"/>
          <w:sz w:val="24"/>
          <w:szCs w:val="20"/>
          <w:lang w:eastAsia="zh-CN"/>
        </w:rPr>
        <w:t>所在地及</w:t>
      </w:r>
      <w:r>
        <w:rPr>
          <w:bCs/>
          <w:color w:val="auto"/>
          <w:sz w:val="24"/>
          <w:szCs w:val="20"/>
        </w:rPr>
        <w:t>周围地下水中各监测因子均满足GB/T14848-</w:t>
      </w:r>
      <w:r>
        <w:rPr>
          <w:rFonts w:hint="eastAsia"/>
          <w:bCs/>
          <w:color w:val="auto"/>
          <w:sz w:val="24"/>
          <w:szCs w:val="20"/>
          <w:lang w:val="en-US" w:eastAsia="zh-CN"/>
        </w:rPr>
        <w:t>2017</w:t>
      </w:r>
      <w:r>
        <w:rPr>
          <w:bCs/>
          <w:color w:val="auto"/>
          <w:sz w:val="24"/>
          <w:szCs w:val="20"/>
        </w:rPr>
        <w:t>《地下水环境质量标准》中</w:t>
      </w:r>
      <w:r>
        <w:rPr>
          <w:bCs/>
          <w:color w:val="auto"/>
          <w:sz w:val="24"/>
          <w:szCs w:val="20"/>
        </w:rPr>
        <w:fldChar w:fldCharType="begin"/>
      </w:r>
      <w:r>
        <w:rPr>
          <w:bCs/>
          <w:color w:val="auto"/>
          <w:sz w:val="24"/>
          <w:szCs w:val="20"/>
        </w:rPr>
        <w:instrText xml:space="preserve"> = 3 \* ROMAN </w:instrText>
      </w:r>
      <w:r>
        <w:rPr>
          <w:bCs/>
          <w:color w:val="auto"/>
          <w:sz w:val="24"/>
          <w:szCs w:val="20"/>
        </w:rPr>
        <w:fldChar w:fldCharType="separate"/>
      </w:r>
      <w:r>
        <w:rPr>
          <w:bCs/>
          <w:color w:val="auto"/>
          <w:sz w:val="24"/>
          <w:szCs w:val="20"/>
        </w:rPr>
        <w:t>III</w:t>
      </w:r>
      <w:r>
        <w:rPr>
          <w:bCs/>
          <w:color w:val="auto"/>
          <w:sz w:val="24"/>
          <w:szCs w:val="20"/>
        </w:rPr>
        <w:fldChar w:fldCharType="end"/>
      </w:r>
      <w:r>
        <w:rPr>
          <w:bCs/>
          <w:color w:val="auto"/>
          <w:sz w:val="24"/>
          <w:szCs w:val="20"/>
        </w:rPr>
        <w:t>类标准要求，说明</w:t>
      </w:r>
      <w:r>
        <w:rPr>
          <w:rFonts w:hint="eastAsia"/>
          <w:bCs/>
          <w:color w:val="auto"/>
          <w:sz w:val="24"/>
          <w:szCs w:val="20"/>
          <w:lang w:eastAsia="zh-CN"/>
        </w:rPr>
        <w:t>项目所在区</w:t>
      </w:r>
      <w:r>
        <w:rPr>
          <w:bCs/>
          <w:color w:val="auto"/>
          <w:sz w:val="24"/>
          <w:szCs w:val="20"/>
        </w:rPr>
        <w:t>地下水水质满足相应的功能区划要求。</w:t>
      </w:r>
    </w:p>
    <w:p>
      <w:pPr>
        <w:pStyle w:val="4"/>
        <w:pageBreakBefore w:val="0"/>
        <w:widowControl w:val="0"/>
        <w:numPr>
          <w:ilvl w:val="1"/>
          <w:numId w:val="0"/>
        </w:numPr>
        <w:kinsoku/>
        <w:wordWrap/>
        <w:overflowPunct/>
        <w:topLinePunct w:val="0"/>
        <w:autoSpaceDE/>
        <w:autoSpaceDN/>
        <w:bidi w:val="0"/>
        <w:adjustRightInd/>
        <w:snapToGrid/>
        <w:spacing w:before="0" w:after="0" w:line="240" w:lineRule="auto"/>
        <w:ind w:leftChars="0" w:right="0" w:rightChars="0"/>
        <w:jc w:val="both"/>
        <w:textAlignment w:val="auto"/>
        <w:rPr>
          <w:rFonts w:hint="eastAsia" w:cs="Times New Roman"/>
          <w:color w:val="auto"/>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bookmarkStart w:id="71" w:name="_Toc1274"/>
      <w:bookmarkStart w:id="72" w:name="_Toc1909"/>
      <w:bookmarkStart w:id="73" w:name="_Toc20245"/>
      <w:bookmarkStart w:id="74" w:name="_Toc17675"/>
      <w:bookmarkStart w:id="75" w:name="_Toc27452"/>
      <w:bookmarkStart w:id="76" w:name="_Toc27907"/>
      <w:bookmarkStart w:id="77" w:name="_Toc27048"/>
      <w:r>
        <w:rPr>
          <w:color w:val="auto"/>
          <w:sz w:val="24"/>
        </w:rPr>
        <mc:AlternateContent>
          <mc:Choice Requires="wps">
            <w:drawing>
              <wp:anchor distT="0" distB="0" distL="114300" distR="114300" simplePos="0" relativeHeight="251744256" behindDoc="0" locked="0" layoutInCell="1" allowOverlap="1">
                <wp:simplePos x="0" y="0"/>
                <wp:positionH relativeFrom="column">
                  <wp:posOffset>-9525</wp:posOffset>
                </wp:positionH>
                <wp:positionV relativeFrom="paragraph">
                  <wp:posOffset>-20320</wp:posOffset>
                </wp:positionV>
                <wp:extent cx="8395970" cy="5353685"/>
                <wp:effectExtent l="15875" t="15875" r="27305" b="21590"/>
                <wp:wrapNone/>
                <wp:docPr id="67" name="流程图: 过程 67"/>
                <wp:cNvGraphicFramePr/>
                <a:graphic xmlns:a="http://schemas.openxmlformats.org/drawingml/2006/main">
                  <a:graphicData uri="http://schemas.microsoft.com/office/word/2010/wordprocessingShape">
                    <wps:wsp>
                      <wps:cNvSpPr/>
                      <wps:spPr>
                        <a:xfrm>
                          <a:off x="904875" y="1120775"/>
                          <a:ext cx="8395970" cy="5353685"/>
                        </a:xfrm>
                        <a:prstGeom prst="flowChartProcess">
                          <a:avLst/>
                        </a:pr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0.75pt;margin-top:-1.6pt;height:421.55pt;width:661.1pt;z-index:251744256;v-text-anchor:middle;mso-width-relative:page;mso-height-relative:page;" filled="f" stroked="t" coordsize="21600,21600" o:gfxdata="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wsPTyNkAAAAKAQAADwAAAAAAAAAB&#10;ACAAAAAiAAAAZHJzL2Rvd25yZXYueG1sUEsBAhQAFAAAAAgAh07iQG0p+H6BAgAA2QQAAA4AAAAA&#10;AAAAAQAgAAAAKAEAAGRycy9lMm9Eb2MueG1sUEsFBgAAAAAGAAYAWQEAABsGAAAAAA==&#10;">
                <v:fill on="f" focussize="0,0"/>
                <v:stroke weight="2.5pt" color="#000000 [3213]" joinstyle="round"/>
                <v:imagedata o:title=""/>
                <o:lock v:ext="edit" aspectratio="f"/>
              </v:shape>
            </w:pict>
          </mc:Fallback>
        </mc:AlternateContent>
      </w:r>
      <w:r>
        <w:rPr>
          <w:color w:val="auto"/>
          <w:sz w:val="24"/>
        </w:rPr>
        <w:drawing>
          <wp:anchor distT="0" distB="0" distL="114300" distR="114300" simplePos="0" relativeHeight="251743232" behindDoc="0" locked="0" layoutInCell="1" allowOverlap="1">
            <wp:simplePos x="0" y="0"/>
            <wp:positionH relativeFrom="column">
              <wp:posOffset>7519670</wp:posOffset>
            </wp:positionH>
            <wp:positionV relativeFrom="paragraph">
              <wp:posOffset>-20955</wp:posOffset>
            </wp:positionV>
            <wp:extent cx="862330" cy="877570"/>
            <wp:effectExtent l="0" t="0" r="13970" b="17780"/>
            <wp:wrapNone/>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21"/>
                    <a:stretch>
                      <a:fillRect/>
                    </a:stretch>
                  </pic:blipFill>
                  <pic:spPr>
                    <a:xfrm>
                      <a:off x="0" y="0"/>
                      <a:ext cx="862330" cy="877570"/>
                    </a:xfrm>
                    <a:prstGeom prst="rect">
                      <a:avLst/>
                    </a:prstGeom>
                    <a:noFill/>
                    <a:ln>
                      <a:noFill/>
                    </a:ln>
                  </pic:spPr>
                </pic:pic>
              </a:graphicData>
            </a:graphic>
          </wp:anchor>
        </w:drawing>
      </w:r>
      <w:r>
        <w:rPr>
          <w:color w:val="auto"/>
          <w:sz w:val="28"/>
        </w:rPr>
        <mc:AlternateContent>
          <mc:Choice Requires="wps">
            <w:drawing>
              <wp:anchor distT="0" distB="0" distL="114300" distR="114300" simplePos="0" relativeHeight="251740160" behindDoc="0" locked="0" layoutInCell="1" allowOverlap="1">
                <wp:simplePos x="0" y="0"/>
                <wp:positionH relativeFrom="column">
                  <wp:posOffset>781050</wp:posOffset>
                </wp:positionH>
                <wp:positionV relativeFrom="paragraph">
                  <wp:posOffset>878840</wp:posOffset>
                </wp:positionV>
                <wp:extent cx="119380" cy="127000"/>
                <wp:effectExtent l="0" t="0" r="13970" b="6350"/>
                <wp:wrapNone/>
                <wp:docPr id="58"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61.5pt;margin-top:69.2pt;height:10pt;width:9.4pt;z-index:251740160;mso-width-relative:page;mso-height-relative:page;" fillcolor="#FFFF00" filled="t" stroked="f" coordsize="21600,21600" o:gfxdata="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7ciy1wAAAAsBAAAPAAAAAAAAAAEAIAAAACIAAABkcnMv&#10;ZG93bnJldi54bWxQSwECFAAUAAAACACHTuJAuzJVfcsBAAB4AwAADgAAAAAAAAABACAAAAAmAQAA&#10;ZHJzL2Uyb0RvYy54bWxQSwUGAAAAAAYABgBZAQAAYwUAAAAA&#10;">
                <v:fill on="t" focussize="0,0"/>
                <v:stroke on="f"/>
                <v:imagedata o:title=""/>
                <o:lock v:ext="edit" aspectratio="f"/>
              </v:shape>
            </w:pict>
          </mc:Fallback>
        </mc:AlternateContent>
      </w:r>
      <w:r>
        <w:rPr>
          <w:color w:val="auto"/>
          <w:sz w:val="28"/>
        </w:rPr>
        <mc:AlternateContent>
          <mc:Choice Requires="wps">
            <w:drawing>
              <wp:anchor distT="0" distB="0" distL="114300" distR="114300" simplePos="0" relativeHeight="251737088" behindDoc="0" locked="0" layoutInCell="1" allowOverlap="1">
                <wp:simplePos x="0" y="0"/>
                <wp:positionH relativeFrom="column">
                  <wp:posOffset>3477260</wp:posOffset>
                </wp:positionH>
                <wp:positionV relativeFrom="paragraph">
                  <wp:posOffset>1581785</wp:posOffset>
                </wp:positionV>
                <wp:extent cx="119380" cy="127000"/>
                <wp:effectExtent l="0" t="0" r="13970" b="6350"/>
                <wp:wrapNone/>
                <wp:docPr id="55"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273.8pt;margin-top:124.55pt;height:10pt;width:9.4pt;z-index:251737088;mso-width-relative:page;mso-height-relative:page;" fillcolor="#FFFF00" filled="t" stroked="f" coordsize="21600,21600" o:gfxdata="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&#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4lFwS2gAAAAsBAAAPAAAAAAAAAAEAIAAAACIAAABk&#10;cnMvZG93bnJldi54bWxQSwECFAAUAAAACACHTuJAVdFFQMsBAAB4AwAADgAAAAAAAAABACAAAAAp&#10;AQAAZHJzL2Uyb0RvYy54bWxQSwUGAAAAAAYABgBZAQAAZgUAAAAA&#10;">
                <v:fill on="t" focussize="0,0"/>
                <v:stroke on="f"/>
                <v:imagedata o:title=""/>
                <o:lock v:ext="edit" aspectratio="f"/>
              </v:shape>
            </w:pict>
          </mc:Fallback>
        </mc:AlternateContent>
      </w:r>
      <w:r>
        <w:rPr>
          <w:color w:val="auto"/>
          <w:sz w:val="28"/>
        </w:rPr>
        <mc:AlternateContent>
          <mc:Choice Requires="wps">
            <w:drawing>
              <wp:anchor distT="0" distB="0" distL="114300" distR="114300" simplePos="0" relativeHeight="251738112" behindDoc="0" locked="0" layoutInCell="1" allowOverlap="1">
                <wp:simplePos x="0" y="0"/>
                <wp:positionH relativeFrom="column">
                  <wp:posOffset>3241675</wp:posOffset>
                </wp:positionH>
                <wp:positionV relativeFrom="paragraph">
                  <wp:posOffset>4556760</wp:posOffset>
                </wp:positionV>
                <wp:extent cx="119380" cy="127000"/>
                <wp:effectExtent l="0" t="0" r="13970" b="6350"/>
                <wp:wrapNone/>
                <wp:docPr id="56"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255.25pt;margin-top:358.8pt;height:10pt;width:9.4pt;z-index:251738112;mso-width-relative:page;mso-height-relative:page;" fillcolor="#FFFF00" filled="t" stroked="f" coordsize="21600,21600" o:gfxdata="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TOoaNoAAAALAQAADwAAAAAAAAABACAAAAAiAAAA&#10;ZHJzL2Rvd25yZXYueG1sUEsBAhQAFAAAAAgAh07iQLaaFsrMAQAAeAMAAA4AAAAAAAAAAQAgAAAA&#10;KQEAAGRycy9lMm9Eb2MueG1sUEsFBgAAAAAGAAYAWQEAAGcFAAAAAA==&#10;">
                <v:fill on="t" focussize="0,0"/>
                <v:stroke on="f"/>
                <v:imagedata o:title=""/>
                <o:lock v:ext="edit" aspectratio="f"/>
              </v:shape>
            </w:pict>
          </mc:Fallback>
        </mc:AlternateContent>
      </w:r>
      <w:r>
        <w:rPr>
          <w:color w:val="auto"/>
          <w:sz w:val="28"/>
        </w:rPr>
        <mc:AlternateContent>
          <mc:Choice Requires="wps">
            <w:drawing>
              <wp:anchor distT="0" distB="0" distL="114300" distR="114300" simplePos="0" relativeHeight="251739136" behindDoc="0" locked="0" layoutInCell="1" allowOverlap="1">
                <wp:simplePos x="0" y="0"/>
                <wp:positionH relativeFrom="column">
                  <wp:posOffset>5845810</wp:posOffset>
                </wp:positionH>
                <wp:positionV relativeFrom="paragraph">
                  <wp:posOffset>4655820</wp:posOffset>
                </wp:positionV>
                <wp:extent cx="119380" cy="127000"/>
                <wp:effectExtent l="0" t="0" r="13970" b="6350"/>
                <wp:wrapNone/>
                <wp:docPr id="57"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460.3pt;margin-top:366.6pt;height:10pt;width:9.4pt;z-index:251739136;mso-width-relative:page;mso-height-relative:page;" fillcolor="#FFFF00" filled="t" stroked="f" coordsize="21600,21600" o:gfxdata="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&#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h27TS2gAAAAsBAAAPAAAAAAAAAAEAIAAAACIAAABk&#10;cnMvZG93bnJldi54bWxQSwECFAAUAAAACACHTuJAF1zYs8sBAAB4AwAADgAAAAAAAAABACAAAAAp&#10;AQAAZHJzL2Uyb0RvYy54bWxQSwUGAAAAAAYABgBZAQAAZgUAAAAA&#10;">
                <v:fill on="t" focussize="0,0"/>
                <v:stroke on="f"/>
                <v:imagedata o:title=""/>
                <o:lock v:ext="edit" aspectratio="f"/>
              </v:shape>
            </w:pict>
          </mc:Fallback>
        </mc:AlternateContent>
      </w:r>
      <w:r>
        <w:rPr>
          <w:color w:val="auto"/>
          <w:sz w:val="28"/>
        </w:rPr>
        <mc:AlternateContent>
          <mc:Choice Requires="wps">
            <w:drawing>
              <wp:anchor distT="0" distB="0" distL="114300" distR="114300" simplePos="0" relativeHeight="251736064" behindDoc="0" locked="0" layoutInCell="1" allowOverlap="1">
                <wp:simplePos x="0" y="0"/>
                <wp:positionH relativeFrom="column">
                  <wp:posOffset>2525395</wp:posOffset>
                </wp:positionH>
                <wp:positionV relativeFrom="paragraph">
                  <wp:posOffset>3045460</wp:posOffset>
                </wp:positionV>
                <wp:extent cx="119380" cy="127000"/>
                <wp:effectExtent l="0" t="0" r="13970" b="6350"/>
                <wp:wrapNone/>
                <wp:docPr id="45"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198.85pt;margin-top:239.8pt;height:10pt;width:9.4pt;z-index:251736064;mso-width-relative:page;mso-height-relative:page;" fillcolor="#FFFF00" filled="t" stroked="f" coordsize="21600,21600" o:gfxdata="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ayhVedoAAAALAQAADwAAAAAAAAABACAAAAAiAAAA&#10;ZHJzL2Rvd25yZXYueG1sUEsBAhQAFAAAAAgAh07iQO2M7eHMAQAAeAMAAA4AAAAAAAAAAQAgAAAA&#10;KQEAAGRycy9lMm9Eb2MueG1sUEsFBgAAAAAGAAYAWQEAAGcFA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7373620</wp:posOffset>
                </wp:positionH>
                <wp:positionV relativeFrom="paragraph">
                  <wp:posOffset>4502785</wp:posOffset>
                </wp:positionV>
                <wp:extent cx="1071880" cy="277495"/>
                <wp:effectExtent l="0" t="0" r="0" b="0"/>
                <wp:wrapNone/>
                <wp:docPr id="89" name="文本框 579"/>
                <wp:cNvGraphicFramePr/>
                <a:graphic xmlns:a="http://schemas.openxmlformats.org/drawingml/2006/main">
                  <a:graphicData uri="http://schemas.microsoft.com/office/word/2010/wordprocessingShape">
                    <wps:wsp>
                      <wps:cNvSpPr txBox="1"/>
                      <wps:spPr>
                        <a:xfrm>
                          <a:off x="0" y="0"/>
                          <a:ext cx="1071880" cy="277495"/>
                        </a:xfrm>
                        <a:prstGeom prst="rect">
                          <a:avLst/>
                        </a:prstGeom>
                        <a:noFill/>
                        <a:ln>
                          <a:noFill/>
                        </a:ln>
                      </wps:spPr>
                      <wps:txbx>
                        <w:txbxContent>
                          <w:p>
                            <w:pPr>
                              <w:spacing w:line="240" w:lineRule="auto"/>
                              <w:ind w:left="0" w:leftChars="0" w:firstLine="0" w:firstLineChars="0"/>
                              <w:jc w:val="both"/>
                              <w:rPr>
                                <w:rFonts w:hint="default"/>
                                <w:color w:val="FF0000"/>
                                <w:lang w:val="en-US" w:eastAsia="zh-CN"/>
                              </w:rPr>
                            </w:pPr>
                            <w:r>
                              <w:rPr>
                                <w:rFonts w:hint="eastAsia" w:eastAsia="宋体"/>
                                <w:b/>
                                <w:bCs/>
                                <w:color w:val="FF0000"/>
                                <w:sz w:val="21"/>
                                <w:szCs w:val="21"/>
                                <w:lang w:val="en-US" w:eastAsia="zh-CN"/>
                              </w:rPr>
                              <w:t>地下水监测点</w:t>
                            </w:r>
                          </w:p>
                          <w:p/>
                        </w:txbxContent>
                      </wps:txbx>
                      <wps:bodyPr vert="horz" wrap="square" anchor="t" anchorCtr="0" upright="1"/>
                    </wps:wsp>
                  </a:graphicData>
                </a:graphic>
              </wp:anchor>
            </w:drawing>
          </mc:Choice>
          <mc:Fallback>
            <w:pict>
              <v:shape id="文本框 579" o:spid="_x0000_s1026" o:spt="202" type="#_x0000_t202" style="position:absolute;left:0pt;margin-left:580.6pt;margin-top:354.55pt;height:21.85pt;width:84.4pt;z-index:251673600;mso-width-relative:page;mso-height-relative:page;" filled="f" stroked="f" coordsize="21600,21600" o:gfxdata="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pEE/jdgAAAANAQAADwAAAAAAAAABACAAAAAiAAAA&#10;ZHJzL2Rvd25yZXYueG1sUEsBAhQAFAAAAAgAh07iQK9VcFXOAQAAhAMAAA4AAAAAAAAAAQAgAAAA&#10;JwEAAGRycy9lMm9Eb2MueG1sUEsFBgAAAAAGAAYAWQEAAGcFAAAAAA==&#10;">
                <v:fill on="f" focussize="0,0"/>
                <v:stroke on="f"/>
                <v:imagedata o:title=""/>
                <o:lock v:ext="edit" aspectratio="f"/>
                <v:textbox>
                  <w:txbxContent>
                    <w:p>
                      <w:pPr>
                        <w:spacing w:line="240" w:lineRule="auto"/>
                        <w:ind w:left="0" w:leftChars="0" w:firstLine="0" w:firstLineChars="0"/>
                        <w:jc w:val="both"/>
                        <w:rPr>
                          <w:rFonts w:hint="default"/>
                          <w:color w:val="FF0000"/>
                          <w:lang w:val="en-US" w:eastAsia="zh-CN"/>
                        </w:rPr>
                      </w:pPr>
                      <w:r>
                        <w:rPr>
                          <w:rFonts w:hint="eastAsia" w:eastAsia="宋体"/>
                          <w:b/>
                          <w:bCs/>
                          <w:color w:val="FF0000"/>
                          <w:sz w:val="21"/>
                          <w:szCs w:val="21"/>
                          <w:lang w:val="en-US" w:eastAsia="zh-CN"/>
                        </w:rPr>
                        <w:t>地下水监测点</w:t>
                      </w:r>
                    </w:p>
                    <w:p/>
                  </w:txbxContent>
                </v:textbox>
              </v:shape>
            </w:pict>
          </mc:Fallback>
        </mc:AlternateContent>
      </w:r>
      <w:r>
        <w:rPr>
          <w:color w:val="auto"/>
          <w:sz w:val="28"/>
        </w:rPr>
        <mc:AlternateContent>
          <mc:Choice Requires="wps">
            <w:drawing>
              <wp:anchor distT="0" distB="0" distL="114300" distR="114300" simplePos="0" relativeHeight="251735040" behindDoc="0" locked="0" layoutInCell="1" allowOverlap="1">
                <wp:simplePos x="0" y="0"/>
                <wp:positionH relativeFrom="column">
                  <wp:posOffset>3827780</wp:posOffset>
                </wp:positionH>
                <wp:positionV relativeFrom="paragraph">
                  <wp:posOffset>3007995</wp:posOffset>
                </wp:positionV>
                <wp:extent cx="119380" cy="127000"/>
                <wp:effectExtent l="0" t="0" r="13970" b="6350"/>
                <wp:wrapNone/>
                <wp:docPr id="40"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301.4pt;margin-top:236.85pt;height:10pt;width:9.4pt;z-index:251735040;mso-width-relative:page;mso-height-relative:page;" fillcolor="#FFFF00" filled="t" stroked="f" coordsize="21600,21600" o:gfxdata="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0sMuiNkAAAALAQAADwAAAAAAAAABACAAAAAiAAAAZHJz&#10;L2Rvd25yZXYueG1sUEsBAhQAFAAAAAgAh07iQIlWaaTKAQAAeAMAAA4AAAAAAAAAAQAgAAAAKAEA&#10;AGRycy9lMm9Eb2MueG1sUEsFBgAAAAAGAAYAWQEAAGQFAAAAAA==&#10;">
                <v:fill on="t" focussize="0,0"/>
                <v:stroke on="f"/>
                <v:imagedata o:title=""/>
                <o:lock v:ext="edit" aspectratio="f"/>
              </v:shape>
            </w:pict>
          </mc:Fallback>
        </mc:AlternateContent>
      </w:r>
      <w:r>
        <w:rPr>
          <w:color w:val="auto"/>
          <w:sz w:val="28"/>
        </w:rPr>
        <mc:AlternateContent>
          <mc:Choice Requires="wps">
            <w:drawing>
              <wp:anchor distT="0" distB="0" distL="114300" distR="114300" simplePos="0" relativeHeight="251672576" behindDoc="0" locked="0" layoutInCell="1" allowOverlap="1">
                <wp:simplePos x="0" y="0"/>
                <wp:positionH relativeFrom="column">
                  <wp:posOffset>7317740</wp:posOffset>
                </wp:positionH>
                <wp:positionV relativeFrom="paragraph">
                  <wp:posOffset>4584700</wp:posOffset>
                </wp:positionV>
                <wp:extent cx="119380" cy="127000"/>
                <wp:effectExtent l="0" t="0" r="13970" b="6350"/>
                <wp:wrapNone/>
                <wp:docPr id="88" name="自选图形 578"/>
                <wp:cNvGraphicFramePr/>
                <a:graphic xmlns:a="http://schemas.openxmlformats.org/drawingml/2006/main">
                  <a:graphicData uri="http://schemas.microsoft.com/office/word/2010/wordprocessingShape">
                    <wps:wsp>
                      <wps:cNvSpPr/>
                      <wps:spPr>
                        <a:xfrm>
                          <a:off x="0" y="0"/>
                          <a:ext cx="119380" cy="127000"/>
                        </a:xfrm>
                        <a:prstGeom prst="diamond">
                          <a:avLst/>
                        </a:prstGeom>
                        <a:solidFill>
                          <a:srgbClr val="FFFF00"/>
                        </a:solidFill>
                        <a:ln>
                          <a:noFill/>
                        </a:ln>
                      </wps:spPr>
                      <wps:bodyPr wrap="square" upright="1"/>
                    </wps:wsp>
                  </a:graphicData>
                </a:graphic>
              </wp:anchor>
            </w:drawing>
          </mc:Choice>
          <mc:Fallback>
            <w:pict>
              <v:shape id="自选图形 578" o:spid="_x0000_s1026" o:spt="4" type="#_x0000_t4" style="position:absolute;left:0pt;margin-left:576.2pt;margin-top:361pt;height:10pt;width:9.4pt;z-index:251672576;mso-width-relative:page;mso-height-relative:page;" fillcolor="#FFFF00" filled="t" stroked="f" coordsize="21600,21600" o:gfxdata="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S/fP9kAAAANAQAADwAAAAAAAAABACAAAAAiAAAAZHJz&#10;L2Rvd25yZXYueG1sUEsBAhQAFAAAAAgAh07iQCft2jrKAQAAeAMAAA4AAAAAAAAAAQAgAAAAKAEA&#10;AGRycy9lMm9Eb2MueG1sUEsFBgAAAAAGAAYAWQEAAGQFA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-296545</wp:posOffset>
                </wp:positionH>
                <wp:positionV relativeFrom="paragraph">
                  <wp:posOffset>5380355</wp:posOffset>
                </wp:positionV>
                <wp:extent cx="8675370" cy="277495"/>
                <wp:effectExtent l="0" t="0" r="0" b="0"/>
                <wp:wrapNone/>
                <wp:docPr id="87" name="文本框 577"/>
                <wp:cNvGraphicFramePr/>
                <a:graphic xmlns:a="http://schemas.openxmlformats.org/drawingml/2006/main">
                  <a:graphicData uri="http://schemas.microsoft.com/office/word/2010/wordprocessingShape">
                    <wps:wsp>
                      <wps:cNvSpPr txBox="1"/>
                      <wps:spPr>
                        <a:xfrm>
                          <a:off x="0" y="0"/>
                          <a:ext cx="8675370" cy="277495"/>
                        </a:xfrm>
                        <a:prstGeom prst="rect">
                          <a:avLst/>
                        </a:prstGeom>
                        <a:noFill/>
                        <a:ln>
                          <a:noFill/>
                        </a:ln>
                      </wps:spPr>
                      <wps:txbx>
                        <w:txbxContent>
                          <w:p>
                            <w:pPr>
                              <w:spacing w:line="240" w:lineRule="auto"/>
                              <w:ind w:left="0" w:leftChars="0" w:firstLine="0" w:firstLineChars="0"/>
                              <w:jc w:val="center"/>
                              <w:rPr>
                                <w:rFonts w:hint="default"/>
                                <w:color w:val="FF0000"/>
                                <w:lang w:val="en-US" w:eastAsia="zh-CN"/>
                              </w:rPr>
                            </w:pPr>
                            <w:r>
                              <w:rPr>
                                <w:rFonts w:hint="eastAsia" w:eastAsia="宋体"/>
                                <w:b/>
                                <w:bCs/>
                                <w:color w:val="FF0000"/>
                                <w:sz w:val="21"/>
                                <w:szCs w:val="21"/>
                                <w:lang w:val="en-US" w:eastAsia="zh-CN"/>
                              </w:rPr>
                              <w:t>图5.5-1  地下水监测点位图</w:t>
                            </w:r>
                          </w:p>
                          <w:p/>
                        </w:txbxContent>
                      </wps:txbx>
                      <wps:bodyPr vert="horz" wrap="square" anchor="t" anchorCtr="0" upright="1"/>
                    </wps:wsp>
                  </a:graphicData>
                </a:graphic>
              </wp:anchor>
            </w:drawing>
          </mc:Choice>
          <mc:Fallback>
            <w:pict>
              <v:shape id="文本框 577" o:spid="_x0000_s1026" o:spt="202" type="#_x0000_t202" style="position:absolute;left:0pt;margin-left:-23.35pt;margin-top:423.65pt;height:21.85pt;width:683.1pt;z-index:251671552;mso-width-relative:page;mso-height-relative:page;" filled="f" stroked="f" coordsize="21600,21600" o:gfxdata="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CAIcAdkAAAAMAQAADwAAAAAAAAABACAAAAAiAAAA&#10;ZHJzL2Rvd25yZXYueG1sUEsBAhQAFAAAAAgAh07iQNV4+xLNAQAAhAMAAA4AAAAAAAAAAQAgAAAA&#10;KAEAAGRycy9lMm9Eb2MueG1sUEsFBgAAAAAGAAYAWQEAAGcFAAAAAA==&#10;">
                <v:fill on="f" focussize="0,0"/>
                <v:stroke on="f"/>
                <v:imagedata o:title=""/>
                <o:lock v:ext="edit" aspectratio="f"/>
                <v:textbox>
                  <w:txbxContent>
                    <w:p>
                      <w:pPr>
                        <w:spacing w:line="240" w:lineRule="auto"/>
                        <w:ind w:left="0" w:leftChars="0" w:firstLine="0" w:firstLineChars="0"/>
                        <w:jc w:val="center"/>
                        <w:rPr>
                          <w:rFonts w:hint="default"/>
                          <w:color w:val="FF0000"/>
                          <w:lang w:val="en-US" w:eastAsia="zh-CN"/>
                        </w:rPr>
                      </w:pPr>
                      <w:r>
                        <w:rPr>
                          <w:rFonts w:hint="eastAsia" w:eastAsia="宋体"/>
                          <w:b/>
                          <w:bCs/>
                          <w:color w:val="FF0000"/>
                          <w:sz w:val="21"/>
                          <w:szCs w:val="21"/>
                          <w:lang w:val="en-US" w:eastAsia="zh-CN"/>
                        </w:rPr>
                        <w:t>图5.5-1  地下水监测点位图</w:t>
                      </w:r>
                    </w:p>
                    <w:p/>
                  </w:txbxContent>
                </v:textbox>
              </v:shape>
            </w:pict>
          </mc:Fallback>
        </mc:AlternateContent>
      </w:r>
      <w:r>
        <w:rPr>
          <w:rFonts w:hint="eastAsia" w:ascii="Times New Roman" w:hAnsi="Times New Roman" w:eastAsia="宋体" w:cs="Times New Roman"/>
          <w:color w:val="auto"/>
          <w:lang w:eastAsia="zh-CN"/>
        </w:rPr>
        <w:drawing>
          <wp:inline distT="0" distB="0" distL="114300" distR="114300">
            <wp:extent cx="8375015" cy="5290185"/>
            <wp:effectExtent l="0" t="0" r="6985" b="5715"/>
            <wp:docPr id="3" name="图片 27" descr="2022120815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descr="20221208155334"/>
                    <pic:cNvPicPr>
                      <a:picLocks noChangeAspect="1"/>
                    </pic:cNvPicPr>
                  </pic:nvPicPr>
                  <pic:blipFill>
                    <a:blip r:embed="rId37"/>
                    <a:stretch>
                      <a:fillRect/>
                    </a:stretch>
                  </pic:blipFill>
                  <pic:spPr>
                    <a:xfrm>
                      <a:off x="0" y="0"/>
                      <a:ext cx="8375015" cy="5290185"/>
                    </a:xfrm>
                    <a:prstGeom prst="rect">
                      <a:avLst/>
                    </a:prstGeom>
                    <a:noFill/>
                    <a:ln>
                      <a:noFill/>
                    </a:ln>
                  </pic:spPr>
                </pic:pic>
              </a:graphicData>
            </a:graphic>
          </wp:inline>
        </w:drawing>
      </w:r>
      <w:r>
        <w:rPr>
          <w:color w:val="auto"/>
          <w:sz w:val="28"/>
        </w:rPr>
        <mc:AlternateContent>
          <mc:Choice Requires="wps">
            <w:drawing>
              <wp:anchor distT="0" distB="0" distL="114300" distR="114300" simplePos="0" relativeHeight="251670528" behindDoc="0" locked="0" layoutInCell="1" allowOverlap="1">
                <wp:simplePos x="0" y="0"/>
                <wp:positionH relativeFrom="column">
                  <wp:posOffset>-22225</wp:posOffset>
                </wp:positionH>
                <wp:positionV relativeFrom="paragraph">
                  <wp:posOffset>-3810</wp:posOffset>
                </wp:positionV>
                <wp:extent cx="8370570" cy="5301615"/>
                <wp:effectExtent l="14605" t="13970" r="15875" b="18415"/>
                <wp:wrapNone/>
                <wp:docPr id="85" name="矩形 511"/>
                <wp:cNvGraphicFramePr/>
                <a:graphic xmlns:a="http://schemas.openxmlformats.org/drawingml/2006/main">
                  <a:graphicData uri="http://schemas.microsoft.com/office/word/2010/wordprocessingShape">
                    <wps:wsp>
                      <wps:cNvSpPr/>
                      <wps:spPr>
                        <a:xfrm>
                          <a:off x="0" y="0"/>
                          <a:ext cx="8370570" cy="5301615"/>
                        </a:xfrm>
                        <a:prstGeom prst="rect">
                          <a:avLst/>
                        </a:prstGeom>
                        <a:noFill/>
                        <a:ln w="2857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511" o:spid="_x0000_s1026" o:spt="1" style="position:absolute;left:0pt;margin-left:-1.75pt;margin-top:-0.3pt;height:417.45pt;width:659.1pt;z-index:251670528;mso-width-relative:page;mso-height-relative:page;" filled="f" stroked="t" coordsize="21600,21600" o:gfxdata="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7vGHjaAAAACQEA&#10;AA8AAAAAAAAAAQAgAAAAIgAAAGRycy9kb3ducmV2LnhtbFBLAQIUABQAAAAIAIdO4kBGForNGAIA&#10;AC0EAAAOAAAAAAAAAAEAIAAAACkBAABkcnMvZTJvRG9jLnhtbFBLBQYAAAAABgAGAFkBAACzBQAA&#10;AAA=&#10;">
                <v:fill on="f" focussize="0,0"/>
                <v:stroke weight="2.25pt" color="#000000" joinstyle="miter"/>
                <v:imagedata o:title=""/>
                <o:lock v:ext="edit" aspectratio="f"/>
              </v:rect>
            </w:pict>
          </mc:Fallback>
        </mc:AlternateContent>
      </w:r>
      <w:bookmarkEnd w:id="71"/>
      <w:bookmarkEnd w:id="72"/>
      <w:bookmarkEnd w:id="73"/>
      <w:bookmarkEnd w:id="74"/>
      <w:bookmarkEnd w:id="75"/>
      <w:bookmarkEnd w:id="76"/>
      <w:bookmarkEnd w:id="77"/>
    </w:p>
    <w:p>
      <w:pPr>
        <w:pStyle w:val="4"/>
        <w:pageBreakBefore w:val="0"/>
        <w:widowControl w:val="0"/>
        <w:numPr>
          <w:ilvl w:val="1"/>
          <w:numId w:val="0"/>
        </w:numPr>
        <w:kinsoku/>
        <w:wordWrap/>
        <w:overflowPunct/>
        <w:topLinePunct w:val="0"/>
        <w:autoSpaceDE/>
        <w:autoSpaceDN/>
        <w:bidi w:val="0"/>
        <w:adjustRightInd/>
        <w:snapToGrid/>
        <w:spacing w:before="0" w:after="0" w:line="480" w:lineRule="exact"/>
        <w:ind w:leftChars="0" w:right="0" w:rightChars="0"/>
        <w:jc w:val="both"/>
        <w:textAlignment w:val="auto"/>
        <w:rPr>
          <w:rFonts w:hint="default" w:ascii="Times New Roman" w:hAnsi="Times New Roman" w:cs="Times New Roman"/>
          <w:color w:val="auto"/>
        </w:rPr>
      </w:pPr>
      <w:bookmarkStart w:id="78" w:name="_Toc1332"/>
      <w:r>
        <w:rPr>
          <w:rFonts w:hint="eastAsia" w:cs="Times New Roman"/>
          <w:color w:val="auto"/>
          <w:lang w:val="en-US" w:eastAsia="zh-CN"/>
        </w:rPr>
        <w:t>4.6</w:t>
      </w:r>
      <w:r>
        <w:rPr>
          <w:rFonts w:hint="default" w:ascii="Times New Roman" w:hAnsi="Times New Roman" w:cs="Times New Roman"/>
          <w:color w:val="auto"/>
        </w:rPr>
        <w:t>现状评价结果</w:t>
      </w:r>
      <w:bookmarkEnd w:id="78"/>
    </w:p>
    <w:p>
      <w:pPr>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default" w:ascii="Times New Roman" w:hAnsi="Times New Roman" w:cs="Times New Roman"/>
          <w:color w:val="auto"/>
        </w:rPr>
      </w:pPr>
      <w:r>
        <w:rPr>
          <w:rFonts w:hint="default" w:ascii="Times New Roman" w:hAnsi="Times New Roman" w:cs="Times New Roman"/>
          <w:color w:val="auto"/>
        </w:rPr>
        <w:t>（1）大气环境现状评价：</w:t>
      </w:r>
      <w:r>
        <w:rPr>
          <w:rFonts w:hint="eastAsia" w:cs="Times New Roman"/>
          <w:color w:val="auto"/>
          <w:sz w:val="24"/>
          <w:szCs w:val="24"/>
          <w:lang w:val="en-US" w:eastAsia="zh-CN"/>
        </w:rPr>
        <w:t>合肥市</w:t>
      </w:r>
      <w:r>
        <w:rPr>
          <w:rFonts w:hint="default" w:ascii="Times New Roman" w:hAnsi="Times New Roman" w:eastAsia="宋体" w:cs="Times New Roman"/>
          <w:color w:val="auto"/>
          <w:sz w:val="24"/>
          <w:szCs w:val="24"/>
        </w:rPr>
        <w:t>环境空气质量现状满足《环境空气质量标准》（GB3095-2012）二级标准要求</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项目所在地为达标区域。</w:t>
      </w:r>
    </w:p>
    <w:p>
      <w:pPr>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default" w:ascii="Times New Roman" w:hAnsi="Times New Roman" w:cs="Times New Roman"/>
          <w:color w:val="auto"/>
        </w:rPr>
      </w:pPr>
      <w:r>
        <w:rPr>
          <w:rFonts w:hint="default" w:ascii="Times New Roman" w:hAnsi="Times New Roman" w:cs="Times New Roman"/>
          <w:color w:val="auto"/>
        </w:rPr>
        <w:t>（2）</w:t>
      </w:r>
      <w:r>
        <w:rPr>
          <w:rFonts w:hint="eastAsia" w:cs="Times New Roman"/>
          <w:color w:val="auto"/>
          <w:lang w:eastAsia="zh-CN"/>
        </w:rPr>
        <w:t>地表</w:t>
      </w:r>
      <w:r>
        <w:rPr>
          <w:rFonts w:hint="default" w:ascii="Times New Roman" w:hAnsi="Times New Roman" w:cs="Times New Roman"/>
          <w:color w:val="auto"/>
        </w:rPr>
        <w:t>水环境现状评价：评价区域地表水体</w:t>
      </w:r>
      <w:r>
        <w:rPr>
          <w:rFonts w:hint="eastAsia" w:cs="Times New Roman"/>
          <w:color w:val="auto"/>
          <w:lang w:val="en-US" w:eastAsia="zh-CN"/>
        </w:rPr>
        <w:t>十五里河</w:t>
      </w:r>
      <w:r>
        <w:rPr>
          <w:rFonts w:hint="default" w:ascii="Times New Roman" w:hAnsi="Times New Roman" w:cs="Times New Roman"/>
          <w:color w:val="auto"/>
        </w:rPr>
        <w:t>满足《地表水环境质量标准》（GB3838-2002）IV类标准。</w:t>
      </w:r>
    </w:p>
    <w:p>
      <w:pPr>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default" w:ascii="Times New Roman" w:hAnsi="Times New Roman" w:cs="Times New Roman"/>
          <w:color w:val="auto"/>
        </w:rPr>
      </w:pPr>
      <w:r>
        <w:rPr>
          <w:rFonts w:hint="default" w:ascii="Times New Roman" w:hAnsi="Times New Roman" w:cs="Times New Roman"/>
          <w:color w:val="auto"/>
        </w:rPr>
        <w:t>（3）</w:t>
      </w:r>
      <w:r>
        <w:rPr>
          <w:rFonts w:hint="default" w:ascii="Times New Roman" w:hAnsi="Times New Roman" w:cs="Times New Roman"/>
          <w:color w:val="auto"/>
          <w:highlight w:val="none"/>
        </w:rPr>
        <w:t>声环境现状评价：</w:t>
      </w:r>
      <w:r>
        <w:rPr>
          <w:rFonts w:hint="default" w:ascii="Times New Roman" w:hAnsi="Times New Roman" w:cs="Times New Roman"/>
          <w:color w:val="auto"/>
          <w:szCs w:val="21"/>
          <w:highlight w:val="none"/>
        </w:rPr>
        <w:t>项目</w:t>
      </w:r>
      <w:r>
        <w:rPr>
          <w:rFonts w:hint="eastAsia" w:cs="Times New Roman"/>
          <w:color w:val="auto"/>
          <w:szCs w:val="21"/>
          <w:highlight w:val="none"/>
          <w:lang w:val="en-US" w:eastAsia="zh-CN"/>
        </w:rPr>
        <w:t>敏感目标</w:t>
      </w:r>
      <w:r>
        <w:rPr>
          <w:rFonts w:hint="default" w:ascii="Times New Roman" w:hAnsi="Times New Roman" w:cs="Times New Roman"/>
          <w:color w:val="auto"/>
          <w:szCs w:val="21"/>
          <w:highlight w:val="none"/>
        </w:rPr>
        <w:t>声环境能满足《声环境质量标准》（GB3096</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2008）2类区要求，西</w:t>
      </w:r>
      <w:r>
        <w:rPr>
          <w:rFonts w:hint="eastAsia" w:cs="Times New Roman"/>
          <w:color w:val="auto"/>
          <w:szCs w:val="21"/>
          <w:highlight w:val="none"/>
          <w:lang w:eastAsia="zh-CN"/>
        </w:rPr>
        <w:t>边</w:t>
      </w:r>
      <w:r>
        <w:rPr>
          <w:rFonts w:hint="default" w:ascii="Times New Roman" w:hAnsi="Times New Roman" w:cs="Times New Roman"/>
          <w:color w:val="auto"/>
          <w:szCs w:val="21"/>
          <w:highlight w:val="none"/>
        </w:rPr>
        <w:t>界</w:t>
      </w:r>
      <w:r>
        <w:rPr>
          <w:rFonts w:hint="eastAsia" w:cs="Times New Roman"/>
          <w:color w:val="auto"/>
          <w:szCs w:val="21"/>
          <w:highlight w:val="none"/>
          <w:lang w:eastAsia="zh-CN"/>
        </w:rPr>
        <w:t>（</w:t>
      </w:r>
      <w:r>
        <w:rPr>
          <w:rFonts w:hint="eastAsia"/>
          <w:color w:val="auto"/>
          <w:sz w:val="24"/>
          <w:szCs w:val="24"/>
          <w:lang w:val="en-US" w:eastAsia="zh-CN"/>
        </w:rPr>
        <w:t>临路35m±5m范围</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声环境能满足《声环境质量标准》（GB3096</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2008）中的</w:t>
      </w:r>
      <w:r>
        <w:rPr>
          <w:rFonts w:hint="eastAsia" w:ascii="Times New Roman" w:hAnsi="Times New Roman" w:cs="Times New Roman"/>
          <w:color w:val="auto"/>
          <w:szCs w:val="21"/>
          <w:highlight w:val="none"/>
          <w:lang w:val="en-US" w:eastAsia="zh-CN"/>
        </w:rPr>
        <w:t>4a</w:t>
      </w:r>
      <w:r>
        <w:rPr>
          <w:rFonts w:hint="default" w:ascii="Times New Roman" w:hAnsi="Times New Roman" w:cs="Times New Roman"/>
          <w:color w:val="auto"/>
          <w:szCs w:val="21"/>
          <w:highlight w:val="none"/>
        </w:rPr>
        <w:t>类标准。</w:t>
      </w:r>
    </w:p>
    <w:p>
      <w:pPr>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lang w:eastAsia="zh-CN"/>
        </w:rPr>
        <w:t>）地下水</w:t>
      </w:r>
      <w:r>
        <w:rPr>
          <w:rFonts w:hint="default" w:ascii="Times New Roman" w:hAnsi="Times New Roman" w:cs="Times New Roman"/>
          <w:color w:val="auto"/>
        </w:rPr>
        <w:t>环境现状评价：评价区域内地下水水质因子满足均满足《地下水质量标准》（GB/T14848-2017）中Ⅲ类水质标准。</w:t>
      </w:r>
    </w:p>
    <w:p>
      <w:pPr>
        <w:pageBreakBefore w:val="0"/>
        <w:widowControl w:val="0"/>
        <w:kinsoku/>
        <w:wordWrap/>
        <w:overflowPunct/>
        <w:topLinePunct w:val="0"/>
        <w:autoSpaceDE/>
        <w:autoSpaceDN/>
        <w:bidi w:val="0"/>
        <w:adjustRightInd/>
        <w:snapToGrid/>
        <w:spacing w:line="480" w:lineRule="exact"/>
        <w:ind w:right="0" w:rightChars="0"/>
        <w:jc w:val="both"/>
        <w:textAlignment w:val="auto"/>
        <w:rPr>
          <w:rFonts w:hint="eastAsia" w:ascii="Times New Roman" w:hAnsi="Times New Roman" w:eastAsia="宋体" w:cs="Times New Roman"/>
          <w:color w:val="auto"/>
          <w:lang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3"/>
        <w:numPr>
          <w:ilvl w:val="0"/>
          <w:numId w:val="0"/>
        </w:numPr>
        <w:ind w:leftChars="0"/>
        <w:jc w:val="center"/>
        <w:rPr>
          <w:rFonts w:hint="eastAsia"/>
          <w:color w:val="auto"/>
        </w:rPr>
      </w:pPr>
      <w:bookmarkStart w:id="79" w:name="_Toc30183"/>
      <w:r>
        <w:rPr>
          <w:rFonts w:hint="eastAsia"/>
          <w:color w:val="auto"/>
          <w:lang w:val="en-US" w:eastAsia="zh-CN"/>
        </w:rPr>
        <w:t>5</w:t>
      </w:r>
      <w:r>
        <w:rPr>
          <w:rFonts w:hint="eastAsia"/>
          <w:color w:val="auto"/>
        </w:rPr>
        <w:t>环境影响评价</w:t>
      </w:r>
      <w:bookmarkEnd w:id="79"/>
    </w:p>
    <w:p>
      <w:pPr>
        <w:pStyle w:val="4"/>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80" w:name="_Toc4088"/>
      <w:r>
        <w:rPr>
          <w:rFonts w:hint="eastAsia"/>
          <w:color w:val="auto"/>
          <w:lang w:val="en-US" w:eastAsia="zh-CN"/>
        </w:rPr>
        <w:t>5.1</w:t>
      </w:r>
      <w:r>
        <w:rPr>
          <w:rFonts w:hint="eastAsia"/>
          <w:color w:val="auto"/>
        </w:rPr>
        <w:t>施工期环境影响评价</w:t>
      </w:r>
      <w:bookmarkEnd w:id="80"/>
    </w:p>
    <w:p>
      <w:pPr>
        <w:spacing w:line="360" w:lineRule="auto"/>
        <w:rPr>
          <w:rFonts w:hint="eastAsia"/>
          <w:color w:val="auto"/>
        </w:rPr>
      </w:pPr>
      <w:r>
        <w:rPr>
          <w:rFonts w:hint="eastAsia"/>
          <w:color w:val="auto"/>
        </w:rPr>
        <w:t>项目建设周期预计2年左右。项目</w:t>
      </w:r>
      <w:r>
        <w:rPr>
          <w:rFonts w:hint="eastAsia"/>
          <w:bCs/>
          <w:color w:val="auto"/>
        </w:rPr>
        <w:t>主要建设</w:t>
      </w:r>
      <w:r>
        <w:rPr>
          <w:rFonts w:hint="eastAsia"/>
          <w:bCs/>
          <w:color w:val="auto"/>
          <w:lang w:eastAsia="zh-CN"/>
        </w:rPr>
        <w:t>综合医院（门急诊医技楼、妇幼保健中心大楼、综合住院部大楼、拓展住院部大楼、特殊门诊楼、老年保健中心）</w:t>
      </w:r>
      <w:r>
        <w:rPr>
          <w:rFonts w:hint="eastAsia" w:eastAsia="长城黑体"/>
          <w:color w:val="auto"/>
          <w:lang w:eastAsia="zh-CN"/>
        </w:rPr>
        <w:t>以及相关</w:t>
      </w:r>
      <w:r>
        <w:rPr>
          <w:rFonts w:eastAsia="长城黑体"/>
          <w:color w:val="auto"/>
        </w:rPr>
        <w:t>配套设施</w:t>
      </w:r>
      <w:r>
        <w:rPr>
          <w:rFonts w:hint="eastAsia"/>
          <w:color w:val="auto"/>
        </w:rPr>
        <w:t>。</w:t>
      </w:r>
    </w:p>
    <w:p>
      <w:pPr>
        <w:spacing w:line="360" w:lineRule="auto"/>
        <w:ind w:firstLine="480"/>
        <w:rPr>
          <w:rFonts w:hint="eastAsia"/>
          <w:color w:val="auto"/>
        </w:rPr>
      </w:pPr>
      <w:r>
        <w:rPr>
          <w:rFonts w:hint="eastAsia"/>
          <w:color w:val="auto"/>
        </w:rPr>
        <w:t>项目在建设期间，各项施工活动不可避免的将会对周围的环境造成破坏和产生影响，主要包括废气和粉尘、噪声、固体废物、废水等对周围环境的影响，而且以粉尘和施工噪声尤为明显。</w:t>
      </w:r>
    </w:p>
    <w:p>
      <w:pPr>
        <w:pStyle w:val="5"/>
        <w:numPr>
          <w:ilvl w:val="0"/>
          <w:numId w:val="0"/>
        </w:numPr>
        <w:spacing w:before="120"/>
        <w:ind w:leftChars="0"/>
        <w:rPr>
          <w:rFonts w:hint="eastAsia"/>
          <w:color w:val="auto"/>
        </w:rPr>
      </w:pPr>
      <w:r>
        <w:rPr>
          <w:rFonts w:hint="eastAsia"/>
          <w:color w:val="auto"/>
          <w:lang w:val="en-US" w:eastAsia="zh-CN"/>
        </w:rPr>
        <w:t>5.1.1</w:t>
      </w:r>
      <w:r>
        <w:rPr>
          <w:rFonts w:hint="eastAsia"/>
          <w:color w:val="auto"/>
        </w:rPr>
        <w:t>施工期大气环境影响分析</w:t>
      </w:r>
    </w:p>
    <w:p>
      <w:pPr>
        <w:ind w:firstLine="480"/>
        <w:rPr>
          <w:rFonts w:hint="eastAsia"/>
          <w:color w:val="auto"/>
        </w:rPr>
      </w:pPr>
      <w:r>
        <w:rPr>
          <w:rFonts w:hint="eastAsia"/>
          <w:color w:val="auto"/>
        </w:rPr>
        <w:t>建设项目在其施工建设过程中，大气污染物主要有：</w:t>
      </w:r>
    </w:p>
    <w:p>
      <w:pPr>
        <w:ind w:firstLine="480"/>
        <w:rPr>
          <w:rFonts w:hint="eastAsia"/>
          <w:b/>
          <w:bCs/>
          <w:color w:val="auto"/>
        </w:rPr>
      </w:pPr>
      <w:r>
        <w:rPr>
          <w:rFonts w:hint="eastAsia"/>
          <w:b/>
          <w:bCs/>
          <w:color w:val="auto"/>
        </w:rPr>
        <w:t>1、粉尘及扬尘</w:t>
      </w:r>
    </w:p>
    <w:p>
      <w:pPr>
        <w:ind w:firstLine="480"/>
        <w:rPr>
          <w:rFonts w:hint="eastAsia"/>
          <w:color w:val="auto"/>
        </w:rPr>
      </w:pPr>
      <w:r>
        <w:rPr>
          <w:rFonts w:hint="eastAsia"/>
          <w:color w:val="auto"/>
        </w:rPr>
        <w:t>在施工过程中，粉尘污染主要来源于：</w:t>
      </w:r>
    </w:p>
    <w:p>
      <w:pPr>
        <w:ind w:firstLine="480"/>
        <w:rPr>
          <w:rFonts w:hint="eastAsia"/>
          <w:color w:val="auto"/>
          <w:lang w:eastAsia="zh-CN"/>
        </w:rPr>
      </w:pPr>
      <w:r>
        <w:rPr>
          <w:rFonts w:hint="eastAsia"/>
          <w:color w:val="auto"/>
        </w:rPr>
        <w:t>①建筑材料如水泥、白灰、砂子等在其装卸、运输、堆放过程中，因风力作用将产生扬尘污染</w:t>
      </w:r>
      <w:r>
        <w:rPr>
          <w:rFonts w:hint="eastAsia" w:cs="宋体"/>
          <w:color w:val="auto"/>
          <w:lang w:eastAsia="zh-CN"/>
        </w:rPr>
        <w:t>；</w:t>
      </w:r>
      <w:r>
        <w:rPr>
          <w:rFonts w:hint="eastAsia"/>
          <w:color w:val="auto"/>
        </w:rPr>
        <w:t>②运输车辆往来将造成地面扬尘</w:t>
      </w:r>
      <w:r>
        <w:rPr>
          <w:rFonts w:hint="eastAsia" w:cs="宋体"/>
          <w:color w:val="auto"/>
          <w:lang w:eastAsia="zh-CN"/>
        </w:rPr>
        <w:t>；</w:t>
      </w:r>
      <w:r>
        <w:rPr>
          <w:rFonts w:hint="eastAsia"/>
          <w:color w:val="auto"/>
        </w:rPr>
        <w:t>③</w:t>
      </w:r>
      <w:r>
        <w:rPr>
          <w:color w:val="auto"/>
        </w:rPr>
        <w:t>施工垃圾在其堆放和清运过程中将产生扬尘</w:t>
      </w:r>
      <w:r>
        <w:rPr>
          <w:rFonts w:hint="eastAsia"/>
          <w:color w:val="auto"/>
          <w:lang w:eastAsia="zh-CN"/>
        </w:rPr>
        <w:t>。</w:t>
      </w:r>
    </w:p>
    <w:p>
      <w:pPr>
        <w:ind w:firstLine="480"/>
        <w:rPr>
          <w:color w:val="auto"/>
        </w:rPr>
      </w:pPr>
      <w:r>
        <w:rPr>
          <w:color w:val="auto"/>
        </w:rPr>
        <w:t>施工期间产生的粉尘污染主要决定于施工作业方式、材料的堆放及风力等因素，其中受风力因素的影响最大。施工工地的地面粉尘，在环境风速足够大时（大于颗粒土沙的起动速度时）就产生了扬尘，其源强大小与颗粒物的粒径大小、比重以及环境的风速、湿度等因素有关，风速越大，颗粒越小，土沙的含水率越小，扬尘的产生量就越大。扬尘属于面源，排放高度低。</w:t>
      </w:r>
    </w:p>
    <w:p>
      <w:pPr>
        <w:ind w:firstLine="480"/>
        <w:rPr>
          <w:color w:val="auto"/>
        </w:rPr>
      </w:pPr>
      <w:r>
        <w:rPr>
          <w:color w:val="auto"/>
        </w:rPr>
        <w:t>施工场地的风力扬尘可按堆场起尘的经验公式计算：</w:t>
      </w:r>
    </w:p>
    <w:p>
      <w:pPr>
        <w:spacing w:line="440" w:lineRule="exact"/>
        <w:ind w:firstLine="480"/>
        <w:jc w:val="both"/>
        <w:rPr>
          <w:color w:val="auto"/>
        </w:rPr>
      </w:pPr>
      <w:r>
        <w:rPr>
          <w:color w:val="auto"/>
        </w:rPr>
        <w:drawing>
          <wp:anchor distT="0" distB="0" distL="114300" distR="114300" simplePos="0" relativeHeight="251662336" behindDoc="0" locked="0" layoutInCell="1" allowOverlap="1">
            <wp:simplePos x="0" y="0"/>
            <wp:positionH relativeFrom="column">
              <wp:posOffset>1913890</wp:posOffset>
            </wp:positionH>
            <wp:positionV relativeFrom="paragraph">
              <wp:posOffset>29210</wp:posOffset>
            </wp:positionV>
            <wp:extent cx="1733550" cy="259715"/>
            <wp:effectExtent l="0" t="0" r="0" b="0"/>
            <wp:wrapNone/>
            <wp:docPr id="9" name="图片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709"/>
                    <pic:cNvPicPr>
                      <a:picLocks noChangeAspect="1"/>
                    </pic:cNvPicPr>
                  </pic:nvPicPr>
                  <pic:blipFill>
                    <a:blip r:embed="rId38"/>
                    <a:stretch>
                      <a:fillRect/>
                    </a:stretch>
                  </pic:blipFill>
                  <pic:spPr>
                    <a:xfrm>
                      <a:off x="0" y="0"/>
                      <a:ext cx="1733550" cy="259715"/>
                    </a:xfrm>
                    <a:prstGeom prst="rect">
                      <a:avLst/>
                    </a:prstGeom>
                    <a:noFill/>
                    <a:ln>
                      <a:noFill/>
                    </a:ln>
                  </pic:spPr>
                </pic:pic>
              </a:graphicData>
            </a:graphic>
          </wp:anchor>
        </w:drawing>
      </w:r>
    </w:p>
    <w:p>
      <w:pPr>
        <w:ind w:firstLine="480"/>
        <w:rPr>
          <w:rFonts w:hint="eastAsia" w:eastAsia="宋体"/>
          <w:color w:val="auto"/>
          <w:lang w:eastAsia="zh-CN"/>
        </w:rPr>
      </w:pPr>
      <w:r>
        <w:rPr>
          <w:color w:val="auto"/>
        </w:rPr>
        <w:t>其中：</w:t>
      </w:r>
      <w:r>
        <w:rPr>
          <w:color w:val="auto"/>
          <w:position w:val="-10"/>
        </w:rPr>
        <w:object>
          <v:shape id="_x0000_i1027" o:spt="75" type="#_x0000_t75" style="height:16pt;width:12pt;" o:ole="t" filled="f" o:preferrelative="t" stroked="f" coordsize="21600,21600">
            <v:path/>
            <v:fill on="f" focussize="0,0"/>
            <v:stroke on="f"/>
            <v:imagedata r:id="rId40" o:title=""/>
            <o:lock v:ext="edit" grouping="f" rotation="f" text="f" aspectratio="t"/>
            <w10:wrap type="none"/>
            <w10:anchorlock/>
          </v:shape>
          <o:OLEObject Type="Embed" ProgID="Equation.3" ShapeID="_x0000_i1027" DrawAspect="Content" ObjectID="_1468075727" r:id="rId39">
            <o:LockedField>false</o:LockedField>
          </o:OLEObject>
        </w:object>
      </w:r>
      <w:r>
        <w:rPr>
          <w:color w:val="auto"/>
        </w:rPr>
        <w:t>——起尘量，kg/吨·年</w:t>
      </w:r>
      <w:r>
        <w:rPr>
          <w:rFonts w:hint="eastAsia" w:cs="宋体"/>
          <w:color w:val="auto"/>
          <w:lang w:eastAsia="zh-CN"/>
        </w:rPr>
        <w:t>；</w:t>
      </w:r>
    </w:p>
    <w:p>
      <w:pPr>
        <w:ind w:firstLine="1320" w:firstLineChars="550"/>
        <w:rPr>
          <w:rFonts w:hint="eastAsia" w:eastAsia="宋体"/>
          <w:color w:val="auto"/>
          <w:lang w:eastAsia="zh-CN"/>
        </w:rPr>
      </w:pPr>
      <w:r>
        <w:rPr>
          <w:color w:val="auto"/>
          <w:position w:val="-12"/>
        </w:rPr>
        <w:object>
          <v:shape id="_x0000_i1028" o:spt="75" type="#_x0000_t75" style="height:18pt;width:17pt;" o:ole="t" filled="f" o:preferrelative="t" stroked="f" coordsize="21600,21600">
            <v:path/>
            <v:fill on="f" focussize="0,0"/>
            <v:stroke on="f"/>
            <v:imagedata r:id="rId42" o:title=""/>
            <o:lock v:ext="edit" grouping="f" rotation="f" text="f" aspectratio="t"/>
            <w10:wrap type="none"/>
            <w10:anchorlock/>
          </v:shape>
          <o:OLEObject Type="Embed" ProgID="Equation.3" ShapeID="_x0000_i1028" DrawAspect="Content" ObjectID="_1468075728" r:id="rId41">
            <o:LockedField>false</o:LockedField>
          </o:OLEObject>
        </w:object>
      </w:r>
      <w:r>
        <w:rPr>
          <w:color w:val="auto"/>
        </w:rPr>
        <w:t>——距地面50m处风速，m/s</w:t>
      </w:r>
      <w:r>
        <w:rPr>
          <w:rFonts w:hint="eastAsia" w:cs="宋体"/>
          <w:color w:val="auto"/>
          <w:lang w:eastAsia="zh-CN"/>
        </w:rPr>
        <w:t>；</w:t>
      </w:r>
    </w:p>
    <w:p>
      <w:pPr>
        <w:ind w:firstLine="1320" w:firstLineChars="550"/>
        <w:rPr>
          <w:rFonts w:hint="eastAsia" w:eastAsia="宋体"/>
          <w:color w:val="auto"/>
          <w:lang w:eastAsia="zh-CN"/>
        </w:rPr>
      </w:pPr>
      <w:r>
        <w:rPr>
          <w:color w:val="auto"/>
          <w:position w:val="-12"/>
        </w:rPr>
        <w:object>
          <v:shape id="_x0000_i1029" o:spt="75" type="#_x0000_t75" style="height:18.7pt;width:14.15pt;" o:ole="t" filled="f" o:preferrelative="t" stroked="f" coordsize="21600,21600">
            <v:path/>
            <v:fill on="f" focussize="0,0"/>
            <v:stroke on="f"/>
            <v:imagedata r:id="rId44" o:title=""/>
            <o:lock v:ext="edit" grouping="f" rotation="f" text="f" aspectratio="t"/>
            <w10:wrap type="none"/>
            <w10:anchorlock/>
          </v:shape>
          <o:OLEObject Type="Embed" ProgID="Equation.3" ShapeID="_x0000_i1029" DrawAspect="Content" ObjectID="_1468075729" r:id="rId43">
            <o:LockedField>false</o:LockedField>
          </o:OLEObject>
        </w:object>
      </w:r>
      <w:r>
        <w:rPr>
          <w:color w:val="auto"/>
        </w:rPr>
        <w:t>——起尘风速，m/s</w:t>
      </w:r>
      <w:r>
        <w:rPr>
          <w:rFonts w:hint="eastAsia" w:cs="宋体"/>
          <w:color w:val="auto"/>
          <w:lang w:eastAsia="zh-CN"/>
        </w:rPr>
        <w:t>；</w:t>
      </w:r>
    </w:p>
    <w:p>
      <w:pPr>
        <w:ind w:firstLine="1320" w:firstLineChars="550"/>
        <w:rPr>
          <w:color w:val="auto"/>
        </w:rPr>
      </w:pPr>
      <w:r>
        <w:rPr>
          <w:color w:val="auto"/>
          <w:position w:val="-6"/>
        </w:rPr>
        <w:object>
          <v:shape id="_x0000_i1030" o:spt="75" type="#_x0000_t75" style="height:13.95pt;width:13.95pt;" o:ole="t" filled="f" o:preferrelative="t" stroked="f" coordsize="21600,21600">
            <v:path/>
            <v:fill on="f" focussize="0,0"/>
            <v:stroke on="f"/>
            <v:imagedata r:id="rId46" o:title=""/>
            <o:lock v:ext="edit" grouping="f" rotation="f" text="f" aspectratio="t"/>
            <w10:wrap type="none"/>
            <w10:anchorlock/>
          </v:shape>
          <o:OLEObject Type="Embed" ProgID="Equation.3" ShapeID="_x0000_i1030" DrawAspect="Content" ObjectID="_1468075730" r:id="rId45">
            <o:LockedField>false</o:LockedField>
          </o:OLEObject>
        </w:object>
      </w:r>
      <w:r>
        <w:rPr>
          <w:color w:val="auto"/>
        </w:rPr>
        <w:t>——尘粒的含水率，%。</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由上述公式可知，</w:t>
      </w:r>
      <w:r>
        <w:rPr>
          <w:color w:val="auto"/>
          <w:position w:val="-12"/>
        </w:rPr>
        <w:object>
          <v:shape id="_x0000_i1031" o:spt="75" type="#_x0000_t75" style="height:18.7pt;width:14.15pt;" o:ole="t" filled="f" o:preferrelative="t" stroked="f" coordsize="21600,21600">
            <v:path/>
            <v:fill on="f" focussize="0,0"/>
            <v:stroke on="f"/>
            <v:imagedata r:id="rId48" o:title=""/>
            <o:lock v:ext="edit" grouping="f" rotation="f" text="f" aspectratio="t"/>
            <w10:wrap type="none"/>
            <w10:anchorlock/>
          </v:shape>
          <o:OLEObject Type="Embed" ProgID="Equation.3" ShapeID="_x0000_i1031" DrawAspect="Content" ObjectID="_1468075731" r:id="rId47">
            <o:LockedField>false</o:LockedField>
          </o:OLEObject>
        </w:object>
      </w:r>
      <w:r>
        <w:rPr>
          <w:color w:val="auto"/>
        </w:rPr>
        <w:t>与粒径和含水率有关。</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尘粒在空气中的传播扩散情况与风速等气象条件有关，也与尘粒本身的沉降速度有关。以煤尘为例，不同粒径的尘粒的沉降速度见表</w:t>
      </w:r>
      <w:r>
        <w:rPr>
          <w:rFonts w:hint="eastAsia"/>
          <w:color w:val="auto"/>
          <w:lang w:val="en-US" w:eastAsia="zh-CN"/>
        </w:rPr>
        <w:t>5</w:t>
      </w:r>
      <w:r>
        <w:rPr>
          <w:rFonts w:hint="eastAsia"/>
          <w:color w:val="auto"/>
        </w:rPr>
        <w:t>.1-1</w:t>
      </w:r>
      <w:r>
        <w:rPr>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5</w:t>
      </w:r>
      <w:r>
        <w:rPr>
          <w:rFonts w:hint="eastAsia" w:hAnsi="宋体"/>
          <w:b/>
          <w:color w:val="auto"/>
          <w:sz w:val="21"/>
          <w:szCs w:val="21"/>
        </w:rPr>
        <w:t>.1-1</w:t>
      </w:r>
      <w:r>
        <w:rPr>
          <w:rFonts w:hAnsi="宋体"/>
          <w:b/>
          <w:color w:val="auto"/>
          <w:sz w:val="21"/>
          <w:szCs w:val="21"/>
        </w:rPr>
        <w:t xml:space="preserve">  不同粒径尘粒的沉降速度</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5"/>
        <w:gridCol w:w="1036"/>
        <w:gridCol w:w="1036"/>
        <w:gridCol w:w="1036"/>
        <w:gridCol w:w="1035"/>
        <w:gridCol w:w="1035"/>
        <w:gridCol w:w="1035"/>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粒径，μm</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30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40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60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沉降速度，m/s</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0.003</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0.012</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0.027</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0.048</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0.075</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0.108</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粒径，μm</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80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90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100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200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沉降速度，m/s</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0.158</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0.170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0.182</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0.239</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0.804</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1.005</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粒径，μm</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450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550</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650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750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850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950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0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沉降速度，m/s</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2.211</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2.614</w:t>
            </w:r>
          </w:p>
        </w:tc>
        <w:tc>
          <w:tcPr>
            <w:tcW w:w="5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bookmarkStart w:id="81" w:name="_Toc184639996"/>
            <w:bookmarkStart w:id="82" w:name="_Toc184640453"/>
            <w:bookmarkStart w:id="83" w:name="_Toc184640271"/>
            <w:r>
              <w:rPr>
                <w:color w:val="auto"/>
                <w:sz w:val="21"/>
                <w:szCs w:val="21"/>
              </w:rPr>
              <w:t>3.016</w:t>
            </w:r>
            <w:bookmarkEnd w:id="81"/>
            <w:bookmarkEnd w:id="82"/>
            <w:bookmarkEnd w:id="83"/>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3.418</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3.820</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4.222</w:t>
            </w:r>
          </w:p>
        </w:tc>
        <w:tc>
          <w:tcPr>
            <w:tcW w:w="5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4.624</w:t>
            </w:r>
          </w:p>
        </w:tc>
      </w:tr>
    </w:tbl>
    <w:p>
      <w:pPr>
        <w:ind w:firstLine="480"/>
        <w:rPr>
          <w:color w:val="auto"/>
        </w:rPr>
      </w:pPr>
      <w:r>
        <w:rPr>
          <w:color w:val="auto"/>
        </w:rPr>
        <w:t>由表可知，尘粒的沉降速度随粒径的增大而迅速增大。当粒径为250μm时，沉降速度为1.005m/s，因此可以认为当尘粒大于250μm时，主要影响范围在扬尘点下风向近距离范围内，而真正对外环境产生影响的是一些微小尘粒。根据现场的气候情况不同，其影响范围也有所不同。</w:t>
      </w:r>
    </w:p>
    <w:p>
      <w:pPr>
        <w:ind w:firstLine="480"/>
        <w:rPr>
          <w:color w:val="auto"/>
        </w:rPr>
      </w:pPr>
      <w:r>
        <w:rPr>
          <w:color w:val="auto"/>
        </w:rPr>
        <w:t>抑制扬尘的一个简洁有效的措施是洒水。如果在施工期内对车辆行驶的路面实施洒水抑尘，每天洒水4-5次，可使扬尘减少70%左右。表</w:t>
      </w:r>
      <w:r>
        <w:rPr>
          <w:rFonts w:hint="eastAsia"/>
          <w:color w:val="auto"/>
          <w:lang w:val="en-US" w:eastAsia="zh-CN"/>
        </w:rPr>
        <w:t>6</w:t>
      </w:r>
      <w:r>
        <w:rPr>
          <w:rFonts w:hint="eastAsia"/>
          <w:color w:val="auto"/>
        </w:rPr>
        <w:t>.1-2</w:t>
      </w:r>
      <w:r>
        <w:rPr>
          <w:color w:val="auto"/>
        </w:rPr>
        <w:t>为施工场地洒水抑尘的试验结果。由该表数据可看出对施工场地实施每天洒水4-5次进行抑尘，可有效地控制施工扬尘，并可将TSP污染距离缩小到20-50m范围。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5</w:t>
      </w:r>
      <w:r>
        <w:rPr>
          <w:rFonts w:hint="eastAsia" w:hAnsi="宋体"/>
          <w:b/>
          <w:color w:val="auto"/>
          <w:sz w:val="21"/>
          <w:szCs w:val="21"/>
        </w:rPr>
        <w:t>.1-2</w:t>
      </w:r>
      <w:r>
        <w:rPr>
          <w:rFonts w:hAnsi="宋体"/>
          <w:b/>
          <w:color w:val="auto"/>
          <w:sz w:val="21"/>
          <w:szCs w:val="21"/>
        </w:rPr>
        <w:t xml:space="preserve">  施工场地洒水抑尘试验结果 单位：mg/m</w:t>
      </w:r>
      <w:r>
        <w:rPr>
          <w:rFonts w:hAnsi="宋体"/>
          <w:b/>
          <w:color w:val="auto"/>
          <w:sz w:val="21"/>
          <w:szCs w:val="21"/>
          <w:vertAlign w:val="superscript"/>
        </w:rPr>
        <w:t>3</w:t>
      </w:r>
    </w:p>
    <w:tbl>
      <w:tblPr>
        <w:tblStyle w:val="48"/>
        <w:tblW w:w="0" w:type="auto"/>
        <w:jc w:val="center"/>
        <w:tblLayout w:type="fixed"/>
        <w:tblCellMar>
          <w:top w:w="0" w:type="dxa"/>
          <w:left w:w="108" w:type="dxa"/>
          <w:bottom w:w="0" w:type="dxa"/>
          <w:right w:w="108" w:type="dxa"/>
        </w:tblCellMar>
      </w:tblPr>
      <w:tblGrid>
        <w:gridCol w:w="2187"/>
        <w:gridCol w:w="1387"/>
        <w:gridCol w:w="1189"/>
        <w:gridCol w:w="1385"/>
        <w:gridCol w:w="1189"/>
        <w:gridCol w:w="1191"/>
      </w:tblGrid>
      <w:tr>
        <w:tblPrEx>
          <w:tblCellMar>
            <w:top w:w="0" w:type="dxa"/>
            <w:left w:w="108" w:type="dxa"/>
            <w:bottom w:w="0" w:type="dxa"/>
            <w:right w:w="108" w:type="dxa"/>
          </w:tblCellMar>
        </w:tblPrEx>
        <w:trPr>
          <w:trHeight w:val="363" w:hRule="atLeast"/>
          <w:jc w:val="center"/>
        </w:trPr>
        <w:tc>
          <w:tcPr>
            <w:tcW w:w="3574" w:type="dxa"/>
            <w:gridSpan w:val="2"/>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距离</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5m</w:t>
            </w:r>
          </w:p>
        </w:tc>
        <w:tc>
          <w:tcPr>
            <w:tcW w:w="1385"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20m</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50m</w:t>
            </w:r>
          </w:p>
        </w:tc>
        <w:tc>
          <w:tcPr>
            <w:tcW w:w="1191"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100m</w:t>
            </w:r>
          </w:p>
        </w:tc>
      </w:tr>
      <w:tr>
        <w:tblPrEx>
          <w:tblCellMar>
            <w:top w:w="0" w:type="dxa"/>
            <w:left w:w="108" w:type="dxa"/>
            <w:bottom w:w="0" w:type="dxa"/>
            <w:right w:w="108" w:type="dxa"/>
          </w:tblCellMar>
        </w:tblPrEx>
        <w:trPr>
          <w:trHeight w:val="350" w:hRule="atLeast"/>
          <w:jc w:val="center"/>
        </w:trPr>
        <w:tc>
          <w:tcPr>
            <w:tcW w:w="2187"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TSP小时平均浓度</w:t>
            </w:r>
          </w:p>
        </w:tc>
        <w:tc>
          <w:tcPr>
            <w:tcW w:w="1387"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不洒水</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10.14</w:t>
            </w:r>
          </w:p>
        </w:tc>
        <w:tc>
          <w:tcPr>
            <w:tcW w:w="1385"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2.89</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1.15</w:t>
            </w:r>
          </w:p>
        </w:tc>
        <w:tc>
          <w:tcPr>
            <w:tcW w:w="1191"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0.86</w:t>
            </w:r>
          </w:p>
        </w:tc>
      </w:tr>
      <w:tr>
        <w:tblPrEx>
          <w:tblCellMar>
            <w:top w:w="0" w:type="dxa"/>
            <w:left w:w="108" w:type="dxa"/>
            <w:bottom w:w="0" w:type="dxa"/>
            <w:right w:w="108" w:type="dxa"/>
          </w:tblCellMar>
        </w:tblPrEx>
        <w:trPr>
          <w:trHeight w:val="353" w:hRule="atLeast"/>
          <w:jc w:val="center"/>
        </w:trPr>
        <w:tc>
          <w:tcPr>
            <w:tcW w:w="2187"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p>
        </w:tc>
        <w:tc>
          <w:tcPr>
            <w:tcW w:w="1387"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洒水</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2.01</w:t>
            </w:r>
          </w:p>
        </w:tc>
        <w:tc>
          <w:tcPr>
            <w:tcW w:w="1385"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1.40</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0.74</w:t>
            </w:r>
          </w:p>
        </w:tc>
        <w:tc>
          <w:tcPr>
            <w:tcW w:w="1191" w:type="dxa"/>
            <w:tcBorders>
              <w:top w:val="single" w:color="000000" w:sz="4" w:space="0"/>
              <w:left w:val="single" w:color="000000" w:sz="4" w:space="0"/>
              <w:bottom w:val="single" w:color="000000" w:sz="4" w:space="0"/>
              <w:right w:val="single" w:color="000000" w:sz="4" w:space="0"/>
            </w:tcBorders>
            <w:noWrap w:val="0"/>
            <w:vAlign w:val="center"/>
          </w:tcPr>
          <w:p>
            <w:pPr>
              <w:spacing w:line="380" w:lineRule="exact"/>
              <w:ind w:firstLine="0" w:firstLineChars="0"/>
              <w:jc w:val="center"/>
              <w:rPr>
                <w:color w:val="auto"/>
                <w:sz w:val="21"/>
                <w:szCs w:val="21"/>
              </w:rPr>
            </w:pPr>
            <w:r>
              <w:rPr>
                <w:color w:val="auto"/>
                <w:sz w:val="21"/>
                <w:szCs w:val="21"/>
              </w:rPr>
              <w:t>0.60</w:t>
            </w:r>
          </w:p>
        </w:tc>
      </w:tr>
    </w:tbl>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因此</w:t>
      </w:r>
      <w:r>
        <w:rPr>
          <w:rFonts w:hint="eastAsia"/>
          <w:color w:val="auto"/>
          <w:lang w:eastAsia="zh-CN"/>
        </w:rPr>
        <w:t>，</w:t>
      </w:r>
      <w:r>
        <w:rPr>
          <w:color w:val="auto"/>
        </w:rPr>
        <w:t>本工程在建设期应对运输的道路及时清扫和浇水，并加强施工管理，配置工地细目滞尘防护网，采用商品混凝土建房，同时必须采用封闭车辆运输，以便最大程度减少扬尘对周围大气环境的影响。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施工扬尘的另一种重要产生方式是建筑材料的露天堆放和搅拌作业，这类扬尘的主要特点是受作业时风速大小的影响显著。因此，禁止在大风天气时进行此类作业以及减少建筑材料的露天堆放是抑制这类扬尘的一种很有效的手段。</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为了减少施工大气污染对周围环境的影响，本项目必须随时对道路进行洒水抑尘，建议每天洒水4～5次。此外为了控制扬尘对周围环境和环境敏感目标的影响，建设单位应加强对施工现场可能产生扬尘的每个环节的严格管理。</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在此基础上，施工扬尘对区域大气环境影响能控制在地块20-50m范围内，对区域大气环境影响较小。</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lang w:val="en-US" w:eastAsia="zh-CN"/>
        </w:rPr>
        <w:t>2、</w:t>
      </w:r>
      <w:r>
        <w:rPr>
          <w:rFonts w:hint="eastAsia"/>
          <w:color w:val="auto"/>
        </w:rPr>
        <w:t>机械废气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施工机械和运输车辆排放的尾气中含有一氧化碳(CO)、氮氧化物(主要以NO和NO</w:t>
      </w:r>
      <w:r>
        <w:rPr>
          <w:color w:val="auto"/>
          <w:vertAlign w:val="subscript"/>
        </w:rPr>
        <w:t>2</w:t>
      </w:r>
      <w:r>
        <w:rPr>
          <w:color w:val="auto"/>
        </w:rPr>
        <w:t>形式存在)和总烃(THC)等污染物。施工期间汽车尾气排放对</w:t>
      </w:r>
      <w:r>
        <w:rPr>
          <w:rFonts w:hint="eastAsia"/>
          <w:color w:val="auto"/>
        </w:rPr>
        <w:t>区域</w:t>
      </w:r>
      <w:r>
        <w:rPr>
          <w:color w:val="auto"/>
        </w:rPr>
        <w:t>环境空气质量有轻微的影响</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lang w:val="en-US" w:eastAsia="zh-CN"/>
        </w:rPr>
        <w:t>3、</w:t>
      </w:r>
      <w:r>
        <w:rPr>
          <w:rFonts w:hint="eastAsia"/>
          <w:color w:val="auto"/>
        </w:rPr>
        <w:t>装修废气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建筑物装修阶段，室内环境污染控制应遵守装修工程施工规范，符合《民用建筑工程室内环境污染控制规范》的有关规定，同时设计、施工中尽量采用底毒、底污染底装修材料。</w:t>
      </w:r>
    </w:p>
    <w:p>
      <w:pPr>
        <w:keepNext w:val="0"/>
        <w:keepLines w:val="0"/>
        <w:pageBreakBefore w:val="0"/>
        <w:widowControl w:val="0"/>
        <w:kinsoku/>
        <w:wordWrap/>
        <w:overflowPunct/>
        <w:topLinePunct w:val="0"/>
        <w:autoSpaceDE/>
        <w:autoSpaceDN/>
        <w:bidi w:val="0"/>
        <w:adjustRightInd/>
        <w:snapToGrid/>
        <w:spacing w:line="240" w:lineRule="auto"/>
        <w:ind w:firstLine="422"/>
        <w:jc w:val="center"/>
        <w:textAlignment w:val="auto"/>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5</w:t>
      </w:r>
      <w:r>
        <w:rPr>
          <w:rFonts w:hint="eastAsia" w:hAnsi="宋体"/>
          <w:b/>
          <w:color w:val="auto"/>
          <w:sz w:val="21"/>
          <w:szCs w:val="21"/>
        </w:rPr>
        <w:t>.1-3</w:t>
      </w:r>
      <w:r>
        <w:rPr>
          <w:rFonts w:hAnsi="宋体"/>
          <w:b/>
          <w:color w:val="auto"/>
          <w:sz w:val="21"/>
          <w:szCs w:val="21"/>
        </w:rPr>
        <w:t xml:space="preserve">  室内环境污染物浓度限值表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6"/>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456"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室内环境污染物</w:t>
            </w:r>
          </w:p>
        </w:tc>
        <w:tc>
          <w:tcPr>
            <w:tcW w:w="2072"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6456"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甲醛（</w:t>
            </w:r>
            <w:r>
              <w:rPr>
                <w:rFonts w:eastAsia="宋体"/>
                <w:color w:val="auto"/>
                <w:szCs w:val="21"/>
              </w:rPr>
              <w:t>mg/m</w:t>
            </w:r>
            <w:r>
              <w:rPr>
                <w:rFonts w:eastAsia="宋体"/>
                <w:color w:val="auto"/>
                <w:szCs w:val="21"/>
                <w:vertAlign w:val="superscript"/>
              </w:rPr>
              <w:t>3</w:t>
            </w:r>
            <w:r>
              <w:rPr>
                <w:rFonts w:hAnsi="宋体" w:eastAsia="宋体"/>
                <w:color w:val="auto"/>
                <w:szCs w:val="21"/>
              </w:rPr>
              <w:t>）</w:t>
            </w:r>
          </w:p>
        </w:tc>
        <w:tc>
          <w:tcPr>
            <w:tcW w:w="2072"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eastAsia="宋体"/>
                <w:color w:val="auto"/>
                <w:szCs w:val="21"/>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456"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苯（</w:t>
            </w:r>
            <w:r>
              <w:rPr>
                <w:rFonts w:eastAsia="宋体"/>
                <w:color w:val="auto"/>
                <w:szCs w:val="21"/>
              </w:rPr>
              <w:t>mg/m</w:t>
            </w:r>
            <w:r>
              <w:rPr>
                <w:rFonts w:eastAsia="宋体"/>
                <w:color w:val="auto"/>
                <w:szCs w:val="21"/>
                <w:vertAlign w:val="superscript"/>
              </w:rPr>
              <w:t>3</w:t>
            </w:r>
            <w:r>
              <w:rPr>
                <w:rFonts w:hAnsi="宋体" w:eastAsia="宋体"/>
                <w:color w:val="auto"/>
                <w:szCs w:val="21"/>
              </w:rPr>
              <w:t>）</w:t>
            </w:r>
          </w:p>
        </w:tc>
        <w:tc>
          <w:tcPr>
            <w:tcW w:w="2072"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eastAsia="宋体"/>
                <w:color w:val="auto"/>
                <w:szCs w:val="21"/>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456"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氨（</w:t>
            </w:r>
            <w:r>
              <w:rPr>
                <w:rFonts w:eastAsia="宋体"/>
                <w:color w:val="auto"/>
                <w:szCs w:val="21"/>
              </w:rPr>
              <w:t>mg/m</w:t>
            </w:r>
            <w:r>
              <w:rPr>
                <w:rFonts w:eastAsia="宋体"/>
                <w:color w:val="auto"/>
                <w:szCs w:val="21"/>
                <w:vertAlign w:val="superscript"/>
              </w:rPr>
              <w:t>3</w:t>
            </w:r>
            <w:r>
              <w:rPr>
                <w:rFonts w:hAnsi="宋体" w:eastAsia="宋体"/>
                <w:color w:val="auto"/>
                <w:szCs w:val="21"/>
              </w:rPr>
              <w:t>）</w:t>
            </w:r>
          </w:p>
        </w:tc>
        <w:tc>
          <w:tcPr>
            <w:tcW w:w="2072"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eastAsia="宋体"/>
                <w:color w:val="auto"/>
                <w:szCs w:val="21"/>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456"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hAnsi="宋体" w:eastAsia="宋体"/>
                <w:color w:val="auto"/>
                <w:szCs w:val="21"/>
              </w:rPr>
              <w:t>总挥发性有机物</w:t>
            </w:r>
            <w:r>
              <w:rPr>
                <w:rFonts w:eastAsia="宋体"/>
                <w:color w:val="auto"/>
                <w:szCs w:val="21"/>
              </w:rPr>
              <w:t>TVOC</w:t>
            </w:r>
            <w:r>
              <w:rPr>
                <w:rFonts w:hAnsi="宋体" w:eastAsia="宋体"/>
                <w:color w:val="auto"/>
                <w:szCs w:val="21"/>
              </w:rPr>
              <w:t>（</w:t>
            </w:r>
            <w:r>
              <w:rPr>
                <w:rFonts w:eastAsia="宋体"/>
                <w:color w:val="auto"/>
                <w:szCs w:val="21"/>
              </w:rPr>
              <w:t>mg/m</w:t>
            </w:r>
            <w:r>
              <w:rPr>
                <w:rFonts w:eastAsia="宋体"/>
                <w:color w:val="auto"/>
                <w:szCs w:val="21"/>
                <w:vertAlign w:val="superscript"/>
              </w:rPr>
              <w:t>3</w:t>
            </w:r>
            <w:r>
              <w:rPr>
                <w:rFonts w:hAnsi="宋体" w:eastAsia="宋体"/>
                <w:color w:val="auto"/>
                <w:szCs w:val="21"/>
              </w:rPr>
              <w:t>）</w:t>
            </w:r>
          </w:p>
        </w:tc>
        <w:tc>
          <w:tcPr>
            <w:tcW w:w="2072" w:type="dxa"/>
            <w:noWrap w:val="0"/>
            <w:vAlign w:val="top"/>
          </w:tcPr>
          <w:p>
            <w:pPr>
              <w:pStyle w:val="89"/>
              <w:keepNext w:val="0"/>
              <w:keepLines w:val="0"/>
              <w:pageBreakBefore w:val="0"/>
              <w:widowControl w:val="0"/>
              <w:kinsoku/>
              <w:wordWrap/>
              <w:overflowPunct/>
              <w:topLinePunct w:val="0"/>
              <w:autoSpaceDE/>
              <w:autoSpaceDN/>
              <w:bidi w:val="0"/>
              <w:adjustRightInd/>
              <w:snapToGrid/>
              <w:spacing w:line="240" w:lineRule="auto"/>
              <w:textAlignment w:val="auto"/>
              <w:rPr>
                <w:rFonts w:eastAsia="宋体"/>
                <w:color w:val="auto"/>
                <w:szCs w:val="21"/>
              </w:rPr>
            </w:pPr>
            <w:r>
              <w:rPr>
                <w:rFonts w:eastAsia="宋体"/>
                <w:color w:val="auto"/>
                <w:szCs w:val="21"/>
              </w:rPr>
              <w:t>≤0.60</w:t>
            </w:r>
          </w:p>
        </w:tc>
      </w:tr>
    </w:tbl>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建设单位须做好施工期大气污染防控。规范各类施工设施废气污染防治措施，严格落实“六个百分百”，做到工地围挡、易扬尘物料堆放覆盖、出入车辆冲洗、路面硬化、渣土车辆密闭运输等。</w:t>
      </w:r>
    </w:p>
    <w:p>
      <w:pPr>
        <w:pStyle w:val="5"/>
        <w:numPr>
          <w:ilvl w:val="0"/>
          <w:numId w:val="0"/>
        </w:numPr>
        <w:spacing w:before="120"/>
        <w:ind w:leftChars="0"/>
        <w:rPr>
          <w:rFonts w:hint="eastAsia"/>
          <w:color w:val="auto"/>
        </w:rPr>
      </w:pPr>
      <w:r>
        <w:rPr>
          <w:rFonts w:hint="eastAsia"/>
          <w:color w:val="auto"/>
          <w:lang w:val="en-US" w:eastAsia="zh-CN"/>
        </w:rPr>
        <w:t>5.1.2</w:t>
      </w:r>
      <w:r>
        <w:rPr>
          <w:rFonts w:hint="eastAsia"/>
          <w:color w:val="auto"/>
        </w:rPr>
        <w:t>施工噪声环境影响评价</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1</w:t>
      </w:r>
      <w:r>
        <w:rPr>
          <w:rFonts w:hAnsi="宋体"/>
          <w:color w:val="auto"/>
        </w:rPr>
        <w:t>、</w:t>
      </w:r>
      <w:r>
        <w:rPr>
          <w:color w:val="auto"/>
        </w:rPr>
        <w:t>施工噪声环境影响评价</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（1）</w:t>
      </w:r>
      <w:r>
        <w:rPr>
          <w:color w:val="auto"/>
        </w:rPr>
        <w:t>施工噪声源强</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hAnsi="宋体"/>
          <w:color w:val="auto"/>
        </w:rPr>
      </w:pPr>
      <w:r>
        <w:rPr>
          <w:rFonts w:hint="eastAsia" w:hAnsi="宋体"/>
          <w:color w:val="auto"/>
        </w:rPr>
        <w:t>工程建设施工阶段的主要噪声来自于施工机械和运输车辆的噪声，</w:t>
      </w:r>
      <w:r>
        <w:rPr>
          <w:rFonts w:hint="eastAsia" w:hAnsi="宋体"/>
          <w:color w:val="auto"/>
          <w:lang w:eastAsia="zh-CN"/>
        </w:rPr>
        <w:t>随着</w:t>
      </w:r>
      <w:r>
        <w:rPr>
          <w:rFonts w:hint="eastAsia" w:hAnsi="宋体"/>
          <w:color w:val="auto"/>
        </w:rPr>
        <w:t>施工过程采用的施工机械越来越多，施工机械一般都具有高噪声、无规则等特点，如不加以控制，往往会对附近的噪声敏感点产生较大的噪声污染</w:t>
      </w:r>
      <w:r>
        <w:rPr>
          <w:rFonts w:hint="eastAsia" w:hAnsi="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Ansi="宋体"/>
          <w:color w:val="auto"/>
        </w:rPr>
      </w:pPr>
      <w:r>
        <w:rPr>
          <w:color w:val="auto"/>
        </w:rPr>
        <w:t>根据有关资料主要施工机械的噪声状况</w:t>
      </w:r>
      <w:r>
        <w:rPr>
          <w:rFonts w:hint="eastAsia"/>
          <w:color w:val="auto"/>
        </w:rPr>
        <w:t>具体见表</w:t>
      </w:r>
      <w:r>
        <w:rPr>
          <w:rFonts w:hint="eastAsia"/>
          <w:color w:val="auto"/>
          <w:lang w:val="en-US" w:eastAsia="zh-CN"/>
        </w:rPr>
        <w:t>5.1-4</w:t>
      </w:r>
      <w:r>
        <w:rPr>
          <w:rFonts w:hAnsi="宋体"/>
          <w:color w:val="auto"/>
        </w:rPr>
        <w:t>。</w:t>
      </w:r>
    </w:p>
    <w:p>
      <w:pPr>
        <w:spacing w:line="240" w:lineRule="auto"/>
        <w:ind w:firstLine="422"/>
        <w:jc w:val="center"/>
        <w:rPr>
          <w:rFonts w:hAnsi="宋体"/>
          <w:b/>
          <w:color w:val="auto"/>
          <w:sz w:val="21"/>
          <w:szCs w:val="21"/>
        </w:rPr>
      </w:pPr>
      <w:r>
        <w:rPr>
          <w:rFonts w:hAnsi="宋体"/>
          <w:b/>
          <w:color w:val="auto"/>
          <w:sz w:val="21"/>
          <w:szCs w:val="21"/>
        </w:rPr>
        <w:t>表</w:t>
      </w:r>
      <w:r>
        <w:rPr>
          <w:rFonts w:hint="eastAsia"/>
          <w:b/>
          <w:color w:val="auto"/>
          <w:sz w:val="21"/>
          <w:szCs w:val="21"/>
          <w:lang w:val="en-US" w:eastAsia="zh-CN"/>
        </w:rPr>
        <w:t>5</w:t>
      </w:r>
      <w:r>
        <w:rPr>
          <w:b/>
          <w:color w:val="auto"/>
          <w:sz w:val="21"/>
          <w:szCs w:val="21"/>
        </w:rPr>
        <w:t>.</w:t>
      </w:r>
      <w:r>
        <w:rPr>
          <w:rFonts w:hint="eastAsia"/>
          <w:b/>
          <w:color w:val="auto"/>
          <w:sz w:val="21"/>
          <w:szCs w:val="21"/>
          <w:lang w:val="en-US" w:eastAsia="zh-CN"/>
        </w:rPr>
        <w:t>1</w:t>
      </w:r>
      <w:r>
        <w:rPr>
          <w:b/>
          <w:color w:val="auto"/>
          <w:sz w:val="21"/>
          <w:szCs w:val="21"/>
        </w:rPr>
        <w:t>-</w:t>
      </w:r>
      <w:r>
        <w:rPr>
          <w:rFonts w:hint="eastAsia"/>
          <w:b/>
          <w:color w:val="auto"/>
          <w:sz w:val="21"/>
          <w:szCs w:val="21"/>
          <w:lang w:val="en-US" w:eastAsia="zh-CN"/>
        </w:rPr>
        <w:t>4</w:t>
      </w:r>
      <w:r>
        <w:rPr>
          <w:b/>
          <w:color w:val="auto"/>
          <w:sz w:val="21"/>
          <w:szCs w:val="21"/>
        </w:rPr>
        <w:t xml:space="preserve">  </w:t>
      </w:r>
      <w:r>
        <w:rPr>
          <w:rFonts w:hAnsi="宋体"/>
          <w:b/>
          <w:color w:val="auto"/>
          <w:sz w:val="21"/>
          <w:szCs w:val="21"/>
        </w:rPr>
        <w:t>施工期噪声声源强度表</w:t>
      </w:r>
      <w:r>
        <w:rPr>
          <w:rFonts w:hint="eastAsia" w:hAnsi="宋体"/>
          <w:b/>
          <w:color w:val="auto"/>
          <w:sz w:val="21"/>
          <w:szCs w:val="21"/>
        </w:rPr>
        <w:t xml:space="preserve">  单位：dB（A）</w:t>
      </w:r>
    </w:p>
    <w:tbl>
      <w:tblPr>
        <w:tblStyle w:val="4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45"/>
        <w:gridCol w:w="5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声  源</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距声源10m声源强度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挖掘机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装载机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推土机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移动式发电机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重型运输车</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振动夯锤</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打桩机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95~105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混凝土输送泵</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混凝土振捣器</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75~84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商砼搅拌车</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木工电锯</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电锤</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风镐</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云石机、角磨机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空压机</w:t>
            </w:r>
          </w:p>
        </w:tc>
        <w:tc>
          <w:tcPr>
            <w:tcW w:w="2811" w:type="pct"/>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83~88</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color w:val="auto"/>
        </w:rPr>
      </w:pPr>
      <w:r>
        <w:rPr>
          <w:rFonts w:hint="eastAsia"/>
          <w:color w:val="auto"/>
        </w:rPr>
        <w:t>（</w:t>
      </w:r>
      <w:r>
        <w:rPr>
          <w:color w:val="auto"/>
        </w:rPr>
        <w:t>2</w:t>
      </w:r>
      <w:r>
        <w:rPr>
          <w:rFonts w:hint="eastAsia" w:hAnsi="宋体"/>
          <w:color w:val="auto"/>
        </w:rPr>
        <w:t>）</w:t>
      </w:r>
      <w:r>
        <w:rPr>
          <w:color w:val="auto"/>
        </w:rPr>
        <w:t>施工噪声</w:t>
      </w:r>
      <w:r>
        <w:rPr>
          <w:rFonts w:hint="eastAsia"/>
          <w:color w:val="auto"/>
        </w:rPr>
        <w:t>评价标准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rPr>
      </w:pPr>
      <w:r>
        <w:rPr>
          <w:rFonts w:hint="eastAsia"/>
          <w:color w:val="auto"/>
        </w:rPr>
        <w:t>现场施工机械设备噪声很高，在实际施工过程中，往往是各种机械同时工作，各种噪声源的相互迭加，噪声级将会更高，辐射面也会更大。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rPr>
      </w:pPr>
      <w:r>
        <w:rPr>
          <w:rFonts w:hint="eastAsia"/>
          <w:color w:val="auto"/>
        </w:rPr>
        <w:t>施工噪声对周围地区声环境的影响，采用《建筑施工场界环境噪声排放标准》（GB12523-2011）标准进行评价。</w:t>
      </w:r>
    </w:p>
    <w:p>
      <w:pPr>
        <w:keepNext w:val="0"/>
        <w:keepLines w:val="0"/>
        <w:pageBreakBefore w:val="0"/>
        <w:widowControl w:val="0"/>
        <w:kinsoku/>
        <w:wordWrap/>
        <w:overflowPunct/>
        <w:topLinePunct w:val="0"/>
        <w:autoSpaceDE/>
        <w:autoSpaceDN/>
        <w:bidi w:val="0"/>
        <w:adjustRightInd/>
        <w:snapToGrid/>
        <w:spacing w:line="240" w:lineRule="auto"/>
        <w:ind w:firstLine="422"/>
        <w:jc w:val="center"/>
        <w:textAlignment w:val="auto"/>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5</w:t>
      </w:r>
      <w:r>
        <w:rPr>
          <w:rFonts w:hint="eastAsia" w:hAnsi="宋体"/>
          <w:b/>
          <w:color w:val="auto"/>
          <w:sz w:val="21"/>
          <w:szCs w:val="21"/>
        </w:rPr>
        <w:t>.1-</w:t>
      </w:r>
      <w:r>
        <w:rPr>
          <w:rFonts w:hint="eastAsia" w:hAnsi="宋体"/>
          <w:b/>
          <w:color w:val="auto"/>
          <w:sz w:val="21"/>
          <w:szCs w:val="21"/>
          <w:lang w:val="en-US" w:eastAsia="zh-CN"/>
        </w:rPr>
        <w:t>5</w:t>
      </w:r>
      <w:r>
        <w:rPr>
          <w:rFonts w:hAnsi="宋体"/>
          <w:b/>
          <w:color w:val="auto"/>
          <w:sz w:val="21"/>
          <w:szCs w:val="21"/>
        </w:rPr>
        <w:t xml:space="preserve">  建筑施工场界噪声限值    Leq[dB(A)]</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0"/>
        <w:gridCol w:w="4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0" w:type="dxa"/>
            <w:noWrap w:val="0"/>
            <w:vAlign w:val="center"/>
          </w:tcPr>
          <w:p>
            <w:pPr>
              <w:pStyle w:val="89"/>
              <w:adjustRightInd/>
              <w:snapToGrid/>
              <w:spacing w:line="240" w:lineRule="auto"/>
              <w:rPr>
                <w:rFonts w:hAnsi="宋体" w:eastAsia="宋体"/>
                <w:color w:val="auto"/>
                <w:szCs w:val="21"/>
              </w:rPr>
            </w:pPr>
            <w:r>
              <w:rPr>
                <w:rFonts w:hAnsi="宋体" w:eastAsia="宋体"/>
                <w:color w:val="auto"/>
                <w:szCs w:val="21"/>
              </w:rPr>
              <w:t>昼间</w:t>
            </w:r>
          </w:p>
        </w:tc>
        <w:tc>
          <w:tcPr>
            <w:tcW w:w="4278" w:type="dxa"/>
            <w:noWrap w:val="0"/>
            <w:vAlign w:val="center"/>
          </w:tcPr>
          <w:p>
            <w:pPr>
              <w:pStyle w:val="89"/>
              <w:adjustRightInd/>
              <w:snapToGrid/>
              <w:spacing w:line="240" w:lineRule="auto"/>
              <w:rPr>
                <w:rFonts w:hAnsi="宋体" w:eastAsia="宋体"/>
                <w:color w:val="auto"/>
                <w:szCs w:val="21"/>
              </w:rPr>
            </w:pPr>
            <w:r>
              <w:rPr>
                <w:rFonts w:hAnsi="宋体" w:eastAsia="宋体"/>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0" w:type="dxa"/>
            <w:noWrap w:val="0"/>
            <w:vAlign w:val="center"/>
          </w:tcPr>
          <w:p>
            <w:pPr>
              <w:pStyle w:val="89"/>
              <w:adjustRightInd/>
              <w:snapToGrid/>
              <w:spacing w:line="240" w:lineRule="auto"/>
              <w:rPr>
                <w:rFonts w:hAnsi="宋体" w:eastAsia="宋体"/>
                <w:color w:val="auto"/>
                <w:szCs w:val="21"/>
              </w:rPr>
            </w:pPr>
            <w:r>
              <w:rPr>
                <w:rFonts w:hAnsi="宋体" w:eastAsia="宋体"/>
                <w:color w:val="auto"/>
                <w:szCs w:val="21"/>
              </w:rPr>
              <w:t>70</w:t>
            </w:r>
          </w:p>
        </w:tc>
        <w:tc>
          <w:tcPr>
            <w:tcW w:w="4278" w:type="dxa"/>
            <w:noWrap w:val="0"/>
            <w:vAlign w:val="center"/>
          </w:tcPr>
          <w:p>
            <w:pPr>
              <w:pStyle w:val="89"/>
              <w:adjustRightInd/>
              <w:snapToGrid/>
              <w:spacing w:line="240" w:lineRule="auto"/>
              <w:rPr>
                <w:rFonts w:hAnsi="宋体" w:eastAsia="宋体"/>
                <w:color w:val="auto"/>
                <w:szCs w:val="21"/>
              </w:rPr>
            </w:pPr>
            <w:r>
              <w:rPr>
                <w:rFonts w:hAnsi="宋体" w:eastAsia="宋体"/>
                <w:color w:val="auto"/>
                <w:szCs w:val="21"/>
              </w:rPr>
              <w:t>55</w:t>
            </w:r>
          </w:p>
        </w:tc>
      </w:tr>
    </w:tbl>
    <w:p>
      <w:pPr>
        <w:ind w:firstLine="480"/>
        <w:rPr>
          <w:rFonts w:hint="eastAsia" w:hAnsi="宋体"/>
          <w:color w:val="auto"/>
        </w:rPr>
      </w:pPr>
      <w:r>
        <w:rPr>
          <w:rFonts w:hint="eastAsia"/>
          <w:color w:val="auto"/>
        </w:rPr>
        <w:t>（3）</w:t>
      </w:r>
      <w:r>
        <w:rPr>
          <w:color w:val="auto"/>
        </w:rPr>
        <w:t>施工期声环境影响</w:t>
      </w:r>
      <w:r>
        <w:rPr>
          <w:rFonts w:hint="eastAsia"/>
          <w:color w:val="auto"/>
        </w:rPr>
        <w:t>预测</w:t>
      </w:r>
    </w:p>
    <w:p>
      <w:pPr>
        <w:ind w:firstLine="480"/>
        <w:rPr>
          <w:rFonts w:hint="eastAsia" w:hAnsi="宋体"/>
          <w:color w:val="auto"/>
        </w:rPr>
      </w:pPr>
      <w:r>
        <w:rPr>
          <w:rFonts w:hint="eastAsia" w:hAnsi="宋体"/>
          <w:color w:val="auto"/>
        </w:rPr>
        <w:t>施工机械体积相对庞大，其运行噪声也较高，在实际施工过程中，往往是各种机械同时工作，各种噪声源的声能量相互迭加，噪声级将会更高，辐射面也会更大。</w:t>
      </w:r>
    </w:p>
    <w:p>
      <w:pPr>
        <w:spacing w:line="360" w:lineRule="auto"/>
        <w:ind w:firstLine="480"/>
        <w:rPr>
          <w:color w:val="auto"/>
          <w:lang w:val="en-GB"/>
        </w:rPr>
      </w:pPr>
      <w:r>
        <w:rPr>
          <w:color w:val="auto"/>
          <w:lang w:val="en-GB"/>
        </w:rPr>
        <w:t>当声源的大小与测试距离相比小得多时，可将此声源视为点声源，其距离衰减公式为：</w:t>
      </w:r>
    </w:p>
    <w:p>
      <w:pPr>
        <w:spacing w:line="360" w:lineRule="auto"/>
        <w:ind w:firstLine="482"/>
        <w:jc w:val="center"/>
        <w:rPr>
          <w:b w:val="0"/>
          <w:bCs/>
          <w:color w:val="auto"/>
        </w:rPr>
      </w:pPr>
      <w:r>
        <w:rPr>
          <w:b w:val="0"/>
          <w:bCs/>
          <w:color w:val="auto"/>
        </w:rPr>
        <w:t>L</w:t>
      </w:r>
      <w:r>
        <w:rPr>
          <w:b w:val="0"/>
          <w:bCs/>
          <w:color w:val="auto"/>
          <w:vertAlign w:val="subscript"/>
        </w:rPr>
        <w:t>P</w:t>
      </w:r>
      <w:r>
        <w:rPr>
          <w:b w:val="0"/>
          <w:bCs/>
          <w:color w:val="auto"/>
        </w:rPr>
        <w:t>=L</w:t>
      </w:r>
      <w:r>
        <w:rPr>
          <w:b w:val="0"/>
          <w:bCs/>
          <w:color w:val="auto"/>
          <w:vertAlign w:val="subscript"/>
        </w:rPr>
        <w:t>p0</w:t>
      </w:r>
      <w:r>
        <w:rPr>
          <w:b w:val="0"/>
          <w:bCs/>
          <w:color w:val="auto"/>
        </w:rPr>
        <w:t>-20lgr/r</w:t>
      </w:r>
      <w:r>
        <w:rPr>
          <w:b w:val="0"/>
          <w:bCs/>
          <w:color w:val="auto"/>
          <w:vertAlign w:val="subscript"/>
        </w:rPr>
        <w:t>0</w:t>
      </w:r>
      <w:r>
        <w:rPr>
          <w:b w:val="0"/>
          <w:bCs/>
          <w:color w:val="auto"/>
        </w:rPr>
        <w:t>–R–α（r–r</w:t>
      </w:r>
      <w:r>
        <w:rPr>
          <w:b w:val="0"/>
          <w:bCs/>
          <w:color w:val="auto"/>
          <w:vertAlign w:val="subscript"/>
        </w:rPr>
        <w:t>0</w:t>
      </w:r>
      <w:r>
        <w:rPr>
          <w:b w:val="0"/>
          <w:bCs/>
          <w:color w:val="auto"/>
        </w:rPr>
        <w:t>）</w:t>
      </w:r>
    </w:p>
    <w:p>
      <w:pPr>
        <w:spacing w:line="360" w:lineRule="auto"/>
        <w:ind w:firstLine="480"/>
        <w:rPr>
          <w:color w:val="auto"/>
          <w:vertAlign w:val="subscript"/>
        </w:rPr>
      </w:pPr>
      <w:r>
        <w:rPr>
          <w:color w:val="auto"/>
        </w:rPr>
        <w:t>式中：L</w:t>
      </w:r>
      <w:r>
        <w:rPr>
          <w:color w:val="auto"/>
          <w:vertAlign w:val="subscript"/>
        </w:rPr>
        <w:t>P</w:t>
      </w:r>
      <w:r>
        <w:rPr>
          <w:color w:val="auto"/>
        </w:rPr>
        <w:t>：受声点所接受的声压级，dB（A）</w:t>
      </w:r>
      <w:r>
        <w:rPr>
          <w:rFonts w:hint="eastAsia" w:cs="宋体"/>
          <w:color w:val="auto"/>
          <w:lang w:eastAsia="zh-CN"/>
        </w:rPr>
        <w:t>；</w:t>
      </w:r>
      <w:r>
        <w:rPr>
          <w:color w:val="auto"/>
          <w:vertAlign w:val="subscript"/>
        </w:rPr>
        <w:t xml:space="preserve">   </w:t>
      </w:r>
    </w:p>
    <w:p>
      <w:pPr>
        <w:spacing w:line="360" w:lineRule="auto"/>
        <w:rPr>
          <w:rFonts w:hint="eastAsia" w:eastAsia="宋体"/>
          <w:color w:val="auto"/>
          <w:lang w:eastAsia="zh-CN"/>
        </w:rPr>
      </w:pPr>
      <w:r>
        <w:rPr>
          <w:color w:val="auto"/>
        </w:rPr>
        <w:t>L</w:t>
      </w:r>
      <w:r>
        <w:rPr>
          <w:color w:val="auto"/>
          <w:vertAlign w:val="subscript"/>
        </w:rPr>
        <w:t>p0</w:t>
      </w:r>
      <w:r>
        <w:rPr>
          <w:color w:val="auto"/>
        </w:rPr>
        <w:t>：距声源1m处的声级，dB（A）</w:t>
      </w:r>
      <w:r>
        <w:rPr>
          <w:rFonts w:hint="eastAsia" w:cs="宋体"/>
          <w:color w:val="auto"/>
          <w:lang w:eastAsia="zh-CN"/>
        </w:rPr>
        <w:t>；</w:t>
      </w:r>
    </w:p>
    <w:p>
      <w:pPr>
        <w:spacing w:line="360" w:lineRule="auto"/>
        <w:ind w:firstLine="480"/>
        <w:rPr>
          <w:rFonts w:hint="eastAsia" w:eastAsia="宋体"/>
          <w:color w:val="auto"/>
          <w:lang w:eastAsia="zh-CN"/>
        </w:rPr>
      </w:pPr>
      <w:r>
        <w:rPr>
          <w:color w:val="auto"/>
        </w:rPr>
        <w:t>r：声源至受声点的距离，m</w:t>
      </w:r>
      <w:r>
        <w:rPr>
          <w:rFonts w:hint="eastAsia"/>
          <w:color w:val="auto"/>
        </w:rPr>
        <w:t>，r&gt;2r</w:t>
      </w:r>
      <w:r>
        <w:rPr>
          <w:rFonts w:hint="eastAsia"/>
          <w:color w:val="auto"/>
          <w:vertAlign w:val="subscript"/>
        </w:rPr>
        <w:t>0</w:t>
      </w:r>
      <w:r>
        <w:rPr>
          <w:rFonts w:hint="eastAsia" w:cs="宋体"/>
          <w:color w:val="auto"/>
          <w:lang w:eastAsia="zh-CN"/>
        </w:rPr>
        <w:t>；</w:t>
      </w:r>
    </w:p>
    <w:p>
      <w:pPr>
        <w:spacing w:line="360" w:lineRule="auto"/>
        <w:ind w:firstLine="480"/>
        <w:rPr>
          <w:rFonts w:hint="eastAsia" w:eastAsia="宋体"/>
          <w:color w:val="auto"/>
          <w:lang w:eastAsia="zh-CN"/>
        </w:rPr>
      </w:pPr>
      <w:r>
        <w:rPr>
          <w:color w:val="auto"/>
        </w:rPr>
        <w:t>r</w:t>
      </w:r>
      <w:r>
        <w:rPr>
          <w:color w:val="auto"/>
          <w:vertAlign w:val="subscript"/>
        </w:rPr>
        <w:t>0</w:t>
      </w:r>
      <w:r>
        <w:rPr>
          <w:color w:val="auto"/>
        </w:rPr>
        <w:t>：参考位置的距离，取1m</w:t>
      </w:r>
      <w:r>
        <w:rPr>
          <w:rFonts w:hint="eastAsia" w:cs="宋体"/>
          <w:color w:val="auto"/>
          <w:lang w:eastAsia="zh-CN"/>
        </w:rPr>
        <w:t>；</w:t>
      </w:r>
    </w:p>
    <w:p>
      <w:pPr>
        <w:spacing w:line="360" w:lineRule="auto"/>
        <w:ind w:firstLine="480"/>
        <w:rPr>
          <w:rFonts w:hint="eastAsia" w:eastAsia="宋体"/>
          <w:color w:val="auto"/>
          <w:lang w:eastAsia="zh-CN"/>
        </w:rPr>
      </w:pPr>
      <w:r>
        <w:rPr>
          <w:color w:val="auto"/>
        </w:rPr>
        <w:t>R：隔声量，</w:t>
      </w:r>
      <w:r>
        <w:rPr>
          <w:rFonts w:hint="eastAsia"/>
          <w:color w:val="auto"/>
        </w:rPr>
        <w:t>项目四周设置围挡，隔声效果达15</w:t>
      </w:r>
      <w:r>
        <w:rPr>
          <w:color w:val="auto"/>
        </w:rPr>
        <w:t xml:space="preserve"> dB(A)</w:t>
      </w:r>
      <w:r>
        <w:rPr>
          <w:rFonts w:hint="eastAsia"/>
          <w:color w:val="auto"/>
        </w:rPr>
        <w:t>左右</w:t>
      </w:r>
      <w:r>
        <w:rPr>
          <w:rFonts w:hint="eastAsia" w:cs="宋体"/>
          <w:color w:val="auto"/>
          <w:lang w:eastAsia="zh-CN"/>
        </w:rPr>
        <w:t>；</w:t>
      </w:r>
    </w:p>
    <w:p>
      <w:pPr>
        <w:spacing w:line="360" w:lineRule="auto"/>
        <w:ind w:firstLine="480"/>
        <w:rPr>
          <w:rFonts w:hint="eastAsia" w:eastAsia="宋体"/>
          <w:color w:val="auto"/>
          <w:lang w:eastAsia="zh-CN"/>
        </w:rPr>
      </w:pPr>
      <w:r>
        <w:rPr>
          <w:color w:val="auto"/>
        </w:rPr>
        <w:t>α：大气对声波的吸收系数，dB(A)/m，平均值为0.008dB(A)/m</w:t>
      </w:r>
      <w:r>
        <w:rPr>
          <w:rFonts w:hint="eastAsia" w:cs="宋体"/>
          <w:color w:val="auto"/>
          <w:lang w:eastAsia="zh-CN"/>
        </w:rPr>
        <w:t>；</w:t>
      </w:r>
    </w:p>
    <w:p>
      <w:pPr>
        <w:spacing w:line="360" w:lineRule="auto"/>
        <w:ind w:firstLine="480"/>
        <w:rPr>
          <w:b/>
          <w:color w:val="auto"/>
          <w:sz w:val="21"/>
          <w:szCs w:val="21"/>
        </w:rPr>
      </w:pPr>
      <w:r>
        <w:rPr>
          <w:color w:val="auto"/>
          <w:lang w:val="en-GB"/>
        </w:rPr>
        <w:t>用以上公式计算各噪声源随距离衰减后的噪声值，表</w:t>
      </w:r>
      <w:r>
        <w:rPr>
          <w:rFonts w:hint="eastAsia"/>
          <w:color w:val="auto"/>
          <w:lang w:val="en-US" w:eastAsia="zh-CN"/>
        </w:rPr>
        <w:t>6</w:t>
      </w:r>
      <w:r>
        <w:rPr>
          <w:rFonts w:hint="eastAsia"/>
          <w:color w:val="auto"/>
          <w:lang w:val="en-GB"/>
        </w:rPr>
        <w:t>.1-</w:t>
      </w:r>
      <w:r>
        <w:rPr>
          <w:rFonts w:hint="eastAsia"/>
          <w:color w:val="auto"/>
          <w:lang w:val="en-US" w:eastAsia="zh-CN"/>
        </w:rPr>
        <w:t>6</w:t>
      </w:r>
      <w:r>
        <w:rPr>
          <w:color w:val="auto"/>
          <w:lang w:val="en-GB"/>
        </w:rPr>
        <w:t>列出了施工机械对不同距离各施工阶段的噪声影响结果</w:t>
      </w:r>
    </w:p>
    <w:p>
      <w:pPr>
        <w:spacing w:line="240" w:lineRule="auto"/>
        <w:ind w:firstLine="422"/>
        <w:jc w:val="center"/>
        <w:rPr>
          <w:rFonts w:hAnsi="宋体"/>
          <w:b/>
          <w:color w:val="auto"/>
          <w:sz w:val="21"/>
          <w:szCs w:val="21"/>
        </w:rPr>
      </w:pPr>
      <w:r>
        <w:rPr>
          <w:rFonts w:hAnsi="宋体"/>
          <w:b/>
          <w:color w:val="auto"/>
          <w:sz w:val="21"/>
          <w:szCs w:val="21"/>
        </w:rPr>
        <w:t>表</w:t>
      </w:r>
      <w:r>
        <w:rPr>
          <w:rFonts w:hint="eastAsia" w:hAnsi="宋体"/>
          <w:b/>
          <w:color w:val="auto"/>
          <w:sz w:val="21"/>
          <w:szCs w:val="21"/>
          <w:lang w:val="en-US" w:eastAsia="zh-CN"/>
        </w:rPr>
        <w:t>5</w:t>
      </w:r>
      <w:r>
        <w:rPr>
          <w:rFonts w:hint="eastAsia" w:hAnsi="宋体"/>
          <w:b/>
          <w:color w:val="auto"/>
          <w:sz w:val="21"/>
          <w:szCs w:val="21"/>
        </w:rPr>
        <w:t>.1</w:t>
      </w:r>
      <w:r>
        <w:rPr>
          <w:rFonts w:hAnsi="宋体"/>
          <w:b/>
          <w:color w:val="auto"/>
          <w:sz w:val="21"/>
          <w:szCs w:val="21"/>
        </w:rPr>
        <w:t>-</w:t>
      </w:r>
      <w:r>
        <w:rPr>
          <w:rFonts w:hint="eastAsia" w:hAnsi="宋体"/>
          <w:b/>
          <w:color w:val="auto"/>
          <w:sz w:val="21"/>
          <w:szCs w:val="21"/>
          <w:lang w:val="en-US" w:eastAsia="zh-CN"/>
        </w:rPr>
        <w:t>6</w:t>
      </w:r>
      <w:r>
        <w:rPr>
          <w:rFonts w:hAnsi="宋体"/>
          <w:b/>
          <w:color w:val="auto"/>
          <w:sz w:val="21"/>
          <w:szCs w:val="21"/>
        </w:rPr>
        <w:t xml:space="preserve">  不同距离处各阶段</w:t>
      </w:r>
      <w:r>
        <w:rPr>
          <w:rFonts w:hint="eastAsia" w:hAnsi="宋体"/>
          <w:b/>
          <w:color w:val="auto"/>
          <w:sz w:val="21"/>
          <w:szCs w:val="21"/>
        </w:rPr>
        <w:t>设备</w:t>
      </w:r>
      <w:r>
        <w:rPr>
          <w:rFonts w:hAnsi="宋体"/>
          <w:b/>
          <w:color w:val="auto"/>
          <w:sz w:val="21"/>
          <w:szCs w:val="21"/>
        </w:rPr>
        <w:t>影响值   dB(A)</w:t>
      </w:r>
    </w:p>
    <w:tbl>
      <w:tblPr>
        <w:tblStyle w:val="48"/>
        <w:tblW w:w="870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82"/>
        <w:gridCol w:w="1496"/>
        <w:gridCol w:w="786"/>
        <w:gridCol w:w="629"/>
        <w:gridCol w:w="629"/>
        <w:gridCol w:w="920"/>
        <w:gridCol w:w="780"/>
        <w:gridCol w:w="791"/>
        <w:gridCol w:w="780"/>
        <w:gridCol w:w="780"/>
        <w:gridCol w:w="63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82" w:type="dxa"/>
            <w:vMerge w:val="restart"/>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施工</w:t>
            </w:r>
          </w:p>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阶段</w:t>
            </w:r>
          </w:p>
        </w:tc>
        <w:tc>
          <w:tcPr>
            <w:tcW w:w="1496" w:type="dxa"/>
            <w:vMerge w:val="restart"/>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机械设备</w:t>
            </w:r>
          </w:p>
        </w:tc>
        <w:tc>
          <w:tcPr>
            <w:tcW w:w="786" w:type="dxa"/>
            <w:vMerge w:val="restart"/>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源强</w:t>
            </w:r>
          </w:p>
        </w:tc>
        <w:tc>
          <w:tcPr>
            <w:tcW w:w="5945" w:type="dxa"/>
            <w:gridSpan w:val="8"/>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噪声预测值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786"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629"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2</w:t>
            </w:r>
            <w:r>
              <w:rPr>
                <w:rFonts w:eastAsia="宋体"/>
                <w:color w:val="auto"/>
                <w:szCs w:val="21"/>
              </w:rPr>
              <w:t>0m</w:t>
            </w:r>
          </w:p>
        </w:tc>
        <w:tc>
          <w:tcPr>
            <w:tcW w:w="629"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40</w:t>
            </w:r>
            <w:r>
              <w:rPr>
                <w:rFonts w:eastAsia="宋体"/>
                <w:color w:val="auto"/>
                <w:szCs w:val="21"/>
              </w:rPr>
              <w:t>m</w:t>
            </w:r>
          </w:p>
        </w:tc>
        <w:tc>
          <w:tcPr>
            <w:tcW w:w="920"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60m</w:t>
            </w:r>
          </w:p>
        </w:tc>
        <w:tc>
          <w:tcPr>
            <w:tcW w:w="780" w:type="dxa"/>
            <w:tcBorders>
              <w:right w:val="single" w:color="auto" w:sz="4" w:space="0"/>
            </w:tcBorders>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80</w:t>
            </w:r>
            <w:r>
              <w:rPr>
                <w:rFonts w:eastAsia="宋体"/>
                <w:color w:val="auto"/>
                <w:szCs w:val="21"/>
              </w:rPr>
              <w:t>m</w:t>
            </w:r>
          </w:p>
        </w:tc>
        <w:tc>
          <w:tcPr>
            <w:tcW w:w="791" w:type="dxa"/>
            <w:tcBorders>
              <w:right w:val="single" w:color="auto" w:sz="4" w:space="0"/>
            </w:tcBorders>
            <w:noWrap w:val="0"/>
            <w:vAlign w:val="center"/>
          </w:tcPr>
          <w:p>
            <w:pPr>
              <w:pStyle w:val="89"/>
              <w:adjustRightInd/>
              <w:snapToGrid/>
              <w:spacing w:line="240" w:lineRule="auto"/>
              <w:ind w:right="-120" w:rightChars="-50"/>
              <w:jc w:val="center"/>
              <w:rPr>
                <w:rFonts w:eastAsia="宋体"/>
                <w:color w:val="auto"/>
                <w:szCs w:val="21"/>
              </w:rPr>
            </w:pPr>
            <w:r>
              <w:rPr>
                <w:rFonts w:hint="eastAsia" w:eastAsia="宋体"/>
                <w:color w:val="auto"/>
                <w:szCs w:val="21"/>
              </w:rPr>
              <w:t>100m</w:t>
            </w:r>
          </w:p>
        </w:tc>
        <w:tc>
          <w:tcPr>
            <w:tcW w:w="780" w:type="dxa"/>
            <w:tcBorders>
              <w:left w:val="single" w:color="auto" w:sz="4" w:space="0"/>
            </w:tcBorders>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120m</w:t>
            </w:r>
          </w:p>
        </w:tc>
        <w:tc>
          <w:tcPr>
            <w:tcW w:w="780"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140m</w:t>
            </w:r>
          </w:p>
        </w:tc>
        <w:tc>
          <w:tcPr>
            <w:tcW w:w="63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200m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64" w:type="dxa"/>
            <w:gridSpan w:val="3"/>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衰减值</w:t>
            </w:r>
          </w:p>
        </w:tc>
        <w:tc>
          <w:tcPr>
            <w:tcW w:w="629"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-6</w:t>
            </w:r>
          </w:p>
        </w:tc>
        <w:tc>
          <w:tcPr>
            <w:tcW w:w="629"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-12</w:t>
            </w:r>
          </w:p>
        </w:tc>
        <w:tc>
          <w:tcPr>
            <w:tcW w:w="920"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-15.6</w:t>
            </w:r>
          </w:p>
        </w:tc>
        <w:tc>
          <w:tcPr>
            <w:tcW w:w="780" w:type="dxa"/>
            <w:tcBorders>
              <w:right w:val="single" w:color="auto" w:sz="4" w:space="0"/>
            </w:tcBorders>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-18.1</w:t>
            </w:r>
          </w:p>
        </w:tc>
        <w:tc>
          <w:tcPr>
            <w:tcW w:w="791" w:type="dxa"/>
            <w:tcBorders>
              <w:right w:val="single" w:color="auto" w:sz="4" w:space="0"/>
            </w:tcBorders>
            <w:noWrap w:val="0"/>
            <w:vAlign w:val="center"/>
          </w:tcPr>
          <w:p>
            <w:pPr>
              <w:pStyle w:val="89"/>
              <w:adjustRightInd/>
              <w:snapToGrid/>
              <w:spacing w:line="240" w:lineRule="auto"/>
              <w:ind w:right="-120" w:rightChars="-50"/>
              <w:jc w:val="center"/>
              <w:rPr>
                <w:rFonts w:hint="eastAsia" w:eastAsia="宋体"/>
                <w:color w:val="auto"/>
                <w:szCs w:val="21"/>
              </w:rPr>
            </w:pPr>
            <w:r>
              <w:rPr>
                <w:rFonts w:hint="eastAsia" w:eastAsia="宋体"/>
                <w:color w:val="auto"/>
                <w:szCs w:val="21"/>
              </w:rPr>
              <w:t>-20</w:t>
            </w:r>
          </w:p>
        </w:tc>
        <w:tc>
          <w:tcPr>
            <w:tcW w:w="780" w:type="dxa"/>
            <w:tcBorders>
              <w:left w:val="single" w:color="auto" w:sz="4" w:space="0"/>
            </w:tcBorders>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-21.6</w:t>
            </w:r>
          </w:p>
        </w:tc>
        <w:tc>
          <w:tcPr>
            <w:tcW w:w="780"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-22.9</w:t>
            </w:r>
          </w:p>
        </w:tc>
        <w:tc>
          <w:tcPr>
            <w:tcW w:w="63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-26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64" w:type="dxa"/>
            <w:gridSpan w:val="3"/>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隔声量</w:t>
            </w:r>
          </w:p>
        </w:tc>
        <w:tc>
          <w:tcPr>
            <w:tcW w:w="629"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629"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920"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780" w:type="dxa"/>
            <w:tcBorders>
              <w:right w:val="single" w:color="auto" w:sz="4" w:space="0"/>
            </w:tcBorders>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791" w:type="dxa"/>
            <w:tcBorders>
              <w:right w:val="single" w:color="auto" w:sz="4" w:space="0"/>
            </w:tcBorders>
            <w:noWrap w:val="0"/>
            <w:vAlign w:val="center"/>
          </w:tcPr>
          <w:p>
            <w:pPr>
              <w:pStyle w:val="89"/>
              <w:adjustRightInd/>
              <w:snapToGrid/>
              <w:spacing w:line="240" w:lineRule="auto"/>
              <w:ind w:right="-120" w:rightChars="-50"/>
              <w:jc w:val="center"/>
              <w:rPr>
                <w:rFonts w:hint="eastAsia" w:eastAsia="宋体"/>
                <w:color w:val="auto"/>
                <w:szCs w:val="21"/>
              </w:rPr>
            </w:pPr>
            <w:r>
              <w:rPr>
                <w:rFonts w:hint="eastAsia" w:eastAsia="宋体"/>
                <w:color w:val="auto"/>
                <w:szCs w:val="21"/>
              </w:rPr>
              <w:t>-15</w:t>
            </w:r>
          </w:p>
        </w:tc>
        <w:tc>
          <w:tcPr>
            <w:tcW w:w="780" w:type="dxa"/>
            <w:tcBorders>
              <w:left w:val="single" w:color="auto" w:sz="4" w:space="0"/>
            </w:tcBorders>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780"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c>
          <w:tcPr>
            <w:tcW w:w="636"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5" w:hRule="atLeast"/>
          <w:jc w:val="center"/>
        </w:trPr>
        <w:tc>
          <w:tcPr>
            <w:tcW w:w="482" w:type="dxa"/>
            <w:vMerge w:val="restart"/>
            <w:noWrap w:val="0"/>
            <w:vAlign w:val="center"/>
          </w:tcPr>
          <w:p>
            <w:pPr>
              <w:pStyle w:val="89"/>
              <w:adjustRightInd/>
              <w:snapToGrid/>
              <w:spacing w:line="240" w:lineRule="auto"/>
              <w:ind w:left="-120" w:leftChars="-50" w:right="-120" w:rightChars="-50"/>
              <w:jc w:val="center"/>
              <w:rPr>
                <w:rFonts w:hint="eastAsia" w:eastAsia="宋体"/>
                <w:color w:val="auto"/>
                <w:szCs w:val="21"/>
                <w:lang w:eastAsia="zh-CN"/>
              </w:rPr>
            </w:pPr>
            <w:r>
              <w:rPr>
                <w:rFonts w:hint="eastAsia" w:eastAsia="宋体"/>
                <w:color w:val="auto"/>
                <w:szCs w:val="21"/>
                <w:lang w:eastAsia="zh-CN"/>
              </w:rPr>
              <w:t>土石方</w:t>
            </w: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液压挖掘机</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86</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65</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61</w:t>
            </w:r>
          </w:p>
        </w:tc>
        <w:tc>
          <w:tcPr>
            <w:tcW w:w="92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55.4</w:t>
            </w:r>
          </w:p>
        </w:tc>
        <w:tc>
          <w:tcPr>
            <w:tcW w:w="780"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52.9</w:t>
            </w:r>
          </w:p>
        </w:tc>
        <w:tc>
          <w:tcPr>
            <w:tcW w:w="791"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51</w:t>
            </w:r>
          </w:p>
        </w:tc>
        <w:tc>
          <w:tcPr>
            <w:tcW w:w="780" w:type="dxa"/>
            <w:tcBorders>
              <w:lef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49.4</w:t>
            </w:r>
          </w:p>
        </w:tc>
        <w:tc>
          <w:tcPr>
            <w:tcW w:w="78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48.1</w:t>
            </w:r>
          </w:p>
        </w:tc>
        <w:tc>
          <w:tcPr>
            <w:tcW w:w="63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电动挖掘机</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83</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65</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61</w:t>
            </w:r>
          </w:p>
        </w:tc>
        <w:tc>
          <w:tcPr>
            <w:tcW w:w="92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55.4</w:t>
            </w:r>
          </w:p>
        </w:tc>
        <w:tc>
          <w:tcPr>
            <w:tcW w:w="780"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52.9</w:t>
            </w:r>
          </w:p>
        </w:tc>
        <w:tc>
          <w:tcPr>
            <w:tcW w:w="791"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51</w:t>
            </w:r>
          </w:p>
        </w:tc>
        <w:tc>
          <w:tcPr>
            <w:tcW w:w="780" w:type="dxa"/>
            <w:tcBorders>
              <w:lef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49.4</w:t>
            </w:r>
          </w:p>
        </w:tc>
        <w:tc>
          <w:tcPr>
            <w:tcW w:w="78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48.1</w:t>
            </w:r>
          </w:p>
        </w:tc>
        <w:tc>
          <w:tcPr>
            <w:tcW w:w="63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轮式装载机</w:t>
            </w:r>
          </w:p>
        </w:tc>
        <w:tc>
          <w:tcPr>
            <w:tcW w:w="78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Ansi="宋体" w:eastAsia="宋体"/>
                <w:color w:val="auto"/>
                <w:szCs w:val="21"/>
              </w:rPr>
              <w:t>90</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64</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58</w:t>
            </w:r>
          </w:p>
        </w:tc>
        <w:tc>
          <w:tcPr>
            <w:tcW w:w="92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54.4</w:t>
            </w:r>
          </w:p>
        </w:tc>
        <w:tc>
          <w:tcPr>
            <w:tcW w:w="780"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51.9</w:t>
            </w:r>
          </w:p>
        </w:tc>
        <w:tc>
          <w:tcPr>
            <w:tcW w:w="791"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50</w:t>
            </w:r>
          </w:p>
        </w:tc>
        <w:tc>
          <w:tcPr>
            <w:tcW w:w="780" w:type="dxa"/>
            <w:tcBorders>
              <w:lef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48.4</w:t>
            </w:r>
          </w:p>
        </w:tc>
        <w:tc>
          <w:tcPr>
            <w:tcW w:w="78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47.1</w:t>
            </w:r>
          </w:p>
        </w:tc>
        <w:tc>
          <w:tcPr>
            <w:tcW w:w="63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rPr>
              <w:t>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推土机</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85</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64</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60</w:t>
            </w:r>
          </w:p>
        </w:tc>
        <w:tc>
          <w:tcPr>
            <w:tcW w:w="92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54.4</w:t>
            </w:r>
          </w:p>
        </w:tc>
        <w:tc>
          <w:tcPr>
            <w:tcW w:w="780"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51.9</w:t>
            </w:r>
          </w:p>
        </w:tc>
        <w:tc>
          <w:tcPr>
            <w:tcW w:w="791"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50</w:t>
            </w:r>
          </w:p>
        </w:tc>
        <w:tc>
          <w:tcPr>
            <w:tcW w:w="780" w:type="dxa"/>
            <w:tcBorders>
              <w:lef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48.4</w:t>
            </w:r>
          </w:p>
        </w:tc>
        <w:tc>
          <w:tcPr>
            <w:tcW w:w="78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47.1</w:t>
            </w:r>
          </w:p>
        </w:tc>
        <w:tc>
          <w:tcPr>
            <w:tcW w:w="63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Ansi="宋体" w:eastAsia="宋体"/>
                <w:color w:val="auto"/>
                <w:szCs w:val="21"/>
              </w:rPr>
              <w:t>重型运输车</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86</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65</w:t>
            </w:r>
          </w:p>
        </w:tc>
        <w:tc>
          <w:tcPr>
            <w:tcW w:w="629"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61</w:t>
            </w:r>
          </w:p>
        </w:tc>
        <w:tc>
          <w:tcPr>
            <w:tcW w:w="92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55.4</w:t>
            </w:r>
          </w:p>
        </w:tc>
        <w:tc>
          <w:tcPr>
            <w:tcW w:w="780"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52.9</w:t>
            </w:r>
          </w:p>
        </w:tc>
        <w:tc>
          <w:tcPr>
            <w:tcW w:w="791" w:type="dxa"/>
            <w:tcBorders>
              <w:righ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51</w:t>
            </w:r>
          </w:p>
        </w:tc>
        <w:tc>
          <w:tcPr>
            <w:tcW w:w="780" w:type="dxa"/>
            <w:tcBorders>
              <w:left w:val="single" w:color="auto" w:sz="4" w:space="0"/>
            </w:tcBorders>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49.4</w:t>
            </w:r>
          </w:p>
        </w:tc>
        <w:tc>
          <w:tcPr>
            <w:tcW w:w="780"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48.1</w:t>
            </w:r>
          </w:p>
        </w:tc>
        <w:tc>
          <w:tcPr>
            <w:tcW w:w="636" w:type="dxa"/>
            <w:noWrap w:val="0"/>
            <w:vAlign w:val="center"/>
          </w:tcPr>
          <w:p>
            <w:pPr>
              <w:pStyle w:val="89"/>
              <w:adjustRightInd/>
              <w:snapToGrid/>
              <w:spacing w:line="240" w:lineRule="auto"/>
              <w:ind w:firstLine="0" w:firstLineChars="0"/>
              <w:jc w:val="center"/>
              <w:rPr>
                <w:rFonts w:hAnsi="宋体" w:eastAsia="宋体"/>
                <w:color w:val="auto"/>
                <w:szCs w:val="21"/>
              </w:rPr>
            </w:pPr>
            <w:r>
              <w:rPr>
                <w:rFonts w:hint="eastAsia" w:hAnsi="宋体" w:eastAsia="宋体"/>
                <w:color w:val="auto"/>
                <w:szCs w:val="21"/>
                <w:lang w:val="en-US" w:eastAsia="zh-CN"/>
              </w:rPr>
              <w:t>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restart"/>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基础</w:t>
            </w: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振动夯锤</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54</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打桩机</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105</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79</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73</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69.4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66.9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65</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63.4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62.1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混凝土输送泵</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90</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54.4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51.9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50</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47.1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商砼搅拌车</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c>
          <w:tcPr>
            <w:tcW w:w="780" w:type="dxa"/>
            <w:tcBorders>
              <w:left w:val="single" w:color="auto" w:sz="4" w:space="0"/>
            </w:tcBorders>
            <w:noWrap w:val="0"/>
            <w:vAlign w:val="center"/>
          </w:tcPr>
          <w:p>
            <w:pPr>
              <w:pStyle w:val="89"/>
              <w:adjustRightInd/>
              <w:snapToGrid/>
              <w:spacing w:line="240" w:lineRule="auto"/>
              <w:jc w:val="center"/>
              <w:rPr>
                <w:rFonts w:hint="eastAsia" w:ascii="Times New Roman" w:hAnsi="宋体" w:eastAsia="宋体" w:cs="Times New Roman"/>
                <w:color w:val="auto"/>
                <w:szCs w:val="21"/>
                <w:lang w:eastAsia="zh-CN"/>
              </w:rPr>
            </w:pPr>
            <w:r>
              <w:rPr>
                <w:rFonts w:hint="eastAsia" w:ascii="Times New Roman" w:hAnsi="宋体" w:eastAsia="宋体" w:cs="Times New Roman"/>
                <w:color w:val="auto"/>
                <w:szCs w:val="21"/>
              </w:rPr>
              <w:t>42.4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混凝土振捣器</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c>
          <w:tcPr>
            <w:tcW w:w="780" w:type="dxa"/>
            <w:tcBorders>
              <w:left w:val="single" w:color="auto" w:sz="4" w:space="0"/>
            </w:tcBorders>
            <w:noWrap w:val="0"/>
            <w:vAlign w:val="center"/>
          </w:tcPr>
          <w:p>
            <w:pPr>
              <w:pStyle w:val="89"/>
              <w:adjustRightInd/>
              <w:snapToGrid/>
              <w:spacing w:line="240" w:lineRule="auto"/>
              <w:jc w:val="center"/>
              <w:rPr>
                <w:rFonts w:hint="eastAsia" w:ascii="Times New Roman" w:hAnsi="宋体" w:eastAsia="宋体" w:cs="Times New Roman"/>
                <w:color w:val="auto"/>
                <w:szCs w:val="21"/>
                <w:lang w:eastAsia="zh-CN"/>
              </w:rPr>
            </w:pPr>
            <w:r>
              <w:rPr>
                <w:rFonts w:hint="eastAsia" w:ascii="Times New Roman" w:hAnsi="宋体" w:eastAsia="宋体" w:cs="Times New Roman"/>
                <w:color w:val="auto"/>
                <w:szCs w:val="21"/>
              </w:rPr>
              <w:t>42.4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restart"/>
            <w:noWrap w:val="0"/>
            <w:vAlign w:val="center"/>
          </w:tcPr>
          <w:p>
            <w:pPr>
              <w:pStyle w:val="89"/>
              <w:spacing w:line="240" w:lineRule="auto"/>
              <w:ind w:left="-120" w:leftChars="-50" w:right="-120" w:rightChars="-50"/>
              <w:jc w:val="center"/>
              <w:rPr>
                <w:rFonts w:eastAsia="宋体"/>
                <w:color w:val="auto"/>
                <w:szCs w:val="21"/>
              </w:rPr>
            </w:pPr>
            <w:r>
              <w:rPr>
                <w:rFonts w:eastAsia="宋体"/>
                <w:color w:val="auto"/>
                <w:szCs w:val="21"/>
              </w:rPr>
              <w:t>结构</w:t>
            </w: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商砼搅拌车</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84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c>
          <w:tcPr>
            <w:tcW w:w="780" w:type="dxa"/>
            <w:tcBorders>
              <w:left w:val="single" w:color="auto" w:sz="4" w:space="0"/>
            </w:tcBorders>
            <w:noWrap w:val="0"/>
            <w:vAlign w:val="center"/>
          </w:tcPr>
          <w:p>
            <w:pPr>
              <w:pStyle w:val="89"/>
              <w:adjustRightInd/>
              <w:snapToGrid/>
              <w:spacing w:line="240" w:lineRule="auto"/>
              <w:jc w:val="center"/>
              <w:rPr>
                <w:rFonts w:hint="eastAsia" w:ascii="Times New Roman" w:hAnsi="宋体" w:eastAsia="宋体" w:cs="Times New Roman"/>
                <w:color w:val="auto"/>
                <w:szCs w:val="21"/>
                <w:lang w:eastAsia="zh-CN"/>
              </w:rPr>
            </w:pPr>
            <w:r>
              <w:rPr>
                <w:rFonts w:hint="eastAsia" w:ascii="Times New Roman" w:hAnsi="宋体" w:eastAsia="宋体" w:cs="Times New Roman"/>
                <w:color w:val="auto"/>
                <w:szCs w:val="21"/>
              </w:rPr>
              <w:t>42.4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混凝土输送泵</w:t>
            </w:r>
          </w:p>
        </w:tc>
        <w:tc>
          <w:tcPr>
            <w:tcW w:w="78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90</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54.4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51.9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50</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47.1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混凝土振捣器</w:t>
            </w:r>
          </w:p>
        </w:tc>
        <w:tc>
          <w:tcPr>
            <w:tcW w:w="786"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84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c>
          <w:tcPr>
            <w:tcW w:w="780" w:type="dxa"/>
            <w:tcBorders>
              <w:left w:val="single" w:color="auto" w:sz="4" w:space="0"/>
            </w:tcBorders>
            <w:noWrap w:val="0"/>
            <w:vAlign w:val="center"/>
          </w:tcPr>
          <w:p>
            <w:pPr>
              <w:pStyle w:val="89"/>
              <w:adjustRightInd/>
              <w:snapToGrid/>
              <w:spacing w:line="240" w:lineRule="auto"/>
              <w:jc w:val="center"/>
              <w:rPr>
                <w:rFonts w:hint="eastAsia" w:ascii="Times New Roman" w:hAnsi="宋体" w:eastAsia="宋体" w:cs="Times New Roman"/>
                <w:color w:val="auto"/>
                <w:szCs w:val="21"/>
                <w:lang w:eastAsia="zh-CN"/>
              </w:rPr>
            </w:pPr>
            <w:r>
              <w:rPr>
                <w:rFonts w:hint="eastAsia" w:ascii="Times New Roman" w:hAnsi="宋体" w:eastAsia="宋体" w:cs="Times New Roman"/>
                <w:color w:val="auto"/>
                <w:szCs w:val="21"/>
              </w:rPr>
              <w:t>42.4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jc w:val="center"/>
              <w:rPr>
                <w:rFonts w:hAnsi="宋体" w:eastAsia="宋体"/>
                <w:color w:val="auto"/>
                <w:szCs w:val="21"/>
              </w:rPr>
            </w:pPr>
            <w:r>
              <w:rPr>
                <w:rFonts w:hAnsi="宋体" w:eastAsia="宋体"/>
                <w:color w:val="auto"/>
                <w:szCs w:val="21"/>
              </w:rPr>
              <w:t>商砼搅拌车</w:t>
            </w:r>
          </w:p>
        </w:tc>
        <w:tc>
          <w:tcPr>
            <w:tcW w:w="786" w:type="dxa"/>
            <w:noWrap w:val="0"/>
            <w:vAlign w:val="center"/>
          </w:tcPr>
          <w:p>
            <w:pPr>
              <w:pStyle w:val="89"/>
              <w:adjustRightInd/>
              <w:snapToGrid/>
              <w:spacing w:line="240" w:lineRule="auto"/>
              <w:ind w:left="-120" w:leftChars="-50" w:right="-120" w:rightChars="-50"/>
              <w:jc w:val="center"/>
              <w:rPr>
                <w:rFonts w:hint="eastAsia" w:eastAsia="宋体"/>
                <w:color w:val="auto"/>
                <w:szCs w:val="21"/>
              </w:rPr>
            </w:pPr>
            <w:r>
              <w:rPr>
                <w:rFonts w:hint="eastAsia" w:eastAsia="宋体"/>
                <w:color w:val="auto"/>
                <w:szCs w:val="21"/>
              </w:rPr>
              <w:t>84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c>
          <w:tcPr>
            <w:tcW w:w="780" w:type="dxa"/>
            <w:tcBorders>
              <w:left w:val="single" w:color="auto" w:sz="4" w:space="0"/>
            </w:tcBorders>
            <w:noWrap w:val="0"/>
            <w:vAlign w:val="center"/>
          </w:tcPr>
          <w:p>
            <w:pPr>
              <w:pStyle w:val="89"/>
              <w:adjustRightInd/>
              <w:snapToGrid/>
              <w:spacing w:line="240" w:lineRule="auto"/>
              <w:jc w:val="center"/>
              <w:rPr>
                <w:rFonts w:hint="eastAsia" w:ascii="Times New Roman" w:hAnsi="宋体" w:eastAsia="宋体" w:cs="Times New Roman"/>
                <w:color w:val="auto"/>
                <w:szCs w:val="21"/>
                <w:lang w:eastAsia="zh-CN"/>
              </w:rPr>
            </w:pPr>
            <w:r>
              <w:rPr>
                <w:rFonts w:hint="eastAsia" w:ascii="Times New Roman" w:hAnsi="宋体" w:eastAsia="宋体" w:cs="Times New Roman"/>
                <w:color w:val="auto"/>
                <w:szCs w:val="21"/>
              </w:rPr>
              <w:t>42.4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41.1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restart"/>
            <w:noWrap w:val="0"/>
            <w:vAlign w:val="center"/>
          </w:tcPr>
          <w:p>
            <w:pPr>
              <w:pStyle w:val="89"/>
              <w:adjustRightInd/>
              <w:snapToGrid/>
              <w:spacing w:line="240" w:lineRule="auto"/>
              <w:ind w:left="-120" w:leftChars="-50" w:right="-120" w:rightChars="-50"/>
              <w:jc w:val="center"/>
              <w:rPr>
                <w:rFonts w:eastAsia="宋体"/>
                <w:color w:val="auto"/>
                <w:szCs w:val="21"/>
              </w:rPr>
            </w:pPr>
            <w:r>
              <w:rPr>
                <w:rFonts w:eastAsia="宋体"/>
                <w:color w:val="auto"/>
                <w:szCs w:val="21"/>
              </w:rPr>
              <w:t>装修</w:t>
            </w:r>
          </w:p>
        </w:tc>
        <w:tc>
          <w:tcPr>
            <w:tcW w:w="149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Ansi="宋体" w:eastAsia="宋体"/>
                <w:color w:val="auto"/>
                <w:szCs w:val="21"/>
              </w:rPr>
              <w:t>云石机、角磨机</w:t>
            </w:r>
          </w:p>
        </w:tc>
        <w:tc>
          <w:tcPr>
            <w:tcW w:w="78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90</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64</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58</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54.4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51.9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50</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47.1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pPr>
              <w:pStyle w:val="89"/>
              <w:adjustRightInd/>
              <w:snapToGrid/>
              <w:spacing w:line="240" w:lineRule="auto"/>
              <w:ind w:left="-120" w:leftChars="-50" w:right="-120" w:rightChars="-50"/>
              <w:jc w:val="center"/>
              <w:rPr>
                <w:rFonts w:eastAsia="宋体"/>
                <w:color w:val="auto"/>
                <w:szCs w:val="21"/>
              </w:rPr>
            </w:pPr>
          </w:p>
        </w:tc>
        <w:tc>
          <w:tcPr>
            <w:tcW w:w="149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Ansi="宋体" w:eastAsia="宋体"/>
                <w:color w:val="auto"/>
                <w:szCs w:val="21"/>
              </w:rPr>
              <w:t>空压机</w:t>
            </w:r>
          </w:p>
        </w:tc>
        <w:tc>
          <w:tcPr>
            <w:tcW w:w="786" w:type="dxa"/>
            <w:noWrap w:val="0"/>
            <w:vAlign w:val="center"/>
          </w:tcPr>
          <w:p>
            <w:pPr>
              <w:pStyle w:val="89"/>
              <w:adjustRightInd/>
              <w:snapToGrid/>
              <w:spacing w:line="240" w:lineRule="auto"/>
              <w:ind w:left="-120" w:leftChars="-50" w:right="-120" w:rightChars="-50"/>
              <w:jc w:val="center"/>
              <w:rPr>
                <w:rFonts w:eastAsia="宋体"/>
                <w:color w:val="auto"/>
                <w:szCs w:val="21"/>
              </w:rPr>
            </w:pPr>
            <w:r>
              <w:rPr>
                <w:rFonts w:hint="eastAsia" w:eastAsia="宋体"/>
                <w:color w:val="auto"/>
                <w:szCs w:val="21"/>
              </w:rPr>
              <w:t>88</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62</w:t>
            </w:r>
          </w:p>
        </w:tc>
        <w:tc>
          <w:tcPr>
            <w:tcW w:w="629"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56</w:t>
            </w:r>
          </w:p>
        </w:tc>
        <w:tc>
          <w:tcPr>
            <w:tcW w:w="92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52.4</w:t>
            </w:r>
          </w:p>
        </w:tc>
        <w:tc>
          <w:tcPr>
            <w:tcW w:w="780"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49.9</w:t>
            </w:r>
          </w:p>
        </w:tc>
        <w:tc>
          <w:tcPr>
            <w:tcW w:w="791" w:type="dxa"/>
            <w:tcBorders>
              <w:righ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48</w:t>
            </w:r>
          </w:p>
        </w:tc>
        <w:tc>
          <w:tcPr>
            <w:tcW w:w="780" w:type="dxa"/>
            <w:tcBorders>
              <w:left w:val="single" w:color="auto" w:sz="4" w:space="0"/>
            </w:tcBorders>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46.4</w:t>
            </w:r>
          </w:p>
        </w:tc>
        <w:tc>
          <w:tcPr>
            <w:tcW w:w="780"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45.1</w:t>
            </w:r>
          </w:p>
        </w:tc>
        <w:tc>
          <w:tcPr>
            <w:tcW w:w="636" w:type="dxa"/>
            <w:noWrap w:val="0"/>
            <w:vAlign w:val="center"/>
          </w:tcPr>
          <w:p>
            <w:pPr>
              <w:pStyle w:val="89"/>
              <w:adjustRightInd/>
              <w:snapToGrid/>
              <w:spacing w:line="240" w:lineRule="auto"/>
              <w:jc w:val="center"/>
              <w:rPr>
                <w:rFonts w:hAnsi="宋体" w:eastAsia="宋体"/>
                <w:color w:val="auto"/>
                <w:szCs w:val="21"/>
              </w:rPr>
            </w:pPr>
            <w:r>
              <w:rPr>
                <w:rFonts w:hint="eastAsia" w:hAnsi="宋体" w:eastAsia="宋体"/>
                <w:color w:val="auto"/>
                <w:szCs w:val="21"/>
              </w:rPr>
              <w:t>42</w:t>
            </w:r>
          </w:p>
        </w:tc>
      </w:tr>
    </w:tbl>
    <w:p>
      <w:pPr>
        <w:autoSpaceDE w:val="0"/>
        <w:autoSpaceDN w:val="0"/>
        <w:adjustRightInd w:val="0"/>
        <w:ind w:firstLine="480"/>
        <w:jc w:val="left"/>
        <w:rPr>
          <w:rFonts w:hint="eastAsia"/>
          <w:color w:val="auto"/>
          <w:kern w:val="0"/>
        </w:rPr>
      </w:pPr>
      <w:r>
        <w:rPr>
          <w:color w:val="auto"/>
        </w:rPr>
        <w:t>由上表预测结果可知，</w:t>
      </w:r>
      <w:r>
        <w:rPr>
          <w:rFonts w:hint="eastAsia"/>
          <w:color w:val="auto"/>
        </w:rPr>
        <w:t>基础工程</w:t>
      </w:r>
      <w:r>
        <w:rPr>
          <w:color w:val="auto"/>
        </w:rPr>
        <w:t>阶段使用较多的打桩机噪声较大，施工噪声的影响范围</w:t>
      </w:r>
      <w:r>
        <w:rPr>
          <w:rFonts w:hint="eastAsia"/>
          <w:color w:val="auto"/>
          <w:lang w:eastAsia="zh-CN"/>
        </w:rPr>
        <w:t>超过</w:t>
      </w:r>
      <w:r>
        <w:rPr>
          <w:color w:val="auto"/>
        </w:rPr>
        <w:t>200m</w:t>
      </w:r>
      <w:r>
        <w:rPr>
          <w:color w:val="auto"/>
          <w:kern w:val="0"/>
        </w:rPr>
        <w:t>。</w:t>
      </w:r>
    </w:p>
    <w:p>
      <w:pPr>
        <w:autoSpaceDE w:val="0"/>
        <w:autoSpaceDN w:val="0"/>
        <w:adjustRightInd w:val="0"/>
        <w:ind w:firstLine="480"/>
        <w:jc w:val="left"/>
        <w:rPr>
          <w:rFonts w:hint="eastAsia"/>
          <w:color w:val="auto"/>
          <w:kern w:val="0"/>
        </w:rPr>
      </w:pPr>
      <w:r>
        <w:rPr>
          <w:color w:val="auto"/>
          <w:kern w:val="0"/>
        </w:rPr>
        <w:t>根据以上预测方法，按不同施工阶段施工机械组合作业情况（土方工程：挖掘机</w:t>
      </w:r>
      <w:r>
        <w:rPr>
          <w:rFonts w:hint="eastAsia"/>
          <w:color w:val="auto"/>
          <w:kern w:val="0"/>
        </w:rPr>
        <w:t>2</w:t>
      </w:r>
      <w:r>
        <w:rPr>
          <w:color w:val="auto"/>
          <w:kern w:val="0"/>
        </w:rPr>
        <w:t>台、推土机</w:t>
      </w:r>
      <w:r>
        <w:rPr>
          <w:rFonts w:hint="eastAsia"/>
          <w:color w:val="auto"/>
          <w:kern w:val="0"/>
        </w:rPr>
        <w:t>2</w:t>
      </w:r>
      <w:r>
        <w:rPr>
          <w:color w:val="auto"/>
          <w:kern w:val="0"/>
        </w:rPr>
        <w:t>台、</w:t>
      </w:r>
      <w:r>
        <w:rPr>
          <w:rFonts w:hint="eastAsia"/>
          <w:color w:val="auto"/>
          <w:kern w:val="0"/>
        </w:rPr>
        <w:t>重型运输车4</w:t>
      </w:r>
      <w:r>
        <w:rPr>
          <w:color w:val="auto"/>
          <w:kern w:val="0"/>
        </w:rPr>
        <w:t>台</w:t>
      </w:r>
      <w:r>
        <w:rPr>
          <w:rFonts w:hint="eastAsia" w:cs="宋体"/>
          <w:color w:val="auto"/>
          <w:kern w:val="0"/>
          <w:lang w:eastAsia="zh-CN"/>
        </w:rPr>
        <w:t>；</w:t>
      </w:r>
      <w:r>
        <w:rPr>
          <w:color w:val="auto"/>
          <w:kern w:val="0"/>
        </w:rPr>
        <w:t>基础工程：打桩机</w:t>
      </w:r>
      <w:r>
        <w:rPr>
          <w:rFonts w:hint="eastAsia"/>
          <w:color w:val="auto"/>
          <w:kern w:val="0"/>
        </w:rPr>
        <w:t>2</w:t>
      </w:r>
      <w:r>
        <w:rPr>
          <w:color w:val="auto"/>
          <w:kern w:val="0"/>
        </w:rPr>
        <w:t>台、运输车辆</w:t>
      </w:r>
      <w:r>
        <w:rPr>
          <w:rFonts w:hint="eastAsia"/>
          <w:color w:val="auto"/>
          <w:kern w:val="0"/>
        </w:rPr>
        <w:t>2</w:t>
      </w:r>
      <w:r>
        <w:rPr>
          <w:color w:val="auto"/>
          <w:kern w:val="0"/>
        </w:rPr>
        <w:t>台</w:t>
      </w:r>
      <w:r>
        <w:rPr>
          <w:rFonts w:hint="eastAsia"/>
          <w:color w:val="auto"/>
          <w:kern w:val="0"/>
        </w:rPr>
        <w:t>、</w:t>
      </w:r>
      <w:r>
        <w:rPr>
          <w:color w:val="auto"/>
          <w:kern w:val="0"/>
        </w:rPr>
        <w:t>混凝土输送泵</w:t>
      </w:r>
      <w:r>
        <w:rPr>
          <w:rFonts w:hint="eastAsia"/>
          <w:color w:val="auto"/>
          <w:kern w:val="0"/>
        </w:rPr>
        <w:t>2台</w:t>
      </w:r>
      <w:r>
        <w:rPr>
          <w:rFonts w:hint="eastAsia" w:cs="宋体"/>
          <w:color w:val="auto"/>
          <w:kern w:val="0"/>
          <w:lang w:eastAsia="zh-CN"/>
        </w:rPr>
        <w:t>；</w:t>
      </w:r>
      <w:r>
        <w:rPr>
          <w:color w:val="auto"/>
          <w:kern w:val="0"/>
        </w:rPr>
        <w:t>结构工程：混凝土搅拌运输车2台</w:t>
      </w:r>
      <w:r>
        <w:rPr>
          <w:rFonts w:hint="eastAsia"/>
          <w:color w:val="auto"/>
          <w:kern w:val="0"/>
        </w:rPr>
        <w:t>、</w:t>
      </w:r>
      <w:r>
        <w:rPr>
          <w:color w:val="auto"/>
          <w:kern w:val="0"/>
        </w:rPr>
        <w:t>混凝土振捣器</w:t>
      </w:r>
      <w:r>
        <w:rPr>
          <w:rFonts w:hint="eastAsia"/>
          <w:color w:val="auto"/>
          <w:kern w:val="0"/>
        </w:rPr>
        <w:t>2台</w:t>
      </w:r>
      <w:r>
        <w:rPr>
          <w:color w:val="auto"/>
          <w:kern w:val="0"/>
        </w:rPr>
        <w:t>、电焊机3台、运输车辆2台</w:t>
      </w:r>
      <w:r>
        <w:rPr>
          <w:rFonts w:hint="eastAsia" w:cs="宋体"/>
          <w:color w:val="auto"/>
          <w:kern w:val="0"/>
          <w:lang w:eastAsia="zh-CN"/>
        </w:rPr>
        <w:t>；</w:t>
      </w:r>
      <w:r>
        <w:rPr>
          <w:color w:val="auto"/>
          <w:kern w:val="0"/>
        </w:rPr>
        <w:t>装修工程：木工电锯2台、角磨机2台</w:t>
      </w:r>
      <w:r>
        <w:rPr>
          <w:rFonts w:hint="eastAsia"/>
          <w:color w:val="auto"/>
          <w:kern w:val="0"/>
        </w:rPr>
        <w:t>、</w:t>
      </w:r>
      <w:r>
        <w:rPr>
          <w:color w:val="auto"/>
          <w:kern w:val="0"/>
        </w:rPr>
        <w:t>空压机</w:t>
      </w:r>
      <w:r>
        <w:rPr>
          <w:rFonts w:hint="eastAsia"/>
          <w:color w:val="auto"/>
          <w:kern w:val="0"/>
        </w:rPr>
        <w:t>2台</w:t>
      </w:r>
      <w:r>
        <w:rPr>
          <w:color w:val="auto"/>
          <w:kern w:val="0"/>
        </w:rPr>
        <w:t>、电焊机2台）</w:t>
      </w:r>
      <w:r>
        <w:rPr>
          <w:rFonts w:hint="eastAsia"/>
          <w:color w:val="auto"/>
          <w:kern w:val="0"/>
        </w:rPr>
        <w:t>。</w:t>
      </w:r>
    </w:p>
    <w:p>
      <w:pPr>
        <w:autoSpaceDE w:val="0"/>
        <w:autoSpaceDN w:val="0"/>
        <w:adjustRightInd w:val="0"/>
        <w:ind w:firstLine="480"/>
        <w:jc w:val="left"/>
        <w:rPr>
          <w:color w:val="auto"/>
          <w:kern w:val="0"/>
        </w:rPr>
      </w:pPr>
      <w:r>
        <w:rPr>
          <w:color w:val="auto"/>
          <w:kern w:val="0"/>
        </w:rPr>
        <w:t>多个机械同时作业的总等效连续A 声级计算公式为：</w:t>
      </w:r>
    </w:p>
    <w:p>
      <w:pPr>
        <w:autoSpaceDE w:val="0"/>
        <w:autoSpaceDN w:val="0"/>
        <w:adjustRightInd w:val="0"/>
        <w:ind w:firstLine="480"/>
        <w:jc w:val="center"/>
        <w:rPr>
          <w:color w:val="auto"/>
          <w:kern w:val="0"/>
        </w:rPr>
      </w:pPr>
      <w:r>
        <w:rPr>
          <w:color w:val="auto"/>
          <w:position w:val="-30"/>
        </w:rPr>
        <w:object>
          <v:shape id="_x0000_i1032" o:spt="75" type="#_x0000_t75" style="height:36pt;width:119pt;" o:ole="t" filled="f" o:preferrelative="t" stroked="f" coordsize="21600,21600">
            <v:path/>
            <v:fill on="f" focussize="0,0"/>
            <v:stroke on="f"/>
            <v:imagedata r:id="rId50" o:title=""/>
            <o:lock v:ext="edit" grouping="f" rotation="f" text="f" aspectratio="t"/>
            <w10:wrap type="none"/>
            <w10:anchorlock/>
          </v:shape>
          <o:OLEObject Type="Embed" ProgID="Equation.3" ShapeID="_x0000_i1032" DrawAspect="Content" ObjectID="_1468075732" r:id="rId49">
            <o:LockedField>false</o:LockedField>
          </o:OLEObject>
        </w:object>
      </w:r>
    </w:p>
    <w:p>
      <w:pPr>
        <w:autoSpaceDE w:val="0"/>
        <w:autoSpaceDN w:val="0"/>
        <w:adjustRightInd w:val="0"/>
        <w:ind w:firstLine="480"/>
        <w:jc w:val="left"/>
        <w:rPr>
          <w:rFonts w:hint="eastAsia"/>
          <w:color w:val="auto"/>
          <w:kern w:val="0"/>
        </w:rPr>
      </w:pPr>
      <w:r>
        <w:rPr>
          <w:color w:val="auto"/>
          <w:kern w:val="0"/>
        </w:rPr>
        <w:t>式中，Leq</w:t>
      </w:r>
      <w:r>
        <w:rPr>
          <w:color w:val="auto"/>
          <w:kern w:val="0"/>
          <w:vertAlign w:val="subscript"/>
        </w:rPr>
        <w:t>i</w:t>
      </w:r>
      <w:r>
        <w:rPr>
          <w:color w:val="auto"/>
          <w:kern w:val="0"/>
        </w:rPr>
        <w:t>－第i个声源对某预测点的等效声级</w:t>
      </w:r>
    </w:p>
    <w:p>
      <w:pPr>
        <w:autoSpaceDE w:val="0"/>
        <w:autoSpaceDN w:val="0"/>
        <w:adjustRightInd w:val="0"/>
        <w:ind w:firstLine="480"/>
        <w:jc w:val="left"/>
        <w:rPr>
          <w:rFonts w:hint="eastAsia"/>
          <w:color w:val="auto"/>
        </w:rPr>
      </w:pPr>
      <w:r>
        <w:rPr>
          <w:rFonts w:hint="eastAsia"/>
          <w:color w:val="auto"/>
          <w:kern w:val="0"/>
        </w:rPr>
        <w:t>根据噪声距离衰减公式和叠加公式计算，</w:t>
      </w:r>
      <w:r>
        <w:rPr>
          <w:color w:val="auto"/>
        </w:rPr>
        <w:t>建筑施工时施工机械对</w:t>
      </w:r>
      <w:r>
        <w:rPr>
          <w:rFonts w:hint="eastAsia"/>
          <w:color w:val="auto"/>
          <w:lang w:eastAsia="zh-CN"/>
        </w:rPr>
        <w:t>场界</w:t>
      </w:r>
      <w:r>
        <w:rPr>
          <w:color w:val="auto"/>
        </w:rPr>
        <w:t>噪声影响结果</w:t>
      </w:r>
      <w:r>
        <w:rPr>
          <w:rFonts w:hint="eastAsia"/>
          <w:color w:val="auto"/>
        </w:rPr>
        <w:t>如下：</w:t>
      </w:r>
    </w:p>
    <w:p>
      <w:pPr>
        <w:spacing w:line="240" w:lineRule="auto"/>
        <w:ind w:firstLine="422"/>
        <w:jc w:val="center"/>
        <w:rPr>
          <w:color w:val="auto"/>
          <w:lang w:val="en-GB"/>
        </w:rPr>
      </w:pPr>
      <w:r>
        <w:rPr>
          <w:b/>
          <w:color w:val="auto"/>
          <w:sz w:val="21"/>
          <w:szCs w:val="21"/>
        </w:rPr>
        <w:t>表</w:t>
      </w:r>
      <w:r>
        <w:rPr>
          <w:rFonts w:hint="eastAsia"/>
          <w:b/>
          <w:color w:val="auto"/>
          <w:sz w:val="21"/>
          <w:szCs w:val="21"/>
          <w:lang w:val="en-US" w:eastAsia="zh-CN"/>
        </w:rPr>
        <w:t>5</w:t>
      </w:r>
      <w:r>
        <w:rPr>
          <w:rFonts w:hint="eastAsia"/>
          <w:b/>
          <w:color w:val="auto"/>
          <w:sz w:val="21"/>
          <w:szCs w:val="21"/>
        </w:rPr>
        <w:t>.1-</w:t>
      </w:r>
      <w:r>
        <w:rPr>
          <w:rFonts w:hint="eastAsia"/>
          <w:b/>
          <w:color w:val="auto"/>
          <w:sz w:val="21"/>
          <w:szCs w:val="21"/>
          <w:lang w:val="en-US" w:eastAsia="zh-CN"/>
        </w:rPr>
        <w:t>7</w:t>
      </w:r>
      <w:r>
        <w:rPr>
          <w:rFonts w:hint="eastAsia"/>
          <w:b/>
          <w:color w:val="auto"/>
          <w:sz w:val="21"/>
          <w:szCs w:val="21"/>
        </w:rPr>
        <w:t xml:space="preserve">  </w:t>
      </w:r>
      <w:r>
        <w:rPr>
          <w:b/>
          <w:color w:val="auto"/>
          <w:sz w:val="21"/>
          <w:szCs w:val="21"/>
        </w:rPr>
        <w:t>不同施工期施工场界噪声影响计算结果</w:t>
      </w:r>
    </w:p>
    <w:tbl>
      <w:tblPr>
        <w:tblStyle w:val="48"/>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69"/>
        <w:gridCol w:w="915"/>
        <w:gridCol w:w="1337"/>
        <w:gridCol w:w="1390"/>
        <w:gridCol w:w="1235"/>
        <w:gridCol w:w="1386"/>
        <w:gridCol w:w="135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99" w:hRule="exact"/>
          <w:jc w:val="center"/>
        </w:trPr>
        <w:tc>
          <w:tcPr>
            <w:tcW w:w="1784" w:type="dxa"/>
            <w:gridSpan w:val="2"/>
            <w:vMerge w:val="restart"/>
            <w:noWrap w:val="0"/>
            <w:vAlign w:val="center"/>
          </w:tcPr>
          <w:p>
            <w:pPr>
              <w:pStyle w:val="89"/>
              <w:adjustRightInd/>
              <w:snapToGrid/>
              <w:spacing w:line="240" w:lineRule="auto"/>
              <w:jc w:val="center"/>
              <w:rPr>
                <w:rFonts w:eastAsia="宋体"/>
                <w:color w:val="auto"/>
                <w:szCs w:val="21"/>
              </w:rPr>
            </w:pPr>
            <w:r>
              <w:rPr>
                <w:rFonts w:eastAsia="宋体"/>
                <w:color w:val="auto"/>
                <w:szCs w:val="21"/>
              </w:rPr>
              <w:t>项目</w:t>
            </w:r>
          </w:p>
        </w:tc>
        <w:tc>
          <w:tcPr>
            <w:tcW w:w="1337" w:type="dxa"/>
            <w:vMerge w:val="restart"/>
            <w:noWrap w:val="0"/>
            <w:vAlign w:val="center"/>
          </w:tcPr>
          <w:p>
            <w:pPr>
              <w:pStyle w:val="89"/>
              <w:adjustRightInd/>
              <w:snapToGrid/>
              <w:spacing w:line="240" w:lineRule="auto"/>
              <w:jc w:val="center"/>
              <w:rPr>
                <w:rFonts w:eastAsia="宋体"/>
                <w:color w:val="auto"/>
                <w:szCs w:val="21"/>
              </w:rPr>
            </w:pPr>
            <w:r>
              <w:rPr>
                <w:rFonts w:eastAsia="宋体"/>
                <w:color w:val="auto"/>
                <w:szCs w:val="21"/>
              </w:rPr>
              <w:t>最近距离（m）</w:t>
            </w:r>
          </w:p>
        </w:tc>
        <w:tc>
          <w:tcPr>
            <w:tcW w:w="5364" w:type="dxa"/>
            <w:gridSpan w:val="4"/>
            <w:noWrap w:val="0"/>
            <w:vAlign w:val="center"/>
          </w:tcPr>
          <w:p>
            <w:pPr>
              <w:pStyle w:val="89"/>
              <w:adjustRightInd/>
              <w:snapToGrid/>
              <w:spacing w:line="240" w:lineRule="auto"/>
              <w:jc w:val="center"/>
              <w:rPr>
                <w:rFonts w:eastAsia="宋体"/>
                <w:color w:val="auto"/>
                <w:szCs w:val="21"/>
              </w:rPr>
            </w:pPr>
            <w:r>
              <w:rPr>
                <w:rFonts w:eastAsia="宋体"/>
                <w:color w:val="auto"/>
                <w:szCs w:val="21"/>
              </w:rPr>
              <w:t>噪声影响值，dB(A)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1784" w:type="dxa"/>
            <w:gridSpan w:val="2"/>
            <w:vMerge w:val="continue"/>
            <w:noWrap w:val="0"/>
            <w:vAlign w:val="center"/>
          </w:tcPr>
          <w:p>
            <w:pPr>
              <w:pStyle w:val="89"/>
              <w:adjustRightInd/>
              <w:snapToGrid/>
              <w:spacing w:line="240" w:lineRule="auto"/>
              <w:jc w:val="center"/>
              <w:rPr>
                <w:rFonts w:eastAsia="宋体"/>
                <w:color w:val="auto"/>
                <w:szCs w:val="21"/>
              </w:rPr>
            </w:pPr>
          </w:p>
        </w:tc>
        <w:tc>
          <w:tcPr>
            <w:tcW w:w="1337" w:type="dxa"/>
            <w:vMerge w:val="continue"/>
            <w:noWrap w:val="0"/>
            <w:vAlign w:val="center"/>
          </w:tcPr>
          <w:p>
            <w:pPr>
              <w:pStyle w:val="89"/>
              <w:adjustRightInd/>
              <w:snapToGrid/>
              <w:spacing w:line="240" w:lineRule="auto"/>
              <w:jc w:val="center"/>
              <w:rPr>
                <w:rFonts w:eastAsia="宋体"/>
                <w:color w:val="auto"/>
                <w:szCs w:val="21"/>
              </w:rPr>
            </w:pPr>
          </w:p>
        </w:tc>
        <w:tc>
          <w:tcPr>
            <w:tcW w:w="1390"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土石方</w:t>
            </w:r>
          </w:p>
        </w:tc>
        <w:tc>
          <w:tcPr>
            <w:tcW w:w="1235"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基础工程</w:t>
            </w:r>
          </w:p>
        </w:tc>
        <w:tc>
          <w:tcPr>
            <w:tcW w:w="1386"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结构</w:t>
            </w:r>
          </w:p>
        </w:tc>
        <w:tc>
          <w:tcPr>
            <w:tcW w:w="1353"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装修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1784" w:type="dxa"/>
            <w:gridSpan w:val="2"/>
            <w:noWrap w:val="0"/>
            <w:vAlign w:val="center"/>
          </w:tcPr>
          <w:p>
            <w:pPr>
              <w:pStyle w:val="89"/>
              <w:adjustRightInd/>
              <w:snapToGrid/>
              <w:spacing w:line="240" w:lineRule="auto"/>
              <w:jc w:val="center"/>
              <w:rPr>
                <w:rFonts w:hint="eastAsia" w:eastAsia="宋体"/>
                <w:color w:val="auto"/>
                <w:szCs w:val="21"/>
                <w:lang w:eastAsia="zh-CN"/>
              </w:rPr>
            </w:pPr>
            <w:r>
              <w:rPr>
                <w:rFonts w:hint="eastAsia" w:eastAsia="宋体"/>
                <w:color w:val="auto"/>
                <w:szCs w:val="21"/>
                <w:lang w:eastAsia="zh-CN"/>
              </w:rPr>
              <w:t>东厂界</w:t>
            </w:r>
          </w:p>
        </w:tc>
        <w:tc>
          <w:tcPr>
            <w:tcW w:w="1337" w:type="dxa"/>
            <w:noWrap w:val="0"/>
            <w:vAlign w:val="center"/>
          </w:tcPr>
          <w:p>
            <w:pPr>
              <w:pStyle w:val="89"/>
              <w:adjustRightInd/>
              <w:snapToGrid/>
              <w:spacing w:line="240" w:lineRule="auto"/>
              <w:jc w:val="center"/>
              <w:rPr>
                <w:rFonts w:eastAsia="宋体"/>
                <w:color w:val="auto"/>
                <w:szCs w:val="21"/>
                <w:highlight w:val="none"/>
              </w:rPr>
            </w:pPr>
            <w:r>
              <w:rPr>
                <w:rFonts w:hint="eastAsia" w:eastAsia="宋体"/>
                <w:color w:val="auto"/>
                <w:szCs w:val="21"/>
                <w:highlight w:val="none"/>
              </w:rPr>
              <w:t>20</w:t>
            </w:r>
          </w:p>
        </w:tc>
        <w:tc>
          <w:tcPr>
            <w:tcW w:w="1390"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235"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82.1</w:t>
            </w:r>
          </w:p>
        </w:tc>
        <w:tc>
          <w:tcPr>
            <w:tcW w:w="1386"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353"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69.1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1784" w:type="dxa"/>
            <w:gridSpan w:val="2"/>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南</w:t>
            </w:r>
            <w:r>
              <w:rPr>
                <w:rFonts w:eastAsia="宋体"/>
                <w:color w:val="auto"/>
                <w:szCs w:val="21"/>
              </w:rPr>
              <w:t>场界</w:t>
            </w:r>
          </w:p>
        </w:tc>
        <w:tc>
          <w:tcPr>
            <w:tcW w:w="1337" w:type="dxa"/>
            <w:noWrap w:val="0"/>
            <w:vAlign w:val="center"/>
          </w:tcPr>
          <w:p>
            <w:pPr>
              <w:pStyle w:val="89"/>
              <w:adjustRightInd/>
              <w:snapToGrid/>
              <w:spacing w:line="240" w:lineRule="auto"/>
              <w:jc w:val="center"/>
              <w:rPr>
                <w:rFonts w:eastAsia="宋体"/>
                <w:color w:val="auto"/>
                <w:szCs w:val="21"/>
                <w:highlight w:val="none"/>
              </w:rPr>
            </w:pPr>
            <w:r>
              <w:rPr>
                <w:rFonts w:hint="eastAsia" w:eastAsia="宋体"/>
                <w:color w:val="auto"/>
                <w:szCs w:val="21"/>
                <w:highlight w:val="none"/>
              </w:rPr>
              <w:t>20</w:t>
            </w:r>
          </w:p>
        </w:tc>
        <w:tc>
          <w:tcPr>
            <w:tcW w:w="1390"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235"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82.1</w:t>
            </w:r>
          </w:p>
        </w:tc>
        <w:tc>
          <w:tcPr>
            <w:tcW w:w="1386"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353"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69.1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1784" w:type="dxa"/>
            <w:gridSpan w:val="2"/>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西</w:t>
            </w:r>
            <w:r>
              <w:rPr>
                <w:rFonts w:eastAsia="宋体"/>
                <w:color w:val="auto"/>
                <w:szCs w:val="21"/>
              </w:rPr>
              <w:t>场界</w:t>
            </w:r>
          </w:p>
        </w:tc>
        <w:tc>
          <w:tcPr>
            <w:tcW w:w="1337" w:type="dxa"/>
            <w:noWrap w:val="0"/>
            <w:vAlign w:val="center"/>
          </w:tcPr>
          <w:p>
            <w:pPr>
              <w:pStyle w:val="89"/>
              <w:adjustRightInd/>
              <w:snapToGrid/>
              <w:spacing w:line="240" w:lineRule="auto"/>
              <w:jc w:val="center"/>
              <w:rPr>
                <w:rFonts w:eastAsia="宋体"/>
                <w:color w:val="auto"/>
                <w:szCs w:val="21"/>
                <w:highlight w:val="none"/>
              </w:rPr>
            </w:pPr>
            <w:r>
              <w:rPr>
                <w:rFonts w:hint="eastAsia" w:eastAsia="宋体"/>
                <w:color w:val="auto"/>
                <w:szCs w:val="21"/>
                <w:highlight w:val="none"/>
              </w:rPr>
              <w:t>20</w:t>
            </w:r>
          </w:p>
        </w:tc>
        <w:tc>
          <w:tcPr>
            <w:tcW w:w="1390"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235"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82.1</w:t>
            </w:r>
          </w:p>
        </w:tc>
        <w:tc>
          <w:tcPr>
            <w:tcW w:w="1386"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68.8</w:t>
            </w:r>
          </w:p>
        </w:tc>
        <w:tc>
          <w:tcPr>
            <w:tcW w:w="1353"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69.1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1784" w:type="dxa"/>
            <w:gridSpan w:val="2"/>
            <w:noWrap w:val="0"/>
            <w:vAlign w:val="center"/>
          </w:tcPr>
          <w:p>
            <w:pPr>
              <w:pStyle w:val="89"/>
              <w:adjustRightInd/>
              <w:snapToGrid/>
              <w:spacing w:line="240" w:lineRule="auto"/>
              <w:jc w:val="center"/>
              <w:rPr>
                <w:rFonts w:hint="default" w:eastAsia="宋体"/>
                <w:color w:val="auto"/>
                <w:szCs w:val="21"/>
                <w:lang w:val="en-US" w:eastAsia="zh-CN"/>
              </w:rPr>
            </w:pPr>
            <w:r>
              <w:rPr>
                <w:rFonts w:hint="eastAsia" w:eastAsia="宋体"/>
                <w:color w:val="auto"/>
                <w:szCs w:val="21"/>
                <w:lang w:val="en-US" w:eastAsia="zh-CN"/>
              </w:rPr>
              <w:t xml:space="preserve"> 西厂界</w:t>
            </w:r>
          </w:p>
        </w:tc>
        <w:tc>
          <w:tcPr>
            <w:tcW w:w="1337" w:type="dxa"/>
            <w:noWrap w:val="0"/>
            <w:vAlign w:val="center"/>
          </w:tcPr>
          <w:p>
            <w:pPr>
              <w:pStyle w:val="89"/>
              <w:adjustRightInd/>
              <w:snapToGrid/>
              <w:spacing w:line="240" w:lineRule="auto"/>
              <w:jc w:val="center"/>
              <w:rPr>
                <w:rFonts w:eastAsia="宋体"/>
                <w:color w:val="auto"/>
                <w:szCs w:val="21"/>
                <w:highlight w:val="none"/>
              </w:rPr>
            </w:pPr>
            <w:r>
              <w:rPr>
                <w:rFonts w:hint="eastAsia" w:eastAsia="宋体"/>
                <w:color w:val="auto"/>
                <w:szCs w:val="21"/>
                <w:highlight w:val="none"/>
              </w:rPr>
              <w:t>40</w:t>
            </w:r>
          </w:p>
        </w:tc>
        <w:tc>
          <w:tcPr>
            <w:tcW w:w="1390"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62.8</w:t>
            </w:r>
          </w:p>
        </w:tc>
        <w:tc>
          <w:tcPr>
            <w:tcW w:w="1235"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76.1</w:t>
            </w:r>
          </w:p>
        </w:tc>
        <w:tc>
          <w:tcPr>
            <w:tcW w:w="1386"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62.8</w:t>
            </w:r>
          </w:p>
        </w:tc>
        <w:tc>
          <w:tcPr>
            <w:tcW w:w="1353" w:type="dxa"/>
            <w:noWrap w:val="0"/>
            <w:vAlign w:val="center"/>
          </w:tcPr>
          <w:p>
            <w:pPr>
              <w:pStyle w:val="89"/>
              <w:adjustRightInd/>
              <w:snapToGrid/>
              <w:spacing w:line="240" w:lineRule="auto"/>
              <w:jc w:val="center"/>
              <w:rPr>
                <w:rFonts w:eastAsia="宋体"/>
                <w:color w:val="auto"/>
                <w:szCs w:val="21"/>
              </w:rPr>
            </w:pPr>
            <w:r>
              <w:rPr>
                <w:rFonts w:hint="eastAsia" w:eastAsia="宋体"/>
                <w:color w:val="auto"/>
                <w:szCs w:val="21"/>
              </w:rPr>
              <w:t>63.1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869" w:type="dxa"/>
            <w:vMerge w:val="restart"/>
            <w:noWrap w:val="0"/>
            <w:vAlign w:val="center"/>
          </w:tcPr>
          <w:p>
            <w:pPr>
              <w:pStyle w:val="89"/>
              <w:adjustRightInd/>
              <w:snapToGrid/>
              <w:spacing w:line="240" w:lineRule="auto"/>
              <w:jc w:val="center"/>
              <w:rPr>
                <w:rFonts w:eastAsia="宋体"/>
                <w:color w:val="auto"/>
                <w:szCs w:val="21"/>
              </w:rPr>
            </w:pPr>
            <w:r>
              <w:rPr>
                <w:rFonts w:eastAsia="宋体"/>
                <w:color w:val="auto"/>
                <w:szCs w:val="21"/>
              </w:rPr>
              <w:t>标准值</w:t>
            </w:r>
          </w:p>
        </w:tc>
        <w:tc>
          <w:tcPr>
            <w:tcW w:w="915"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昼间</w:t>
            </w:r>
          </w:p>
        </w:tc>
        <w:tc>
          <w:tcPr>
            <w:tcW w:w="1337"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w:t>
            </w:r>
          </w:p>
        </w:tc>
        <w:tc>
          <w:tcPr>
            <w:tcW w:w="5364" w:type="dxa"/>
            <w:gridSpan w:val="4"/>
            <w:noWrap w:val="0"/>
            <w:vAlign w:val="center"/>
          </w:tcPr>
          <w:p>
            <w:pPr>
              <w:pStyle w:val="89"/>
              <w:adjustRightInd/>
              <w:snapToGrid/>
              <w:spacing w:line="240" w:lineRule="auto"/>
              <w:jc w:val="center"/>
              <w:rPr>
                <w:rFonts w:eastAsia="宋体"/>
                <w:color w:val="auto"/>
                <w:szCs w:val="21"/>
              </w:rPr>
            </w:pPr>
            <w:r>
              <w:rPr>
                <w:rFonts w:eastAsia="宋体"/>
                <w:color w:val="auto"/>
                <w:szCs w:val="21"/>
              </w:rPr>
              <w:t>70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79" w:hRule="exact"/>
          <w:jc w:val="center"/>
        </w:trPr>
        <w:tc>
          <w:tcPr>
            <w:tcW w:w="869" w:type="dxa"/>
            <w:vMerge w:val="continue"/>
            <w:noWrap w:val="0"/>
            <w:vAlign w:val="center"/>
          </w:tcPr>
          <w:p>
            <w:pPr>
              <w:pStyle w:val="89"/>
              <w:adjustRightInd/>
              <w:snapToGrid/>
              <w:spacing w:line="240" w:lineRule="auto"/>
              <w:jc w:val="center"/>
              <w:rPr>
                <w:rFonts w:eastAsia="宋体"/>
                <w:color w:val="auto"/>
                <w:szCs w:val="21"/>
              </w:rPr>
            </w:pPr>
          </w:p>
        </w:tc>
        <w:tc>
          <w:tcPr>
            <w:tcW w:w="915"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夜间</w:t>
            </w:r>
          </w:p>
        </w:tc>
        <w:tc>
          <w:tcPr>
            <w:tcW w:w="1337" w:type="dxa"/>
            <w:noWrap w:val="0"/>
            <w:vAlign w:val="center"/>
          </w:tcPr>
          <w:p>
            <w:pPr>
              <w:pStyle w:val="89"/>
              <w:adjustRightInd/>
              <w:snapToGrid/>
              <w:spacing w:line="240" w:lineRule="auto"/>
              <w:jc w:val="center"/>
              <w:rPr>
                <w:rFonts w:eastAsia="宋体"/>
                <w:color w:val="auto"/>
                <w:szCs w:val="21"/>
              </w:rPr>
            </w:pPr>
            <w:r>
              <w:rPr>
                <w:rFonts w:eastAsia="宋体"/>
                <w:color w:val="auto"/>
                <w:szCs w:val="21"/>
              </w:rPr>
              <w:t>—</w:t>
            </w:r>
          </w:p>
        </w:tc>
        <w:tc>
          <w:tcPr>
            <w:tcW w:w="5364" w:type="dxa"/>
            <w:gridSpan w:val="4"/>
            <w:noWrap w:val="0"/>
            <w:vAlign w:val="center"/>
          </w:tcPr>
          <w:p>
            <w:pPr>
              <w:pStyle w:val="89"/>
              <w:adjustRightInd/>
              <w:snapToGrid/>
              <w:spacing w:line="240" w:lineRule="auto"/>
              <w:jc w:val="center"/>
              <w:rPr>
                <w:rFonts w:eastAsia="宋体"/>
                <w:color w:val="auto"/>
                <w:szCs w:val="21"/>
              </w:rPr>
            </w:pPr>
            <w:r>
              <w:rPr>
                <w:rFonts w:eastAsia="宋体"/>
                <w:color w:val="auto"/>
                <w:szCs w:val="21"/>
              </w:rPr>
              <w:t>55</w:t>
            </w:r>
          </w:p>
        </w:tc>
      </w:tr>
    </w:tbl>
    <w:p>
      <w:pPr>
        <w:pageBreakBefore w:val="0"/>
        <w:widowControl w:val="0"/>
        <w:kinsoku/>
        <w:wordWrap/>
        <w:overflowPunct/>
        <w:topLinePunct w:val="0"/>
        <w:autoSpaceDE w:val="0"/>
        <w:autoSpaceDN w:val="0"/>
        <w:bidi w:val="0"/>
        <w:adjustRightInd w:val="0"/>
        <w:spacing w:line="360" w:lineRule="auto"/>
        <w:ind w:right="0" w:rightChars="0" w:firstLine="480"/>
        <w:jc w:val="left"/>
        <w:textAlignment w:val="auto"/>
        <w:rPr>
          <w:rFonts w:hint="eastAsia"/>
          <w:color w:val="auto"/>
          <w:kern w:val="0"/>
          <w:highlight w:val="none"/>
        </w:rPr>
      </w:pPr>
      <w:r>
        <w:rPr>
          <w:color w:val="auto"/>
          <w:highlight w:val="none"/>
        </w:rPr>
        <w:t>从表</w:t>
      </w:r>
      <w:r>
        <w:rPr>
          <w:rFonts w:hint="eastAsia"/>
          <w:color w:val="auto"/>
          <w:highlight w:val="none"/>
          <w:lang w:val="en-US" w:eastAsia="zh-CN"/>
        </w:rPr>
        <w:t>5.</w:t>
      </w:r>
      <w:r>
        <w:rPr>
          <w:rFonts w:hint="eastAsia"/>
          <w:color w:val="auto"/>
          <w:highlight w:val="none"/>
        </w:rPr>
        <w:t>1-</w:t>
      </w:r>
      <w:r>
        <w:rPr>
          <w:rFonts w:hint="eastAsia"/>
          <w:color w:val="auto"/>
          <w:highlight w:val="none"/>
          <w:lang w:val="en-US" w:eastAsia="zh-CN"/>
        </w:rPr>
        <w:t>7</w:t>
      </w:r>
      <w:r>
        <w:rPr>
          <w:color w:val="auto"/>
          <w:highlight w:val="none"/>
        </w:rPr>
        <w:t>预测结果可见，</w:t>
      </w:r>
      <w:r>
        <w:rPr>
          <w:rFonts w:hint="eastAsia"/>
          <w:color w:val="auto"/>
          <w:highlight w:val="none"/>
        </w:rPr>
        <w:t>各阶段施工时对</w:t>
      </w:r>
      <w:r>
        <w:rPr>
          <w:color w:val="auto"/>
          <w:highlight w:val="none"/>
        </w:rPr>
        <w:t>各场界的影响值均</w:t>
      </w:r>
      <w:r>
        <w:rPr>
          <w:rFonts w:hint="eastAsia"/>
          <w:color w:val="auto"/>
          <w:highlight w:val="none"/>
        </w:rPr>
        <w:t>不能</w:t>
      </w:r>
      <w:r>
        <w:rPr>
          <w:color w:val="auto"/>
          <w:highlight w:val="none"/>
        </w:rPr>
        <w:t>达到《建筑施工场界环境噪声排放标准》（GB12523-2011）相应施工阶段昼间噪声限值要求</w:t>
      </w:r>
      <w:r>
        <w:rPr>
          <w:rFonts w:hint="eastAsia"/>
          <w:color w:val="auto"/>
          <w:highlight w:val="none"/>
        </w:rPr>
        <w:t>，基础工程阶段尤为突出，最大超标分贝为12.1dB（A）</w:t>
      </w:r>
      <w:r>
        <w:rPr>
          <w:color w:val="auto"/>
          <w:highlight w:val="none"/>
        </w:rPr>
        <w:t>，产生这一结果的主要原因是拟建建筑距离各场界距离较近</w:t>
      </w:r>
      <w:r>
        <w:rPr>
          <w:rFonts w:hint="eastAsia"/>
          <w:color w:val="auto"/>
          <w:highlight w:val="none"/>
        </w:rPr>
        <w:t>。</w:t>
      </w:r>
    </w:p>
    <w:p>
      <w:pPr>
        <w:pageBreakBefore w:val="0"/>
        <w:widowControl w:val="0"/>
        <w:kinsoku/>
        <w:wordWrap/>
        <w:overflowPunct/>
        <w:topLinePunct w:val="0"/>
        <w:autoSpaceDE w:val="0"/>
        <w:autoSpaceDN w:val="0"/>
        <w:bidi w:val="0"/>
        <w:adjustRightInd w:val="0"/>
        <w:spacing w:line="360" w:lineRule="auto"/>
        <w:ind w:right="0" w:rightChars="0" w:firstLine="480"/>
        <w:jc w:val="left"/>
        <w:textAlignment w:val="auto"/>
        <w:rPr>
          <w:color w:val="auto"/>
          <w:kern w:val="0"/>
        </w:rPr>
      </w:pPr>
      <w:r>
        <w:rPr>
          <w:rFonts w:hint="eastAsia"/>
          <w:color w:val="auto"/>
          <w:kern w:val="0"/>
        </w:rPr>
        <w:t>2、</w:t>
      </w:r>
      <w:r>
        <w:rPr>
          <w:color w:val="auto"/>
          <w:kern w:val="0"/>
        </w:rPr>
        <w:t>运输车辆噪声环境影响预测与评价</w:t>
      </w:r>
    </w:p>
    <w:p>
      <w:pPr>
        <w:pageBreakBefore w:val="0"/>
        <w:widowControl w:val="0"/>
        <w:kinsoku/>
        <w:wordWrap/>
        <w:overflowPunct/>
        <w:topLinePunct w:val="0"/>
        <w:autoSpaceDE w:val="0"/>
        <w:autoSpaceDN w:val="0"/>
        <w:bidi w:val="0"/>
        <w:adjustRightInd w:val="0"/>
        <w:spacing w:line="360" w:lineRule="auto"/>
        <w:ind w:right="0" w:rightChars="0" w:firstLine="480"/>
        <w:jc w:val="left"/>
        <w:textAlignment w:val="auto"/>
        <w:rPr>
          <w:rFonts w:hint="eastAsia"/>
          <w:color w:val="auto"/>
          <w:kern w:val="0"/>
        </w:rPr>
      </w:pPr>
      <w:r>
        <w:rPr>
          <w:color w:val="auto"/>
          <w:kern w:val="0"/>
        </w:rPr>
        <w:t>由工程分析可知，本项目施工期运输车辆噪声在75~</w:t>
      </w:r>
      <w:r>
        <w:rPr>
          <w:rFonts w:hint="eastAsia"/>
          <w:color w:val="auto"/>
          <w:kern w:val="0"/>
          <w:lang w:val="en-US" w:eastAsia="zh-CN"/>
        </w:rPr>
        <w:t>91</w:t>
      </w:r>
      <w:r>
        <w:rPr>
          <w:color w:val="auto"/>
          <w:kern w:val="0"/>
        </w:rPr>
        <w:t>dB(A)之间。为了减少运输车辆噪声对环境保护目标的影响，建议施工期间合理设置运输车辆进出工地的出入口，远离环境保护目标处。运输车辆出入工地时严禁鸣笛。由于运输车辆流动性较强，较难定量分析，并且随着施工期的结束，运输车辆对周围环境的噪声影响也会结束。因此施工期运输车辆噪声不会对项目所在地周围声环境产生明显不利影响。</w:t>
      </w:r>
    </w:p>
    <w:p>
      <w:pPr>
        <w:pageBreakBefore w:val="0"/>
        <w:widowControl w:val="0"/>
        <w:kinsoku/>
        <w:wordWrap/>
        <w:overflowPunct/>
        <w:topLinePunct w:val="0"/>
        <w:autoSpaceDE w:val="0"/>
        <w:autoSpaceDN w:val="0"/>
        <w:bidi w:val="0"/>
        <w:adjustRightInd w:val="0"/>
        <w:spacing w:line="360" w:lineRule="auto"/>
        <w:ind w:right="0" w:rightChars="0" w:firstLine="480"/>
        <w:jc w:val="left"/>
        <w:textAlignment w:val="auto"/>
        <w:rPr>
          <w:rFonts w:hint="eastAsia"/>
          <w:color w:val="auto"/>
          <w:kern w:val="0"/>
        </w:rPr>
      </w:pPr>
      <w:r>
        <w:rPr>
          <w:rFonts w:hint="eastAsia"/>
          <w:color w:val="auto"/>
          <w:kern w:val="0"/>
          <w:lang w:val="en-US" w:eastAsia="zh-CN"/>
        </w:rPr>
        <w:t>3、</w:t>
      </w:r>
      <w:r>
        <w:rPr>
          <w:color w:val="auto"/>
          <w:kern w:val="0"/>
        </w:rPr>
        <w:t>区域环境的影响分析</w:t>
      </w:r>
    </w:p>
    <w:p>
      <w:pPr>
        <w:pageBreakBefore w:val="0"/>
        <w:widowControl w:val="0"/>
        <w:kinsoku/>
        <w:wordWrap/>
        <w:overflowPunct/>
        <w:topLinePunct w:val="0"/>
        <w:bidi w:val="0"/>
        <w:spacing w:line="360" w:lineRule="auto"/>
        <w:ind w:right="0" w:rightChars="0" w:firstLine="480"/>
        <w:textAlignment w:val="auto"/>
        <w:rPr>
          <w:rFonts w:hint="eastAsia" w:hAnsi="宋体"/>
          <w:color w:val="auto"/>
        </w:rPr>
      </w:pPr>
      <w:r>
        <w:rPr>
          <w:rFonts w:hAnsi="宋体"/>
          <w:color w:val="auto"/>
        </w:rPr>
        <w:t>在建设项目施工期内，</w:t>
      </w:r>
      <w:r>
        <w:rPr>
          <w:rFonts w:hint="eastAsia" w:hAnsi="宋体"/>
          <w:color w:val="auto"/>
        </w:rPr>
        <w:t>施工噪声对其影响较大，要求项目施工期建设单位采取措施，减少施工噪声对四周敏感目标的影响</w:t>
      </w:r>
      <w:r>
        <w:rPr>
          <w:rFonts w:hAnsi="宋体"/>
          <w:color w:val="auto"/>
        </w:rPr>
        <w:t>。</w:t>
      </w:r>
      <w:r>
        <w:rPr>
          <w:rFonts w:hint="eastAsia" w:hAnsi="宋体"/>
          <w:color w:val="auto"/>
        </w:rPr>
        <w:t>具体措施如下：</w:t>
      </w:r>
    </w:p>
    <w:p>
      <w:pPr>
        <w:pageBreakBefore w:val="0"/>
        <w:widowControl w:val="0"/>
        <w:kinsoku/>
        <w:wordWrap/>
        <w:overflowPunct/>
        <w:topLinePunct w:val="0"/>
        <w:bidi w:val="0"/>
        <w:spacing w:line="360" w:lineRule="auto"/>
        <w:ind w:right="0" w:rightChars="0" w:firstLine="480"/>
        <w:textAlignment w:val="auto"/>
        <w:rPr>
          <w:rFonts w:hint="eastAsia" w:eastAsia="宋体"/>
          <w:color w:val="auto"/>
          <w:lang w:eastAsia="zh-CN"/>
        </w:rPr>
      </w:pPr>
      <w:r>
        <w:rPr>
          <w:color w:val="auto"/>
        </w:rPr>
        <w:t>（</w:t>
      </w:r>
      <w:r>
        <w:rPr>
          <w:rFonts w:hint="eastAsia"/>
          <w:color w:val="auto"/>
        </w:rPr>
        <w:t>1</w:t>
      </w:r>
      <w:r>
        <w:rPr>
          <w:color w:val="auto"/>
        </w:rPr>
        <w:t>）</w:t>
      </w:r>
      <w:r>
        <w:rPr>
          <w:rFonts w:hint="eastAsia"/>
          <w:color w:val="auto"/>
        </w:rPr>
        <w:t>选用低噪声施工设备，合理布置高噪声设备，远离场界</w:t>
      </w:r>
      <w:r>
        <w:rPr>
          <w:rFonts w:hint="eastAsia" w:cs="宋体"/>
          <w:color w:val="auto"/>
          <w:lang w:eastAsia="zh-CN"/>
        </w:rPr>
        <w:t>；</w:t>
      </w:r>
    </w:p>
    <w:p>
      <w:pPr>
        <w:pageBreakBefore w:val="0"/>
        <w:widowControl w:val="0"/>
        <w:kinsoku/>
        <w:wordWrap/>
        <w:overflowPunct/>
        <w:topLinePunct w:val="0"/>
        <w:bidi w:val="0"/>
        <w:spacing w:line="360" w:lineRule="auto"/>
        <w:ind w:right="0" w:rightChars="0" w:firstLine="480"/>
        <w:textAlignment w:val="auto"/>
        <w:rPr>
          <w:rFonts w:hint="eastAsia" w:eastAsia="宋体"/>
          <w:color w:val="auto"/>
          <w:lang w:eastAsia="zh-CN"/>
        </w:rPr>
      </w:pPr>
      <w:r>
        <w:rPr>
          <w:rFonts w:hint="eastAsia"/>
          <w:color w:val="auto"/>
        </w:rPr>
        <w:t>（2）</w:t>
      </w:r>
      <w:r>
        <w:rPr>
          <w:color w:val="auto"/>
        </w:rPr>
        <w:t>合理安排施工时间</w:t>
      </w:r>
      <w:r>
        <w:rPr>
          <w:rFonts w:hint="eastAsia"/>
          <w:color w:val="auto"/>
        </w:rPr>
        <w:t>，靠近敏感点处施工时，尽量缩短工期</w:t>
      </w:r>
      <w:r>
        <w:rPr>
          <w:rFonts w:hint="eastAsia" w:cs="宋体"/>
          <w:color w:val="auto"/>
          <w:lang w:eastAsia="zh-CN"/>
        </w:rPr>
        <w:t>；</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color w:val="auto"/>
        </w:rPr>
        <w:t>（</w:t>
      </w:r>
      <w:r>
        <w:rPr>
          <w:rFonts w:hint="eastAsia"/>
          <w:color w:val="auto"/>
        </w:rPr>
        <w:t>3</w:t>
      </w:r>
      <w:r>
        <w:rPr>
          <w:color w:val="auto"/>
        </w:rPr>
        <w:t>）噪声衰减量随距离的增大而增大，至声源10m处噪声衰减20dB（A），50m处衰减约34dB（A），100m处衰减约40dB（A），因此在不影响施工情况下将噪声设备尽量不集中安排，并将其</w:t>
      </w:r>
      <w:r>
        <w:rPr>
          <w:rFonts w:hint="eastAsia"/>
          <w:color w:val="auto"/>
        </w:rPr>
        <w:t>施工点</w:t>
      </w:r>
      <w:r>
        <w:rPr>
          <w:color w:val="auto"/>
        </w:rPr>
        <w:t>移至</w:t>
      </w:r>
      <w:r>
        <w:rPr>
          <w:rFonts w:hint="eastAsia"/>
          <w:color w:val="auto"/>
        </w:rPr>
        <w:t>建设地块中部，远离</w:t>
      </w:r>
      <w:r>
        <w:rPr>
          <w:color w:val="auto"/>
        </w:rPr>
        <w:t>距离居民住宅等敏感点较远处</w:t>
      </w:r>
      <w:r>
        <w:rPr>
          <w:rFonts w:hint="eastAsia"/>
          <w:color w:val="auto"/>
        </w:rPr>
        <w:t>，</w:t>
      </w:r>
      <w:r>
        <w:rPr>
          <w:color w:val="auto"/>
        </w:rPr>
        <w:t>同时对固定的机械设备尽量入棚操作</w:t>
      </w:r>
      <w:r>
        <w:rPr>
          <w:rFonts w:hint="eastAsia"/>
          <w:color w:val="auto"/>
        </w:rPr>
        <w:t>。</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（4）</w:t>
      </w:r>
      <w:r>
        <w:rPr>
          <w:color w:val="auto"/>
        </w:rPr>
        <w:t>在施工场地</w:t>
      </w:r>
      <w:r>
        <w:rPr>
          <w:rFonts w:hint="eastAsia"/>
          <w:color w:val="auto"/>
        </w:rPr>
        <w:t>靠近</w:t>
      </w:r>
      <w:r>
        <w:rPr>
          <w:color w:val="auto"/>
        </w:rPr>
        <w:t>敏感点的地方设立临时声屏障</w:t>
      </w:r>
      <w:r>
        <w:rPr>
          <w:rFonts w:hint="eastAsia"/>
          <w:color w:val="auto"/>
        </w:rPr>
        <w:t>，另外建设过程中，施工顺序采取由南向北、由东向西进行滚动施工</w:t>
      </w:r>
      <w:r>
        <w:rPr>
          <w:rFonts w:hint="eastAsia" w:cs="宋体"/>
          <w:color w:val="auto"/>
          <w:lang w:eastAsia="zh-CN"/>
        </w:rPr>
        <w:t>；</w:t>
      </w:r>
      <w:r>
        <w:rPr>
          <w:color w:val="auto"/>
        </w:rPr>
        <w:t>在施工的结构阶段和装修阶段，对建筑物的外部也应采用围挡，以减轻设备噪声对周围环境的影响</w:t>
      </w:r>
      <w:r>
        <w:rPr>
          <w:rFonts w:hint="eastAsia"/>
          <w:color w:val="auto"/>
        </w:rPr>
        <w:t>。</w:t>
      </w:r>
    </w:p>
    <w:p>
      <w:pPr>
        <w:pageBreakBefore w:val="0"/>
        <w:widowControl w:val="0"/>
        <w:kinsoku/>
        <w:wordWrap/>
        <w:overflowPunct/>
        <w:topLinePunct w:val="0"/>
        <w:bidi w:val="0"/>
        <w:snapToGrid w:val="0"/>
        <w:spacing w:line="360" w:lineRule="auto"/>
        <w:ind w:firstLine="573"/>
        <w:textAlignment w:val="auto"/>
        <w:rPr>
          <w:color w:val="auto"/>
          <w:sz w:val="24"/>
        </w:rPr>
      </w:pPr>
      <w:r>
        <w:rPr>
          <w:color w:val="auto"/>
          <w:sz w:val="24"/>
        </w:rPr>
        <w:t>对此，在建筑施工期间向周围排放噪声必须按照《中华人民共和国环境噪声污染防治法》规定，严格按《建筑施工场界</w:t>
      </w:r>
      <w:r>
        <w:rPr>
          <w:rFonts w:hint="eastAsia"/>
          <w:color w:val="auto"/>
          <w:sz w:val="24"/>
        </w:rPr>
        <w:t>环境噪声排放标准</w:t>
      </w:r>
      <w:r>
        <w:rPr>
          <w:color w:val="auto"/>
          <w:sz w:val="24"/>
        </w:rPr>
        <w:t>》（GB12523-</w:t>
      </w:r>
      <w:r>
        <w:rPr>
          <w:rFonts w:hint="eastAsia"/>
          <w:color w:val="auto"/>
          <w:sz w:val="24"/>
        </w:rPr>
        <w:t>2011</w:t>
      </w:r>
      <w:r>
        <w:rPr>
          <w:color w:val="auto"/>
          <w:sz w:val="24"/>
        </w:rPr>
        <w:t>）进行控制。施工期高噪声设备应合理安排施工时间，夜间禁止使用高噪声机械设备，杜绝深夜施工噪声影响周边居民。确需在夜间进行超过噪声标准施工的</w:t>
      </w:r>
      <w:r>
        <w:rPr>
          <w:rFonts w:hint="eastAsia"/>
          <w:color w:val="auto"/>
          <w:sz w:val="24"/>
          <w:lang w:eastAsia="zh-CN"/>
        </w:rPr>
        <w:t>（如混凝土浇筑等）</w:t>
      </w:r>
      <w:r>
        <w:rPr>
          <w:color w:val="auto"/>
          <w:sz w:val="24"/>
        </w:rPr>
        <w:t>，施工前建设单位应向有关部门申请，经批准后方可进行夜间施工。</w:t>
      </w:r>
    </w:p>
    <w:p>
      <w:pPr>
        <w:pStyle w:val="5"/>
        <w:pageBreakBefore w:val="0"/>
        <w:widowControl w:val="0"/>
        <w:numPr>
          <w:ilvl w:val="0"/>
          <w:numId w:val="0"/>
        </w:numPr>
        <w:kinsoku/>
        <w:wordWrap/>
        <w:overflowPunct/>
        <w:topLinePunct w:val="0"/>
        <w:bidi w:val="0"/>
        <w:spacing w:before="0" w:beforeLines="0" w:line="360" w:lineRule="auto"/>
        <w:ind w:leftChars="0" w:right="0" w:rightChars="0"/>
        <w:textAlignment w:val="auto"/>
        <w:rPr>
          <w:rFonts w:hint="eastAsia"/>
          <w:color w:val="auto"/>
        </w:rPr>
      </w:pPr>
      <w:r>
        <w:rPr>
          <w:rFonts w:hint="eastAsia"/>
          <w:color w:val="auto"/>
          <w:lang w:val="en-US" w:eastAsia="zh-CN"/>
        </w:rPr>
        <w:t>5.1.3</w:t>
      </w:r>
      <w:r>
        <w:rPr>
          <w:rFonts w:hint="eastAsia"/>
          <w:color w:val="auto"/>
        </w:rPr>
        <w:t>施工期水环境影响分析及防治措施</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color w:val="auto"/>
        </w:rPr>
        <w:t>项目施工使用商业混凝土，不在现场搅拌，无搅拌设备清洗废水</w:t>
      </w:r>
      <w:r>
        <w:rPr>
          <w:rFonts w:hint="eastAsia"/>
          <w:color w:val="auto"/>
        </w:rPr>
        <w:t>，施工过程产生的废水主要有施工现场清洗废水、施工设备废水以及施工人员生活污水。</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（1）施工废水</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各种施工机械设备运转的冷却及洗涤用水，会有一定量的油污。同时在设备安装过程中，因调试、清洗设备，也会产生一定量的含油废水。</w:t>
      </w:r>
      <w:r>
        <w:rPr>
          <w:color w:val="auto"/>
        </w:rPr>
        <w:t>在施工过程中应加强对机械设备的检修，以防止设备漏油现象的发生</w:t>
      </w:r>
      <w:r>
        <w:rPr>
          <w:rFonts w:hint="eastAsia" w:cs="宋体"/>
          <w:color w:val="auto"/>
          <w:lang w:eastAsia="zh-CN"/>
        </w:rPr>
        <w:t>；</w:t>
      </w:r>
      <w:r>
        <w:rPr>
          <w:color w:val="auto"/>
        </w:rPr>
        <w:t>施工机械设备的维修应在专业厂家进行，防止施工现场地表油类污染，以减小初期雨水的油类污染物负荷</w:t>
      </w:r>
      <w:r>
        <w:rPr>
          <w:rFonts w:hint="eastAsia"/>
          <w:color w:val="auto"/>
        </w:rPr>
        <w:t>，另外，设置</w:t>
      </w:r>
      <w:r>
        <w:rPr>
          <w:rFonts w:hint="eastAsia"/>
          <w:color w:val="auto"/>
          <w:lang w:eastAsia="zh-CN"/>
        </w:rPr>
        <w:t>隔油池</w:t>
      </w:r>
      <w:r>
        <w:rPr>
          <w:rFonts w:hint="eastAsia"/>
          <w:color w:val="auto"/>
        </w:rPr>
        <w:t>，</w:t>
      </w:r>
      <w:r>
        <w:rPr>
          <w:rFonts w:hint="eastAsia"/>
          <w:color w:val="auto"/>
          <w:lang w:eastAsia="zh-CN"/>
        </w:rPr>
        <w:t>施工</w:t>
      </w:r>
      <w:r>
        <w:rPr>
          <w:rFonts w:hint="eastAsia"/>
          <w:color w:val="auto"/>
        </w:rPr>
        <w:t>废水经</w:t>
      </w:r>
      <w:r>
        <w:rPr>
          <w:rFonts w:hint="eastAsia"/>
          <w:color w:val="auto"/>
          <w:lang w:eastAsia="zh-CN"/>
        </w:rPr>
        <w:t>隔油池</w:t>
      </w:r>
      <w:r>
        <w:rPr>
          <w:rFonts w:hint="eastAsia"/>
          <w:color w:val="auto"/>
        </w:rPr>
        <w:t>处理后回用于洒水抑尘，不外排，对区域地表水环境影响较小。</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（2）生活污水</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它是由于施工队伍的生活活动造成的，包括食堂废水、洗涤废水和冲厕废水。生活污水含有大量细菌和病原体。</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color w:val="auto"/>
        </w:rPr>
        <w:t>项目施工期间，必须严格加强对施工人员的管理，</w:t>
      </w:r>
      <w:r>
        <w:rPr>
          <w:rFonts w:hint="eastAsia"/>
          <w:color w:val="auto"/>
        </w:rPr>
        <w:t>生污水</w:t>
      </w:r>
      <w:r>
        <w:rPr>
          <w:rFonts w:hint="eastAsia"/>
          <w:color w:val="auto"/>
          <w:lang w:eastAsia="zh-CN"/>
        </w:rPr>
        <w:t>经</w:t>
      </w:r>
      <w:r>
        <w:rPr>
          <w:rFonts w:hint="eastAsia"/>
          <w:color w:val="auto"/>
        </w:rPr>
        <w:t>化粪池</w:t>
      </w:r>
      <w:r>
        <w:rPr>
          <w:rFonts w:hint="eastAsia"/>
          <w:color w:val="auto"/>
          <w:lang w:eastAsia="zh-CN"/>
        </w:rPr>
        <w:t>预</w:t>
      </w:r>
      <w:r>
        <w:rPr>
          <w:rFonts w:hint="eastAsia"/>
          <w:color w:val="auto"/>
        </w:rPr>
        <w:t>处理后纳入</w:t>
      </w:r>
      <w:r>
        <w:rPr>
          <w:rFonts w:hint="eastAsia"/>
          <w:color w:val="auto"/>
          <w:lang w:eastAsia="zh-CN"/>
        </w:rPr>
        <w:t>十五里河污水处理厂</w:t>
      </w:r>
      <w:r>
        <w:rPr>
          <w:rFonts w:hint="eastAsia"/>
          <w:color w:val="auto"/>
        </w:rPr>
        <w:t>。</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（3）施工现场清洗废水</w:t>
      </w:r>
    </w:p>
    <w:p>
      <w:pPr>
        <w:pageBreakBefore w:val="0"/>
        <w:widowControl w:val="0"/>
        <w:kinsoku/>
        <w:wordWrap/>
        <w:overflowPunct/>
        <w:topLinePunct w:val="0"/>
        <w:bidi w:val="0"/>
        <w:spacing w:line="360" w:lineRule="auto"/>
        <w:ind w:right="0" w:rightChars="0" w:firstLine="480"/>
        <w:textAlignment w:val="auto"/>
        <w:rPr>
          <w:color w:val="auto"/>
        </w:rPr>
      </w:pPr>
      <w:r>
        <w:rPr>
          <w:rFonts w:hint="eastAsia"/>
          <w:color w:val="auto"/>
        </w:rPr>
        <w:t>它虽然无大量有毒有害污染物质，但其中可能会含有较多的泥土、砂石和一定的地表油污和化学物品。</w:t>
      </w:r>
      <w:r>
        <w:rPr>
          <w:color w:val="auto"/>
        </w:rPr>
        <w:t>施工营地建立处理施工期打桩产生的泥浆水、施工机械清洗废水等废水的沉淀池，此部分废水经沉淀后回用，不外排。</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同时，</w:t>
      </w:r>
      <w:r>
        <w:rPr>
          <w:color w:val="auto"/>
        </w:rPr>
        <w:t>修建</w:t>
      </w:r>
      <w:r>
        <w:rPr>
          <w:rFonts w:hint="eastAsia"/>
          <w:color w:val="auto"/>
        </w:rPr>
        <w:t>临时</w:t>
      </w:r>
      <w:r>
        <w:rPr>
          <w:color w:val="auto"/>
        </w:rPr>
        <w:t>施工废水排放渠道，以引流施工场地内的污废水至沉砂池、沉淀池处理，尽量降低施工期机械洗刷废水对地表水环境和地下水环境的不利影响。</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rPr>
        <w:t>在此基础上，项目施工现场清洗废水对区域地表水影响较小。</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color w:val="auto"/>
        </w:rPr>
      </w:pPr>
      <w:r>
        <w:rPr>
          <w:rFonts w:hint="eastAsia"/>
          <w:color w:val="auto"/>
          <w:lang w:val="en-US" w:eastAsia="zh-CN"/>
        </w:rPr>
        <w:t>5.1.4</w:t>
      </w:r>
      <w:r>
        <w:rPr>
          <w:rFonts w:hint="eastAsia"/>
          <w:color w:val="auto"/>
        </w:rPr>
        <w:t>施工固体废物环境影响分析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hAnsi="宋体"/>
          <w:color w:val="auto"/>
        </w:rPr>
      </w:pPr>
      <w:r>
        <w:rPr>
          <w:color w:val="auto"/>
        </w:rPr>
        <w:t>施工期固体废物主要为</w:t>
      </w:r>
      <w:r>
        <w:rPr>
          <w:rFonts w:hAnsi="宋体"/>
          <w:color w:val="auto"/>
        </w:rPr>
        <w:t>施工建筑垃圾</w:t>
      </w:r>
      <w:r>
        <w:rPr>
          <w:rFonts w:hint="eastAsia" w:hAnsi="宋体"/>
          <w:color w:val="auto"/>
        </w:rPr>
        <w:t>、</w:t>
      </w:r>
      <w:r>
        <w:rPr>
          <w:rFonts w:hAnsi="宋体"/>
          <w:color w:val="auto"/>
        </w:rPr>
        <w:t>施工人员生活垃圾</w:t>
      </w:r>
      <w:r>
        <w:rPr>
          <w:rFonts w:hint="eastAsia" w:hAnsi="宋体"/>
          <w:color w:val="auto"/>
        </w:rPr>
        <w:t>以及弃土方</w:t>
      </w:r>
      <w:r>
        <w:rPr>
          <w:rFonts w:hAnsi="宋体"/>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hAnsi="宋体" w:eastAsia="宋体"/>
          <w:color w:val="auto"/>
          <w:szCs w:val="21"/>
          <w:highlight w:val="none"/>
          <w:lang w:eastAsia="zh-CN"/>
        </w:rPr>
      </w:pPr>
      <w:r>
        <w:rPr>
          <w:rFonts w:hint="eastAsia" w:hAnsi="宋体"/>
          <w:color w:val="auto"/>
          <w:highlight w:val="none"/>
        </w:rPr>
        <w:t>项目</w:t>
      </w:r>
      <w:r>
        <w:rPr>
          <w:rFonts w:hint="eastAsia" w:hAnsi="宋体"/>
          <w:color w:val="auto"/>
          <w:highlight w:val="none"/>
          <w:lang w:val="en-US" w:eastAsia="zh-CN"/>
        </w:rPr>
        <w:t>施</w:t>
      </w:r>
      <w:r>
        <w:rPr>
          <w:rFonts w:hAnsi="宋体"/>
          <w:color w:val="auto"/>
          <w:highlight w:val="none"/>
        </w:rPr>
        <w:t>建筑垃圾</w:t>
      </w:r>
      <w:r>
        <w:rPr>
          <w:rFonts w:hint="eastAsia" w:hAnsi="宋体"/>
          <w:color w:val="auto"/>
          <w:highlight w:val="none"/>
        </w:rPr>
        <w:t>产生量</w:t>
      </w:r>
      <w:r>
        <w:rPr>
          <w:rFonts w:hint="eastAsia" w:hAnsi="宋体"/>
          <w:color w:val="auto"/>
          <w:highlight w:val="none"/>
          <w:lang w:eastAsia="zh-CN"/>
        </w:rPr>
        <w:t>约</w:t>
      </w:r>
      <w:r>
        <w:rPr>
          <w:rFonts w:hint="eastAsia" w:cs="Times New Roman"/>
          <w:color w:val="auto"/>
          <w:highlight w:val="none"/>
          <w:lang w:val="en-US" w:eastAsia="zh-CN"/>
        </w:rPr>
        <w:t>4605</w:t>
      </w:r>
      <w:r>
        <w:rPr>
          <w:rFonts w:hAnsi="宋体"/>
          <w:color w:val="auto"/>
          <w:highlight w:val="none"/>
        </w:rPr>
        <w:t>吨。</w:t>
      </w:r>
      <w:r>
        <w:rPr>
          <w:rFonts w:hint="eastAsia" w:ascii="宋体" w:hAnsi="宋体"/>
          <w:color w:val="auto"/>
          <w:highlight w:val="none"/>
        </w:rPr>
        <w:t>其中</w:t>
      </w:r>
      <w:r>
        <w:rPr>
          <w:rFonts w:hint="eastAsia" w:ascii="宋体" w:hAnsi="宋体"/>
          <w:color w:val="auto"/>
          <w:szCs w:val="21"/>
          <w:highlight w:val="none"/>
        </w:rPr>
        <w:t>钢筋头、废木料</w:t>
      </w:r>
      <w:r>
        <w:rPr>
          <w:rFonts w:hAnsi="宋体"/>
          <w:color w:val="auto"/>
          <w:szCs w:val="21"/>
          <w:highlight w:val="none"/>
        </w:rPr>
        <w:t>占</w:t>
      </w:r>
      <w:r>
        <w:rPr>
          <w:rFonts w:hint="eastAsia" w:cs="Times New Roman"/>
          <w:color w:val="auto"/>
          <w:szCs w:val="21"/>
          <w:highlight w:val="none"/>
          <w:lang w:val="en-US" w:eastAsia="zh-CN"/>
        </w:rPr>
        <w:t>921</w:t>
      </w:r>
      <w:r>
        <w:rPr>
          <w:rFonts w:hAnsi="宋体"/>
          <w:color w:val="auto"/>
          <w:szCs w:val="21"/>
          <w:highlight w:val="none"/>
        </w:rPr>
        <w:t>吨，全部回收利用，</w:t>
      </w:r>
      <w:r>
        <w:rPr>
          <w:rFonts w:hint="eastAsia" w:hAnsi="宋体"/>
          <w:color w:val="auto"/>
          <w:szCs w:val="21"/>
          <w:highlight w:val="none"/>
          <w:lang w:val="en-US" w:eastAsia="zh-CN"/>
        </w:rPr>
        <w:t>一</w:t>
      </w:r>
      <w:r>
        <w:rPr>
          <w:rFonts w:hAnsi="宋体"/>
          <w:color w:val="auto"/>
          <w:szCs w:val="21"/>
          <w:highlight w:val="none"/>
        </w:rPr>
        <w:t>部分建筑垃圾</w:t>
      </w:r>
      <w:r>
        <w:rPr>
          <w:rFonts w:hint="eastAsia" w:hAnsi="宋体"/>
          <w:color w:val="auto"/>
          <w:highlight w:val="none"/>
          <w:lang w:val="en-US" w:eastAsia="zh-CN"/>
        </w:rPr>
        <w:t>水泥、砖块</w:t>
      </w:r>
      <w:r>
        <w:rPr>
          <w:rFonts w:hAnsi="宋体"/>
          <w:color w:val="auto"/>
          <w:szCs w:val="21"/>
          <w:highlight w:val="none"/>
        </w:rPr>
        <w:t>（约</w:t>
      </w:r>
      <w:r>
        <w:rPr>
          <w:rFonts w:hint="eastAsia" w:cs="Times New Roman"/>
          <w:color w:val="auto"/>
          <w:szCs w:val="21"/>
          <w:highlight w:val="none"/>
          <w:lang w:val="en-US" w:eastAsia="zh-CN"/>
        </w:rPr>
        <w:t>1842</w:t>
      </w:r>
      <w:r>
        <w:rPr>
          <w:rFonts w:hAnsi="宋体"/>
          <w:color w:val="auto"/>
          <w:szCs w:val="21"/>
          <w:highlight w:val="none"/>
        </w:rPr>
        <w:t>吨）回收利用作土方，剩下部分</w:t>
      </w:r>
      <w:r>
        <w:rPr>
          <w:rFonts w:hint="eastAsia" w:hAnsi="宋体"/>
          <w:color w:val="auto"/>
          <w:szCs w:val="21"/>
          <w:highlight w:val="none"/>
        </w:rPr>
        <w:t>建筑垃圾</w:t>
      </w:r>
      <w:r>
        <w:rPr>
          <w:rFonts w:hint="eastAsia" w:hAnsi="宋体"/>
          <w:color w:val="auto"/>
          <w:highlight w:val="none"/>
          <w:lang w:val="en-US" w:eastAsia="zh-CN"/>
        </w:rPr>
        <w:t>水泥、砖块</w:t>
      </w:r>
      <w:r>
        <w:rPr>
          <w:rFonts w:hAnsi="宋体"/>
          <w:color w:val="auto"/>
          <w:szCs w:val="21"/>
          <w:highlight w:val="none"/>
        </w:rPr>
        <w:t>（</w:t>
      </w:r>
      <w:r>
        <w:rPr>
          <w:rFonts w:hint="eastAsia" w:cs="Times New Roman"/>
          <w:color w:val="auto"/>
          <w:szCs w:val="21"/>
          <w:highlight w:val="none"/>
          <w:lang w:val="en-US" w:eastAsia="zh-CN"/>
        </w:rPr>
        <w:t>1842</w:t>
      </w:r>
      <w:r>
        <w:rPr>
          <w:rFonts w:hAnsi="宋体"/>
          <w:color w:val="auto"/>
          <w:szCs w:val="21"/>
          <w:highlight w:val="none"/>
        </w:rPr>
        <w:t>吨）向市容环境卫生主管部门申请</w:t>
      </w:r>
      <w:r>
        <w:rPr>
          <w:rFonts w:hint="eastAsia" w:hAnsi="宋体"/>
          <w:color w:val="auto"/>
          <w:szCs w:val="21"/>
          <w:highlight w:val="none"/>
        </w:rPr>
        <w:t>，</w:t>
      </w:r>
      <w:r>
        <w:rPr>
          <w:rFonts w:hint="eastAsia"/>
          <w:color w:val="auto"/>
          <w:highlight w:val="none"/>
        </w:rPr>
        <w:t>堆放至其指定的履行相关手续的合法弃土场</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hAnsi="宋体"/>
          <w:color w:val="auto"/>
        </w:rPr>
      </w:pPr>
      <w:r>
        <w:rPr>
          <w:rFonts w:hint="eastAsia" w:hAnsi="宋体"/>
          <w:color w:val="auto"/>
        </w:rPr>
        <w:t>项目施工人员生活垃圾产生量为66t，集中收集后，由环卫部门清运。</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rFonts w:hint="eastAsia" w:hAnsi="宋体"/>
          <w:color w:val="auto"/>
        </w:rPr>
        <w:t>项目施工期固废均得到有效处置，另外，</w:t>
      </w:r>
      <w:r>
        <w:rPr>
          <w:rFonts w:hAnsi="宋体"/>
          <w:color w:val="auto"/>
        </w:rPr>
        <w:t>根据建设部</w:t>
      </w:r>
      <w:r>
        <w:rPr>
          <w:color w:val="auto"/>
        </w:rPr>
        <w:t>2005</w:t>
      </w:r>
      <w:r>
        <w:rPr>
          <w:rFonts w:hAnsi="宋体"/>
          <w:color w:val="auto"/>
        </w:rPr>
        <w:t>年第</w:t>
      </w:r>
      <w:r>
        <w:rPr>
          <w:color w:val="auto"/>
        </w:rPr>
        <w:t>139</w:t>
      </w:r>
      <w:r>
        <w:rPr>
          <w:rFonts w:hAnsi="宋体"/>
          <w:color w:val="auto"/>
        </w:rPr>
        <w:t>号令《城市建筑垃圾管理规定》：建筑垃圾处置实行减量化、资源化、无害化和谁产生、谁承担处置责任的原则。处置建筑垃圾的单位，应当向城市人民政府市容环境卫生主管部门提出申请，获得城市建筑垃圾处置核准后，方可处置。施工单位不得将建筑垃圾交给个人或者未经核准从事建筑垃圾运输的单位运输。渣土运输过程中严格执行</w:t>
      </w:r>
      <w:r>
        <w:rPr>
          <w:rFonts w:hint="eastAsia" w:hAnsi="宋体"/>
          <w:color w:val="auto"/>
        </w:rPr>
        <w:t>以下</w:t>
      </w:r>
      <w:r>
        <w:rPr>
          <w:rFonts w:hAnsi="宋体"/>
          <w:color w:val="auto"/>
        </w:rPr>
        <w:t>规定：</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rFonts w:hAnsi="宋体"/>
          <w:color w:val="auto"/>
        </w:rPr>
        <w:t>（</w:t>
      </w:r>
      <w:r>
        <w:rPr>
          <w:color w:val="auto"/>
        </w:rPr>
        <w:t>1</w:t>
      </w:r>
      <w:r>
        <w:rPr>
          <w:rFonts w:hAnsi="宋体"/>
          <w:color w:val="auto"/>
        </w:rPr>
        <w:t>）施工单位在开工前应当与市容环境卫生行政主管部门签订市容环境卫生责任书，对施工过程中产生的各类建筑垃圾应当及时清理，保持施工现场整洁</w:t>
      </w:r>
      <w:r>
        <w:rPr>
          <w:rFonts w:hint="eastAsia" w:hAnsi="宋体"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rFonts w:hAnsi="宋体"/>
          <w:color w:val="auto"/>
        </w:rPr>
        <w:t>（</w:t>
      </w:r>
      <w:r>
        <w:rPr>
          <w:color w:val="auto"/>
        </w:rPr>
        <w:t>2</w:t>
      </w:r>
      <w:r>
        <w:rPr>
          <w:rFonts w:hAnsi="宋体"/>
          <w:color w:val="auto"/>
        </w:rPr>
        <w:t>）工程施工现场出入口的道路应当硬化，配置相应的冲洗设施，车辆冲洗干净后，方可驶离工地</w:t>
      </w:r>
      <w:r>
        <w:rPr>
          <w:rFonts w:hint="eastAsia" w:hAnsi="宋体"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rFonts w:hAnsi="宋体"/>
          <w:color w:val="auto"/>
        </w:rPr>
        <w:t>（</w:t>
      </w:r>
      <w:r>
        <w:rPr>
          <w:color w:val="auto"/>
        </w:rPr>
        <w:t>3</w:t>
      </w:r>
      <w:r>
        <w:rPr>
          <w:rFonts w:hAnsi="宋体"/>
          <w:color w:val="auto"/>
        </w:rPr>
        <w:t>）按照市容环境卫生行政主管部门核定的时间、路线、地点运输和倾倒建筑垃圾，禁止偷倒、乱倒</w:t>
      </w:r>
      <w:r>
        <w:rPr>
          <w:rFonts w:hint="eastAsia" w:hAnsi="宋体"/>
          <w:color w:val="auto"/>
          <w:lang w:eastAsia="zh-CN"/>
        </w:rPr>
        <w:t>，建设单位需把控建筑垃圾运输去向。</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rFonts w:hAnsi="宋体"/>
          <w:color w:val="auto"/>
        </w:rPr>
        <w:t>（</w:t>
      </w:r>
      <w:r>
        <w:rPr>
          <w:color w:val="auto"/>
        </w:rPr>
        <w:t>4</w:t>
      </w:r>
      <w:r>
        <w:rPr>
          <w:rFonts w:hAnsi="宋体"/>
          <w:color w:val="auto"/>
        </w:rPr>
        <w:t>）建筑垃圾运输车辆应当采取密闭措施，不得超载运输，不得车轮带泥，不得遗撒、泄漏</w:t>
      </w:r>
      <w:r>
        <w:rPr>
          <w:rFonts w:hint="eastAsia" w:hAnsi="宋体"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Ansi="宋体"/>
          <w:color w:val="auto"/>
        </w:rPr>
      </w:pPr>
      <w:r>
        <w:rPr>
          <w:rFonts w:hAnsi="宋体"/>
          <w:color w:val="auto"/>
        </w:rPr>
        <w:t>（</w:t>
      </w:r>
      <w:r>
        <w:rPr>
          <w:color w:val="auto"/>
        </w:rPr>
        <w:t>5</w:t>
      </w:r>
      <w:r>
        <w:rPr>
          <w:rFonts w:hAnsi="宋体"/>
          <w:color w:val="auto"/>
        </w:rPr>
        <w:t>）建筑垃圾运输作业时，建设单位应当督促运输单位在清运时间内组织人力、物力或委托专业市容环境卫生服务单位做好沿途的污染清理工作</w:t>
      </w:r>
      <w:r>
        <w:rPr>
          <w:rFonts w:hint="eastAsia" w:hAnsi="宋体" w:cs="宋体"/>
          <w:color w:val="auto"/>
          <w:lang w:eastAsia="zh-CN"/>
        </w:rPr>
        <w:t>；</w:t>
      </w:r>
      <w:r>
        <w:rPr>
          <w:rFonts w:hAnsi="宋体"/>
          <w:color w:val="auto"/>
        </w:rPr>
        <w:t>清运过程中造成交通安全设施损坏的，应予以赔偿。</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color w:val="auto"/>
        </w:rPr>
      </w:pPr>
      <w:r>
        <w:rPr>
          <w:rFonts w:hint="eastAsia"/>
          <w:color w:val="auto"/>
          <w:lang w:val="en-US" w:eastAsia="zh-CN"/>
        </w:rPr>
        <w:t>5.1.5</w:t>
      </w:r>
      <w:r>
        <w:rPr>
          <w:rFonts w:hint="eastAsia"/>
          <w:color w:val="auto"/>
        </w:rPr>
        <w:t>施工</w:t>
      </w:r>
      <w:r>
        <w:rPr>
          <w:rFonts w:hint="eastAsia"/>
          <w:color w:val="auto"/>
          <w:lang w:eastAsia="zh-CN"/>
        </w:rPr>
        <w:t>期</w:t>
      </w:r>
      <w:r>
        <w:rPr>
          <w:rFonts w:hint="eastAsia"/>
          <w:color w:val="auto"/>
        </w:rPr>
        <w:t>地下水环境影响简要分析</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rFonts w:hint="eastAsia"/>
          <w:color w:val="auto"/>
        </w:rPr>
        <w:t>根据工程特点</w:t>
      </w:r>
      <w:r>
        <w:rPr>
          <w:rFonts w:hint="eastAsia" w:ascii="宋体" w:hAnsi="宋体" w:cs="宋体"/>
          <w:color w:val="auto"/>
        </w:rPr>
        <w:t>，施工期可能造成地下水污染的因素主要表现在：由于地下水水层埋</w:t>
      </w:r>
      <w:r>
        <w:rPr>
          <w:rFonts w:hint="eastAsia"/>
          <w:color w:val="auto"/>
        </w:rPr>
        <w:t>深较浅</w:t>
      </w:r>
      <w:r>
        <w:rPr>
          <w:rFonts w:hint="eastAsia" w:ascii="宋体" w:hAnsi="宋体" w:cs="宋体"/>
          <w:color w:val="auto"/>
        </w:rPr>
        <w:t>，在施工过程中，诸如基础设施（各种埋地管线、地下室、道路）施工、</w:t>
      </w:r>
      <w:r>
        <w:rPr>
          <w:rFonts w:hint="eastAsia"/>
          <w:color w:val="auto"/>
        </w:rPr>
        <w:t>区域挖方等造成的石油类、有机型污染物随开挖的沟渠渗入地下水体进而污染地下水。</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rFonts w:hint="eastAsia"/>
          <w:color w:val="auto"/>
        </w:rPr>
        <w:t>因此</w:t>
      </w:r>
      <w:r>
        <w:rPr>
          <w:rFonts w:hint="eastAsia" w:ascii="宋体" w:hAnsi="宋体" w:cs="宋体"/>
          <w:color w:val="auto"/>
        </w:rPr>
        <w:t>，环评要求在工程施工过程中需严格做好施工油料的管理</w:t>
      </w:r>
      <w:r>
        <w:rPr>
          <w:rFonts w:hint="eastAsia" w:ascii="宋体" w:hAnsi="宋体" w:cs="宋体"/>
          <w:color w:val="auto"/>
          <w:lang w:eastAsia="zh-CN"/>
        </w:rPr>
        <w:t>，</w:t>
      </w:r>
      <w:r>
        <w:rPr>
          <w:rFonts w:hint="eastAsia" w:ascii="宋体" w:hAnsi="宋体" w:cs="宋体"/>
          <w:color w:val="auto"/>
        </w:rPr>
        <w:t>做好三废的</w:t>
      </w:r>
      <w:r>
        <w:rPr>
          <w:rFonts w:hint="eastAsia"/>
          <w:color w:val="auto"/>
        </w:rPr>
        <w:t>收集处理</w:t>
      </w:r>
      <w:r>
        <w:rPr>
          <w:rFonts w:hint="eastAsia" w:ascii="宋体" w:hAnsi="宋体" w:cs="宋体"/>
          <w:color w:val="auto"/>
        </w:rPr>
        <w:t>，不得随意堆放和丢弃，保证施工机械的良好工作状态，开工前做好机</w:t>
      </w:r>
      <w:r>
        <w:rPr>
          <w:rFonts w:hint="eastAsia"/>
          <w:color w:val="auto"/>
        </w:rPr>
        <w:t>械设备的工况检查</w:t>
      </w:r>
      <w:r>
        <w:rPr>
          <w:rFonts w:hint="eastAsia" w:ascii="宋体" w:hAnsi="宋体" w:cs="宋体"/>
          <w:color w:val="auto"/>
        </w:rPr>
        <w:t>，防治机械发生事故，导致跑冒滴漏等对区域地下水的影响。</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ascii="宋体" w:hAnsi="宋体" w:cs="宋体"/>
          <w:color w:val="auto"/>
        </w:rPr>
      </w:pPr>
      <w:r>
        <w:rPr>
          <w:rFonts w:hint="eastAsia"/>
          <w:color w:val="auto"/>
        </w:rPr>
        <w:t>此外</w:t>
      </w:r>
      <w:r>
        <w:rPr>
          <w:rFonts w:hint="eastAsia" w:ascii="宋体" w:hAnsi="宋体" w:cs="宋体"/>
          <w:color w:val="auto"/>
        </w:rPr>
        <w:t>，做好区内地下水的导流工作，减少地下水对工程地基的侵蚀。预先铺设地</w:t>
      </w:r>
      <w:r>
        <w:rPr>
          <w:rFonts w:hint="eastAsia"/>
          <w:color w:val="auto"/>
        </w:rPr>
        <w:t>下室管网</w:t>
      </w:r>
      <w:r>
        <w:rPr>
          <w:rFonts w:hint="eastAsia" w:ascii="宋体" w:hAnsi="宋体" w:cs="宋体"/>
          <w:color w:val="auto"/>
        </w:rPr>
        <w:t>，用于收集地下室废水，接入市政</w:t>
      </w:r>
      <w:r>
        <w:rPr>
          <w:rFonts w:hint="eastAsia" w:ascii="宋体" w:hAnsi="宋体" w:cs="宋体"/>
          <w:color w:val="auto"/>
          <w:lang w:val="en-US" w:eastAsia="zh-CN"/>
        </w:rPr>
        <w:t>污水</w:t>
      </w:r>
      <w:r>
        <w:rPr>
          <w:rFonts w:hint="eastAsia" w:ascii="宋体" w:hAnsi="宋体" w:cs="宋体"/>
          <w:color w:val="auto"/>
        </w:rPr>
        <w:t>管网，不得随意外排。</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rFonts w:hint="eastAsia" w:ascii="宋体" w:hAnsi="宋体" w:cs="宋体"/>
          <w:color w:val="auto"/>
        </w:rPr>
        <w:t>工程占地规模较小，地下水影响范围较小，在做好施工管理，做好本项</w:t>
      </w:r>
      <w:r>
        <w:rPr>
          <w:rFonts w:hint="eastAsia"/>
          <w:color w:val="auto"/>
        </w:rPr>
        <w:t>目所提出的施工防护措施的前提下</w:t>
      </w:r>
      <w:r>
        <w:rPr>
          <w:rFonts w:hint="eastAsia" w:ascii="宋体" w:hAnsi="宋体" w:cs="宋体"/>
          <w:color w:val="auto"/>
        </w:rPr>
        <w:t>，项目对地下水的影响甚微。</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color w:val="auto"/>
        </w:rPr>
      </w:pPr>
      <w:r>
        <w:rPr>
          <w:rFonts w:hint="eastAsia"/>
          <w:color w:val="auto"/>
          <w:lang w:val="en-US" w:eastAsia="zh-CN"/>
        </w:rPr>
        <w:t>5.1.6</w:t>
      </w:r>
      <w:r>
        <w:rPr>
          <w:rFonts w:hint="eastAsia"/>
          <w:color w:val="auto"/>
        </w:rPr>
        <w:t>水土流失影响</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color w:val="auto"/>
        </w:rPr>
        <w:t>施工期的水土流失是短期行为，因此本评价的重点将放在对水土流失产生的原因、水土流失的发生时期等分析上，目的是寻求合理的施工方案，以尽可能地减少水土流失量。</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color w:val="auto"/>
        </w:rPr>
        <w:t>本工程在建设过程中，一方面破坏原有土地的水土保持植被，另一方面在施工过程中，地表裸露后被雨水冲刷将造成水土流失，产生水土流失主要表现在以下几个方面：</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color w:val="auto"/>
        </w:rPr>
        <w:t>（1）施工时破坏植被产生水土流失</w:t>
      </w:r>
      <w:r>
        <w:rPr>
          <w:rFonts w:hint="eastAsia"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color w:val="auto"/>
        </w:rPr>
        <w:t>（2）</w:t>
      </w:r>
      <w:r>
        <w:rPr>
          <w:rFonts w:hint="eastAsia"/>
          <w:color w:val="auto"/>
        </w:rPr>
        <w:t>主体建筑基础</w:t>
      </w:r>
      <w:r>
        <w:rPr>
          <w:color w:val="auto"/>
        </w:rPr>
        <w:t>开挖、破坏</w:t>
      </w:r>
      <w:r>
        <w:rPr>
          <w:rFonts w:hint="eastAsia"/>
          <w:color w:val="auto"/>
        </w:rPr>
        <w:t>地块</w:t>
      </w:r>
      <w:r>
        <w:rPr>
          <w:color w:val="auto"/>
        </w:rPr>
        <w:t>产生水土流失</w:t>
      </w:r>
      <w:r>
        <w:rPr>
          <w:rFonts w:hint="eastAsia"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eastAsia="宋体"/>
          <w:color w:val="auto"/>
          <w:lang w:eastAsia="zh-CN"/>
        </w:rPr>
      </w:pPr>
      <w:r>
        <w:rPr>
          <w:color w:val="auto"/>
        </w:rPr>
        <w:t>（3）工程</w:t>
      </w:r>
      <w:r>
        <w:rPr>
          <w:rFonts w:hint="eastAsia"/>
          <w:color w:val="auto"/>
        </w:rPr>
        <w:t>土方</w:t>
      </w:r>
      <w:r>
        <w:rPr>
          <w:color w:val="auto"/>
        </w:rPr>
        <w:t>处置不当产生水土流失</w:t>
      </w:r>
      <w:r>
        <w:rPr>
          <w:rFonts w:hint="eastAsia" w:cs="宋体"/>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color w:val="auto"/>
        </w:rPr>
        <w:t>（4）工程水土流失主要发生在施工期。</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color w:val="auto"/>
        </w:rPr>
        <w:t>因此，施工期的水土流失原因主要是施工期堆土场地的表土较为疏松，降雨期间容易使松散的表土随雨水径流流失，在一定程度上加剧了当地的水土流失。</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color w:val="auto"/>
        </w:rPr>
      </w:pPr>
      <w:r>
        <w:rPr>
          <w:rFonts w:hint="eastAsia"/>
          <w:color w:val="auto"/>
        </w:rPr>
        <w:t>项目在施工期会导致表层土的剥离，使原本植被覆盖度就较低的地表植被破坏，在一定时期会加剧的水土流失程度。</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降雨会对项目建设的挖开面产生侵蚀，地面失去植被的</w:t>
      </w:r>
      <w:r>
        <w:rPr>
          <w:rFonts w:hint="eastAsia" w:cs="宋体"/>
          <w:color w:val="auto"/>
          <w:lang w:eastAsia="zh-CN"/>
        </w:rPr>
        <w:t>“</w:t>
      </w:r>
      <w:r>
        <w:rPr>
          <w:rFonts w:hint="default" w:ascii="Times New Roman" w:hAnsi="Times New Roman" w:cs="Times New Roman"/>
          <w:color w:val="auto"/>
        </w:rPr>
        <w:t>保护</w:t>
      </w:r>
      <w:r>
        <w:rPr>
          <w:rFonts w:hint="eastAsia" w:cs="宋体"/>
          <w:color w:val="auto"/>
          <w:lang w:eastAsia="zh-CN"/>
        </w:rPr>
        <w:t>”</w:t>
      </w:r>
      <w:r>
        <w:rPr>
          <w:rFonts w:hint="default" w:ascii="Times New Roman" w:hAnsi="Times New Roman" w:cs="Times New Roman"/>
          <w:color w:val="auto"/>
        </w:rPr>
        <w:t>而裸露，地表径流蓄积功能下降，在水的作用下，高峰地表径流流量增加，地下径流减少，水土侵蚀加剧，最终导致水土流失加剧。场地开挖使原有土地上的植被破坏、土壤输送，地面裸露，临时弃土场堆放的弃土体较疏松，很容易水土侵蚀，尤其是在雨季，水带入河中泥沙量将增加。</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项目在施工期，在施工场界外围修筑临时排水沟，防止雨水对开采面的冲刷而直接进入周围水体，同时也收集含有大量土粒的雨水。从源头上减少水土流失的形成</w:t>
      </w:r>
      <w:r>
        <w:rPr>
          <w:rFonts w:hint="eastAsia" w:cs="宋体"/>
          <w:color w:val="auto"/>
          <w:lang w:eastAsia="zh-CN"/>
        </w:rPr>
        <w:t>；</w:t>
      </w:r>
      <w:r>
        <w:rPr>
          <w:rFonts w:hint="default" w:ascii="Times New Roman" w:hAnsi="Times New Roman" w:cs="Times New Roman"/>
          <w:color w:val="auto"/>
        </w:rPr>
        <w:t>建设场界内的水土保持与建设计划有机结合，使裸露的挖开面尽量少，施工结束后尽快覆土绿化，减少挖开面裸露时间和裸露面积，同时也尽快的利用临时弃土场的弃土，两方面均能减少和防止水土流失的发生。</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根据项目的建设计划，各场地时空变化，遵循水土保持措施实施进度与主体工程生产建设计划相适应，水土保持与生产建设结合，分清轻重缓急，首先考虑重点防护地段，优先考虑社会生态效益，合理控制资金平衡的原则，对建设区、临时弃土场的水土保持措施实施进度安排如下：</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1、建设项目区水土保持措施实施进度安排</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对于项目建设区的水土保持措施，与建设计划统一起来，排水沟在施工场开始前建设完成，同时在排水端设置沉淀塘，进一步减少水土流失</w:t>
      </w:r>
      <w:r>
        <w:rPr>
          <w:rFonts w:hint="eastAsia" w:cs="宋体"/>
          <w:color w:val="auto"/>
          <w:lang w:eastAsia="zh-CN"/>
        </w:rPr>
        <w:t>；</w:t>
      </w:r>
      <w:r>
        <w:rPr>
          <w:rFonts w:hint="default" w:ascii="Times New Roman" w:hAnsi="Times New Roman" w:cs="Times New Roman"/>
          <w:color w:val="auto"/>
        </w:rPr>
        <w:t>施工完成后，迅速启动覆土绿化工程，切实做到，边建设，边绿化。</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2、临时堆土场水土保持措施实施进度安排</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临时堆土场外围修筑排水沟，与施工场界排水沟相连，有效的减少水土流失</w:t>
      </w:r>
      <w:r>
        <w:rPr>
          <w:rFonts w:hint="eastAsia" w:cs="宋体"/>
          <w:color w:val="auto"/>
          <w:lang w:eastAsia="zh-CN"/>
        </w:rPr>
        <w:t>；</w:t>
      </w:r>
      <w:r>
        <w:rPr>
          <w:rFonts w:hint="default" w:ascii="Times New Roman" w:hAnsi="Times New Roman" w:cs="Times New Roman"/>
          <w:color w:val="auto"/>
        </w:rPr>
        <w:t>堆土场服役满后，堆土回填完毕口，即启动</w:t>
      </w:r>
      <w:r>
        <w:rPr>
          <w:rFonts w:hint="default" w:ascii="Times New Roman" w:hAnsi="Times New Roman" w:cs="Times New Roman"/>
          <w:color w:val="auto"/>
          <w:lang w:val="en-US" w:eastAsia="zh-CN"/>
        </w:rPr>
        <w:t>施工场地</w:t>
      </w:r>
      <w:r>
        <w:rPr>
          <w:rFonts w:hint="default" w:ascii="Times New Roman" w:hAnsi="Times New Roman" w:cs="Times New Roman"/>
          <w:color w:val="auto"/>
        </w:rPr>
        <w:t>的复绿工程。</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经过以上措施的建设和方案的实施，可有效控制水土流失。</w:t>
      </w:r>
    </w:p>
    <w:p>
      <w:pPr>
        <w:pStyle w:val="4"/>
        <w:pageBreakBefore w:val="0"/>
        <w:widowControl w:val="0"/>
        <w:numPr>
          <w:ilvl w:val="0"/>
          <w:numId w:val="0"/>
        </w:numPr>
        <w:kinsoku/>
        <w:wordWrap/>
        <w:overflowPunct/>
        <w:topLinePunct w:val="0"/>
        <w:autoSpaceDE/>
        <w:autoSpaceDN/>
        <w:bidi w:val="0"/>
        <w:adjustRightInd/>
        <w:snapToGrid/>
        <w:spacing w:before="0" w:after="0" w:line="360" w:lineRule="auto"/>
        <w:ind w:leftChars="0" w:right="0" w:rightChars="0"/>
        <w:textAlignment w:val="auto"/>
        <w:rPr>
          <w:rFonts w:hint="default" w:ascii="Times New Roman" w:hAnsi="Times New Roman" w:cs="Times New Roman"/>
          <w:color w:val="auto"/>
        </w:rPr>
      </w:pPr>
      <w:bookmarkStart w:id="84" w:name="_Toc6842"/>
      <w:r>
        <w:rPr>
          <w:rFonts w:hint="eastAsia" w:cs="Times New Roman"/>
          <w:color w:val="auto"/>
          <w:lang w:val="en-US" w:eastAsia="zh-CN"/>
        </w:rPr>
        <w:t>5</w:t>
      </w:r>
      <w:r>
        <w:rPr>
          <w:rFonts w:hint="default" w:ascii="Times New Roman" w:hAnsi="Times New Roman" w:cs="Times New Roman"/>
          <w:color w:val="auto"/>
          <w:lang w:val="en-US" w:eastAsia="zh-CN"/>
        </w:rPr>
        <w:t>.2</w:t>
      </w:r>
      <w:r>
        <w:rPr>
          <w:rFonts w:hint="default" w:ascii="Times New Roman" w:hAnsi="Times New Roman" w:cs="Times New Roman"/>
          <w:color w:val="auto"/>
        </w:rPr>
        <w:t>营运期环境影响评价</w:t>
      </w:r>
      <w:bookmarkEnd w:id="84"/>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default" w:ascii="Times New Roman" w:hAnsi="Times New Roman" w:eastAsia="宋体" w:cs="Times New Roman"/>
          <w:color w:val="auto"/>
          <w:lang w:eastAsia="zh-CN"/>
        </w:rPr>
      </w:pPr>
      <w:r>
        <w:rPr>
          <w:rFonts w:hint="eastAsia" w:cs="Times New Roman"/>
          <w:color w:val="auto"/>
          <w:lang w:val="en-US" w:eastAsia="zh-CN"/>
        </w:rPr>
        <w:t>5</w:t>
      </w:r>
      <w:r>
        <w:rPr>
          <w:rFonts w:hint="default" w:ascii="Times New Roman" w:hAnsi="Times New Roman" w:cs="Times New Roman"/>
          <w:color w:val="auto"/>
          <w:lang w:val="en-US" w:eastAsia="zh-CN"/>
        </w:rPr>
        <w:t>.2.1</w:t>
      </w:r>
      <w:r>
        <w:rPr>
          <w:rFonts w:hint="default" w:ascii="Times New Roman" w:hAnsi="Times New Roman" w:cs="Times New Roman"/>
          <w:color w:val="auto"/>
        </w:rPr>
        <w:t>环境空气影响</w:t>
      </w:r>
      <w:r>
        <w:rPr>
          <w:rFonts w:hint="default" w:ascii="Times New Roman" w:hAnsi="Times New Roman" w:cs="Times New Roman"/>
          <w:color w:val="auto"/>
          <w:lang w:val="en-US" w:eastAsia="zh-CN"/>
        </w:rPr>
        <w:t>评价</w:t>
      </w:r>
    </w:p>
    <w:p>
      <w:pPr>
        <w:pStyle w:val="2"/>
        <w:pageBreakBefore w:val="0"/>
        <w:widowControl w:val="0"/>
        <w:numPr>
          <w:ilvl w:val="3"/>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5</w:t>
      </w:r>
      <w:r>
        <w:rPr>
          <w:rFonts w:hint="default" w:ascii="Times New Roman" w:hAnsi="Times New Roman" w:eastAsia="宋体" w:cs="Times New Roman"/>
          <w:b/>
          <w:bCs/>
          <w:color w:val="auto"/>
          <w:lang w:val="en-US" w:eastAsia="zh-CN"/>
        </w:rPr>
        <w:t>.2.1.1区域气象资料分析</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根据合肥市气象站近二十年（2002-2021年）的气象资料统计，分析本地区污染气象。合肥气象台站经度为117°18′E，纬度为31°47′N，地面海拔为27m。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rPr>
        <w:t>（</w:t>
      </w:r>
      <w:r>
        <w:rPr>
          <w:rFonts w:hint="default" w:ascii="Times New Roman" w:hAnsi="Times New Roman" w:eastAsia="宋体" w:cs="Times New Roman"/>
          <w:bCs/>
          <w:color w:val="auto"/>
          <w:sz w:val="24"/>
          <w:szCs w:val="24"/>
        </w:rPr>
        <w:t>1）气候特征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厂址地区气候特征属北亚热带湿润季风气候区，气候温和，雨量适中，光照充足，无霜期长，春季(3~5月)气温回暖迅速，雨水明显增多，时晴时雨，时冷时暖，常有寒流入侵，有时有低温连阴雨，倒春寒，晚霜冻。夏季(6~8月)日照强，温度高，水份蒸发快，降雨集中，多雷暴雨，间有台风，龙卷风，冰雹，有些年份被副热带高压控制，酷热少雨，造成干旱。秋季(9~11月)多晴天，降温快，雨量骤减，常有秋旱，有时也有阴雨连绵。冬季(12~2月)北方冷空气入侵频繁，雨雪偏少，多干冷。</w:t>
      </w:r>
    </w:p>
    <w:p>
      <w:pPr>
        <w:ind w:firstLine="480"/>
        <w:rPr>
          <w:rFonts w:cs="Times New Roman"/>
          <w:color w:val="auto"/>
        </w:rPr>
      </w:pPr>
      <w:r>
        <w:rPr>
          <w:rFonts w:cs="Times New Roman"/>
          <w:color w:val="auto"/>
        </w:rPr>
        <w:t>（2）</w:t>
      </w:r>
      <w:r>
        <w:rPr>
          <w:rFonts w:cs="Times New Roman"/>
          <w:color w:val="auto"/>
          <w:shd w:val="clear" w:color="auto" w:fill="FFFFFF"/>
        </w:rPr>
        <w:t>风速</w:t>
      </w:r>
    </w:p>
    <w:p>
      <w:pPr>
        <w:ind w:firstLine="480"/>
        <w:rPr>
          <w:rFonts w:cs="Times New Roman"/>
          <w:color w:val="auto"/>
          <w:szCs w:val="24"/>
        </w:rPr>
      </w:pPr>
      <w:r>
        <w:rPr>
          <w:rFonts w:cs="Times New Roman"/>
          <w:color w:val="auto"/>
          <w:szCs w:val="24"/>
        </w:rPr>
        <w:t>合肥市平均风速日变化和风速的月份变化统计下表。</w:t>
      </w:r>
    </w:p>
    <w:p>
      <w:pPr>
        <w:spacing w:line="240" w:lineRule="auto"/>
        <w:ind w:firstLine="0" w:firstLineChars="0"/>
        <w:jc w:val="center"/>
        <w:rPr>
          <w:rFonts w:eastAsia="黑体" w:cs="Times New Roman"/>
          <w:color w:val="auto"/>
        </w:rPr>
      </w:pPr>
      <w:r>
        <w:rPr>
          <w:rFonts w:eastAsia="黑体" w:cs="Times New Roman"/>
          <w:color w:val="auto"/>
        </w:rPr>
        <w:t>表5.1.1-1  合肥市年平均风速的月变化</w:t>
      </w:r>
    </w:p>
    <w:tbl>
      <w:tblPr>
        <w:tblStyle w:val="48"/>
        <w:tblW w:w="9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596"/>
        <w:gridCol w:w="605"/>
        <w:gridCol w:w="605"/>
        <w:gridCol w:w="605"/>
        <w:gridCol w:w="605"/>
        <w:gridCol w:w="605"/>
        <w:gridCol w:w="605"/>
        <w:gridCol w:w="605"/>
        <w:gridCol w:w="606"/>
        <w:gridCol w:w="606"/>
        <w:gridCol w:w="606"/>
        <w:gridCol w:w="599"/>
        <w:gridCol w:w="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1"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月份</w:t>
            </w:r>
          </w:p>
        </w:tc>
        <w:tc>
          <w:tcPr>
            <w:tcW w:w="59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3月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4月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5月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6月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7月</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8月</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9月</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10月</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11月</w:t>
            </w:r>
          </w:p>
        </w:tc>
        <w:tc>
          <w:tcPr>
            <w:tcW w:w="599"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12月</w:t>
            </w:r>
          </w:p>
        </w:tc>
        <w:tc>
          <w:tcPr>
            <w:tcW w:w="599"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1"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风速(m/s)</w:t>
            </w:r>
          </w:p>
        </w:tc>
        <w:tc>
          <w:tcPr>
            <w:tcW w:w="59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2.5</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2.7</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3</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3.1</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2.9</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2.8</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2.9</w:t>
            </w:r>
          </w:p>
        </w:tc>
        <w:tc>
          <w:tcPr>
            <w:tcW w:w="605"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2.6</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2.5</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2.4</w:t>
            </w:r>
          </w:p>
        </w:tc>
        <w:tc>
          <w:tcPr>
            <w:tcW w:w="606"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2.5</w:t>
            </w:r>
          </w:p>
        </w:tc>
        <w:tc>
          <w:tcPr>
            <w:tcW w:w="599"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2.5</w:t>
            </w:r>
          </w:p>
        </w:tc>
        <w:tc>
          <w:tcPr>
            <w:tcW w:w="599"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2.7</w:t>
            </w:r>
          </w:p>
        </w:tc>
      </w:tr>
    </w:tbl>
    <w:p>
      <w:pPr>
        <w:ind w:firstLine="476"/>
        <w:rPr>
          <w:rFonts w:cs="Times New Roman"/>
          <w:color w:val="auto"/>
          <w:spacing w:val="-2"/>
        </w:rPr>
      </w:pPr>
      <w:r>
        <w:rPr>
          <w:rFonts w:cs="Times New Roman"/>
          <w:color w:val="auto"/>
          <w:spacing w:val="-2"/>
        </w:rPr>
        <w:t>（3）温度</w:t>
      </w:r>
    </w:p>
    <w:p>
      <w:pPr>
        <w:ind w:firstLine="480"/>
        <w:rPr>
          <w:rFonts w:cs="Times New Roman"/>
          <w:color w:val="auto"/>
          <w:szCs w:val="24"/>
        </w:rPr>
      </w:pPr>
      <w:r>
        <w:rPr>
          <w:rFonts w:cs="Times New Roman"/>
          <w:color w:val="auto"/>
          <w:szCs w:val="24"/>
        </w:rPr>
        <w:t>合肥市平均温度的月变化情况见下表。</w:t>
      </w:r>
    </w:p>
    <w:p>
      <w:pPr>
        <w:spacing w:line="240" w:lineRule="auto"/>
        <w:ind w:firstLine="0" w:firstLineChars="0"/>
        <w:jc w:val="center"/>
        <w:rPr>
          <w:rFonts w:eastAsia="黑体" w:cs="Times New Roman"/>
          <w:color w:val="auto"/>
        </w:rPr>
      </w:pPr>
      <w:r>
        <w:rPr>
          <w:rFonts w:eastAsia="黑体" w:cs="Times New Roman"/>
          <w:color w:val="auto"/>
        </w:rPr>
        <w:t>表5.1.1-2  合肥市年平均温度的月变化</w:t>
      </w:r>
    </w:p>
    <w:tbl>
      <w:tblPr>
        <w:tblStyle w:val="48"/>
        <w:tblW w:w="9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534"/>
        <w:gridCol w:w="541"/>
        <w:gridCol w:w="584"/>
        <w:gridCol w:w="613"/>
        <w:gridCol w:w="642"/>
        <w:gridCol w:w="642"/>
        <w:gridCol w:w="642"/>
        <w:gridCol w:w="642"/>
        <w:gridCol w:w="642"/>
        <w:gridCol w:w="642"/>
        <w:gridCol w:w="642"/>
        <w:gridCol w:w="627"/>
        <w:gridCol w:w="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月份</w:t>
            </w:r>
          </w:p>
        </w:tc>
        <w:tc>
          <w:tcPr>
            <w:tcW w:w="534"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1月</w:t>
            </w:r>
          </w:p>
        </w:tc>
        <w:tc>
          <w:tcPr>
            <w:tcW w:w="541"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2月</w:t>
            </w:r>
          </w:p>
        </w:tc>
        <w:tc>
          <w:tcPr>
            <w:tcW w:w="584"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3月</w:t>
            </w:r>
          </w:p>
        </w:tc>
        <w:tc>
          <w:tcPr>
            <w:tcW w:w="613"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4月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5月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6月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7月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8月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9月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10月</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11月</w:t>
            </w:r>
          </w:p>
        </w:tc>
        <w:tc>
          <w:tcPr>
            <w:tcW w:w="627"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12月</w:t>
            </w:r>
          </w:p>
        </w:tc>
        <w:tc>
          <w:tcPr>
            <w:tcW w:w="627"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温度(℃)</w:t>
            </w:r>
          </w:p>
        </w:tc>
        <w:tc>
          <w:tcPr>
            <w:tcW w:w="534"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3.0</w:t>
            </w:r>
          </w:p>
        </w:tc>
        <w:tc>
          <w:tcPr>
            <w:tcW w:w="541"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5.9</w:t>
            </w:r>
          </w:p>
        </w:tc>
        <w:tc>
          <w:tcPr>
            <w:tcW w:w="584"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10.2</w:t>
            </w:r>
          </w:p>
        </w:tc>
        <w:tc>
          <w:tcPr>
            <w:tcW w:w="613"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16.6</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22</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25.6</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28.6</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27.7</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23.7</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18</w:t>
            </w:r>
          </w:p>
        </w:tc>
        <w:tc>
          <w:tcPr>
            <w:tcW w:w="642"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11.2</w:t>
            </w:r>
          </w:p>
        </w:tc>
        <w:tc>
          <w:tcPr>
            <w:tcW w:w="627"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5.5</w:t>
            </w:r>
          </w:p>
        </w:tc>
        <w:tc>
          <w:tcPr>
            <w:tcW w:w="627" w:type="dxa"/>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16.5</w:t>
            </w:r>
          </w:p>
        </w:tc>
      </w:tr>
    </w:tbl>
    <w:p>
      <w:pPr>
        <w:ind w:firstLine="480"/>
        <w:rPr>
          <w:rFonts w:cs="Times New Roman"/>
          <w:color w:val="auto"/>
        </w:rPr>
      </w:pPr>
      <w:r>
        <w:rPr>
          <w:rFonts w:cs="Times New Roman"/>
          <w:color w:val="auto"/>
        </w:rPr>
        <w:t>（4）风向和风频</w:t>
      </w:r>
    </w:p>
    <w:p>
      <w:pPr>
        <w:ind w:firstLine="480"/>
        <w:rPr>
          <w:rFonts w:cs="Times New Roman"/>
          <w:color w:val="auto"/>
          <w:szCs w:val="24"/>
        </w:rPr>
      </w:pPr>
      <w:r>
        <w:rPr>
          <w:rFonts w:cs="Times New Roman"/>
          <w:color w:val="auto"/>
          <w:szCs w:val="24"/>
        </w:rPr>
        <w:t>合肥市年均风频的月变化见表</w:t>
      </w:r>
      <w:r>
        <w:rPr>
          <w:rFonts w:eastAsia="黑体" w:cs="Times New Roman"/>
          <w:color w:val="auto"/>
        </w:rPr>
        <w:t>5.1.1-3</w:t>
      </w:r>
      <w:r>
        <w:rPr>
          <w:rFonts w:cs="Times New Roman"/>
          <w:color w:val="auto"/>
          <w:szCs w:val="24"/>
        </w:rPr>
        <w:t>，年均风频季节变化及年变化见表</w:t>
      </w:r>
      <w:r>
        <w:rPr>
          <w:rFonts w:eastAsia="黑体" w:cs="Times New Roman"/>
          <w:color w:val="auto"/>
        </w:rPr>
        <w:t>5.1.1-4</w:t>
      </w:r>
      <w:r>
        <w:rPr>
          <w:rFonts w:cs="Times New Roman"/>
          <w:color w:val="auto"/>
          <w:szCs w:val="24"/>
        </w:rPr>
        <w:t>。由表</w:t>
      </w:r>
      <w:r>
        <w:rPr>
          <w:rFonts w:eastAsia="黑体" w:cs="Times New Roman"/>
          <w:color w:val="auto"/>
        </w:rPr>
        <w:t>5.1.1-3</w:t>
      </w:r>
      <w:r>
        <w:rPr>
          <w:rFonts w:cs="Times New Roman"/>
          <w:color w:val="auto"/>
          <w:szCs w:val="24"/>
        </w:rPr>
        <w:t>绘出年、季风向频率玫瑰图(见图</w:t>
      </w:r>
      <w:r>
        <w:rPr>
          <w:rFonts w:eastAsia="黑体" w:cs="Times New Roman"/>
          <w:color w:val="auto"/>
        </w:rPr>
        <w:t>5.1.1-1</w:t>
      </w:r>
      <w:r>
        <w:rPr>
          <w:rFonts w:cs="Times New Roman"/>
          <w:color w:val="auto"/>
          <w:szCs w:val="24"/>
        </w:rPr>
        <w:t>)。</w:t>
      </w:r>
    </w:p>
    <w:p>
      <w:pPr>
        <w:ind w:firstLine="482"/>
        <w:rPr>
          <w:rFonts w:cs="Times New Roman"/>
          <w:b/>
          <w:color w:val="auto"/>
        </w:rPr>
        <w:sectPr>
          <w:headerReference r:id="rId12" w:type="first"/>
          <w:footerReference r:id="rId14" w:type="first"/>
          <w:headerReference r:id="rId11" w:type="even"/>
          <w:footerReference r:id="rId13" w:type="even"/>
          <w:pgSz w:w="11907" w:h="16840"/>
          <w:pgMar w:top="1440" w:right="1440" w:bottom="1440" w:left="1440" w:header="851" w:footer="992" w:gutter="0"/>
          <w:cols w:space="720" w:num="1"/>
          <w:docGrid w:type="lines" w:linePitch="326"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黑体" w:cs="Times New Roman"/>
          <w:b/>
          <w:bCs/>
          <w:color w:val="auto"/>
          <w:sz w:val="21"/>
          <w:szCs w:val="21"/>
        </w:rPr>
      </w:pPr>
      <w:r>
        <w:rPr>
          <w:rFonts w:eastAsia="黑体" w:cs="Times New Roman"/>
          <w:b/>
          <w:bCs/>
          <w:color w:val="auto"/>
          <w:sz w:val="21"/>
          <w:szCs w:val="21"/>
        </w:rPr>
        <w:t>表5.1.1-3  年平均风频的月变化</w:t>
      </w:r>
    </w:p>
    <w:tbl>
      <w:tblPr>
        <w:tblStyle w:val="48"/>
        <w:tblW w:w="1394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02"/>
        <w:gridCol w:w="479"/>
        <w:gridCol w:w="813"/>
        <w:gridCol w:w="813"/>
        <w:gridCol w:w="751"/>
        <w:gridCol w:w="813"/>
        <w:gridCol w:w="815"/>
        <w:gridCol w:w="754"/>
        <w:gridCol w:w="755"/>
        <w:gridCol w:w="814"/>
        <w:gridCol w:w="814"/>
        <w:gridCol w:w="814"/>
        <w:gridCol w:w="752"/>
        <w:gridCol w:w="752"/>
        <w:gridCol w:w="765"/>
        <w:gridCol w:w="739"/>
        <w:gridCol w:w="752"/>
        <w:gridCol w:w="75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71" w:hRule="atLeast"/>
          <w:jc w:val="center"/>
        </w:trPr>
        <w:tc>
          <w:tcPr>
            <w:tcW w:w="1002" w:type="dxa"/>
            <w:tcBorders>
              <w:top w:val="single" w:color="000000" w:sz="12" w:space="0"/>
              <w:left w:val="nil"/>
              <w:bottom w:val="single" w:color="000000" w:sz="4" w:space="0"/>
              <w:right w:val="single" w:color="000000" w:sz="6" w:space="0"/>
              <w:tl2br w:val="single" w:color="000000" w:sz="2" w:space="0"/>
            </w:tcBorders>
            <w:vAlign w:val="center"/>
          </w:tcPr>
          <w:p>
            <w:pPr>
              <w:adjustRightInd/>
              <w:snapToGrid/>
              <w:spacing w:line="240" w:lineRule="auto"/>
              <w:ind w:firstLine="0" w:firstLineChars="0"/>
              <w:jc w:val="center"/>
              <w:rPr>
                <w:rFonts w:cs="Times New Roman"/>
                <w:color w:val="auto"/>
                <w:sz w:val="21"/>
                <w:szCs w:val="21"/>
              </w:rPr>
            </w:pPr>
            <w:r>
              <w:rPr>
                <w:rFonts w:cs="Times New Roman"/>
                <w:color w:val="auto"/>
              </w:rPr>
              <w:t xml:space="preserve"> </w:t>
            </w:r>
            <w:r>
              <w:rPr>
                <w:rFonts w:cs="Times New Roman"/>
                <w:color w:val="auto"/>
                <w:sz w:val="21"/>
                <w:szCs w:val="21"/>
              </w:rPr>
              <w:t xml:space="preserve"> 风向</w:t>
            </w:r>
          </w:p>
          <w:p>
            <w:pPr>
              <w:spacing w:line="240" w:lineRule="auto"/>
              <w:ind w:firstLine="0" w:firstLineChars="0"/>
              <w:rPr>
                <w:rFonts w:cs="Times New Roman"/>
                <w:color w:val="auto"/>
              </w:rPr>
            </w:pPr>
            <w:r>
              <w:rPr>
                <w:rFonts w:cs="Times New Roman"/>
                <w:color w:val="auto"/>
                <w:sz w:val="21"/>
                <w:szCs w:val="21"/>
              </w:rPr>
              <w:t>风频</w:t>
            </w:r>
          </w:p>
        </w:tc>
        <w:tc>
          <w:tcPr>
            <w:tcW w:w="479"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w:t>
            </w:r>
          </w:p>
        </w:tc>
        <w:tc>
          <w:tcPr>
            <w:tcW w:w="813"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NNE</w:t>
            </w:r>
          </w:p>
        </w:tc>
        <w:tc>
          <w:tcPr>
            <w:tcW w:w="813"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NE</w:t>
            </w:r>
          </w:p>
        </w:tc>
        <w:tc>
          <w:tcPr>
            <w:tcW w:w="75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ENE</w:t>
            </w:r>
          </w:p>
        </w:tc>
        <w:tc>
          <w:tcPr>
            <w:tcW w:w="813"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w:t>
            </w:r>
          </w:p>
        </w:tc>
        <w:tc>
          <w:tcPr>
            <w:tcW w:w="815"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ESE</w:t>
            </w:r>
          </w:p>
        </w:tc>
        <w:tc>
          <w:tcPr>
            <w:tcW w:w="754"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SE</w:t>
            </w:r>
          </w:p>
        </w:tc>
        <w:tc>
          <w:tcPr>
            <w:tcW w:w="755"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SSE</w:t>
            </w:r>
          </w:p>
        </w:tc>
        <w:tc>
          <w:tcPr>
            <w:tcW w:w="814"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w:t>
            </w:r>
          </w:p>
        </w:tc>
        <w:tc>
          <w:tcPr>
            <w:tcW w:w="814"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SSW</w:t>
            </w:r>
          </w:p>
        </w:tc>
        <w:tc>
          <w:tcPr>
            <w:tcW w:w="814"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SW</w:t>
            </w:r>
          </w:p>
        </w:tc>
        <w:tc>
          <w:tcPr>
            <w:tcW w:w="752"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WSW</w:t>
            </w:r>
          </w:p>
        </w:tc>
        <w:tc>
          <w:tcPr>
            <w:tcW w:w="752"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w:t>
            </w:r>
          </w:p>
        </w:tc>
        <w:tc>
          <w:tcPr>
            <w:tcW w:w="765"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WNW</w:t>
            </w:r>
          </w:p>
        </w:tc>
        <w:tc>
          <w:tcPr>
            <w:tcW w:w="739"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NW</w:t>
            </w:r>
          </w:p>
        </w:tc>
        <w:tc>
          <w:tcPr>
            <w:tcW w:w="752"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NNW</w:t>
            </w:r>
          </w:p>
        </w:tc>
        <w:tc>
          <w:tcPr>
            <w:tcW w:w="752" w:type="dxa"/>
            <w:tcBorders>
              <w:top w:val="single" w:color="000000" w:sz="12" w:space="0"/>
              <w:left w:val="single" w:color="000000" w:sz="6" w:space="0"/>
              <w:bottom w:val="single" w:color="008000" w:sz="6" w:space="0"/>
              <w:right w:val="nil"/>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4"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1月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6.9</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7.0</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8.7</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7.3</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9.2</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6.5</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6.5</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4.3</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3.2</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w w:val="95"/>
                <w:kern w:val="0"/>
                <w:sz w:val="21"/>
                <w:lang w:eastAsia="en-US"/>
              </w:rPr>
              <w:t>3.1</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2.0</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1.5</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eastAsia="en-US"/>
              </w:rPr>
            </w:pPr>
            <w:r>
              <w:rPr>
                <w:rFonts w:cs="Times New Roman"/>
                <w:color w:val="auto"/>
                <w:kern w:val="0"/>
                <w:sz w:val="21"/>
                <w:lang w:eastAsia="en-US"/>
              </w:rPr>
              <w:t>4.3</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7.0</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7.9</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2月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5.4</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4.3</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9.1</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9.1</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12.4</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9.0</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6.2</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5.4</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4.7</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2.6</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1.4</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2.7</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4.8</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7.7</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6.5</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3月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4.7</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7.5</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9.3</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13.3</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9.2</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9.0</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7.1</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6.0</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3.6</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2.0</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1.3</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2.7</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3.8</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5.4</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6.2</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4月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4.0</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4.1</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5.3</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6.9</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11.0</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10.6</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10.5</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9.0</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5.3</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1.2</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2.6</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5.3</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5月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4.3</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4.8</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11.5</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9.3</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10.1</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8.1</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5.7</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2.3</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3.2</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4.6</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6月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2.2</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1.7</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4.4</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12.6</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11.5</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11.6</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11.6</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7.5</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3.6</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2.3</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3.0</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3.8</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4.3</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7月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2.3</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3.8</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6.0</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9.5</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9.1</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8.5</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9.0</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15.9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4.1</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1.9</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2.2</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2.5</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4.3</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8月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6.0</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4.9</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9.2</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8.5</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12.5</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7.3</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6.4</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4.5</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7.1</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4.4</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2.6</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1.6</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2.7</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3.4</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6.0</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8.3</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9月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8.2</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6.9</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11.1</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10.2</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12.8</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8.0</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5.4</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3.0</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2.3</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1.8</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1.4</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2.7</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3.1</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7.3</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7.6</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10月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4.9</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7.7</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10.2</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10.7</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7.1</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3.4</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3.5</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3.2</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2.2</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2.2</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3.1</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5.1</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8.0</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8.8</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0000" w:sz="6" w:space="0"/>
              <w:left w:val="nil"/>
              <w:bottom w:val="single" w:color="000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11月</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6.0</w:t>
            </w:r>
          </w:p>
        </w:tc>
        <w:tc>
          <w:tcPr>
            <w:tcW w:w="75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81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8.9</w:t>
            </w:r>
          </w:p>
        </w:tc>
        <w:tc>
          <w:tcPr>
            <w:tcW w:w="81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7.7</w:t>
            </w:r>
          </w:p>
        </w:tc>
        <w:tc>
          <w:tcPr>
            <w:tcW w:w="75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7.6</w:t>
            </w:r>
          </w:p>
        </w:tc>
        <w:tc>
          <w:tcPr>
            <w:tcW w:w="75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5.2</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5.2</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2.9</w:t>
            </w:r>
          </w:p>
        </w:tc>
        <w:tc>
          <w:tcPr>
            <w:tcW w:w="81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2.3</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2.0</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3.9</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73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9.2</w:t>
            </w:r>
          </w:p>
        </w:tc>
        <w:tc>
          <w:tcPr>
            <w:tcW w:w="752"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7.8</w:t>
            </w:r>
          </w:p>
        </w:tc>
        <w:tc>
          <w:tcPr>
            <w:tcW w:w="752"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002" w:type="dxa"/>
            <w:tcBorders>
              <w:top w:val="single" w:color="008000" w:sz="6" w:space="0"/>
              <w:left w:val="nil"/>
              <w:bottom w:val="single" w:color="000000" w:sz="12"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12月</w:t>
            </w:r>
          </w:p>
        </w:tc>
        <w:tc>
          <w:tcPr>
            <w:tcW w:w="479"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6.5</w:t>
            </w:r>
          </w:p>
        </w:tc>
        <w:tc>
          <w:tcPr>
            <w:tcW w:w="813"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4.6</w:t>
            </w:r>
          </w:p>
        </w:tc>
        <w:tc>
          <w:tcPr>
            <w:tcW w:w="813"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6.6</w:t>
            </w:r>
          </w:p>
        </w:tc>
        <w:tc>
          <w:tcPr>
            <w:tcW w:w="751"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6.1</w:t>
            </w:r>
          </w:p>
        </w:tc>
        <w:tc>
          <w:tcPr>
            <w:tcW w:w="813"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8.5</w:t>
            </w:r>
          </w:p>
        </w:tc>
        <w:tc>
          <w:tcPr>
            <w:tcW w:w="815"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5.5</w:t>
            </w:r>
          </w:p>
        </w:tc>
        <w:tc>
          <w:tcPr>
            <w:tcW w:w="754"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6.9</w:t>
            </w:r>
          </w:p>
        </w:tc>
        <w:tc>
          <w:tcPr>
            <w:tcW w:w="755"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5.6</w:t>
            </w:r>
          </w:p>
        </w:tc>
        <w:tc>
          <w:tcPr>
            <w:tcW w:w="814"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3.8</w:t>
            </w:r>
          </w:p>
        </w:tc>
        <w:tc>
          <w:tcPr>
            <w:tcW w:w="814"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3.6</w:t>
            </w:r>
          </w:p>
        </w:tc>
        <w:tc>
          <w:tcPr>
            <w:tcW w:w="814"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2.6</w:t>
            </w:r>
          </w:p>
        </w:tc>
        <w:tc>
          <w:tcPr>
            <w:tcW w:w="752"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1.8</w:t>
            </w:r>
          </w:p>
        </w:tc>
        <w:tc>
          <w:tcPr>
            <w:tcW w:w="752"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4.1</w:t>
            </w:r>
          </w:p>
        </w:tc>
        <w:tc>
          <w:tcPr>
            <w:tcW w:w="765"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739"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10.0</w:t>
            </w:r>
          </w:p>
        </w:tc>
        <w:tc>
          <w:tcPr>
            <w:tcW w:w="752" w:type="dxa"/>
            <w:tcBorders>
              <w:top w:val="single" w:color="008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9.4</w:t>
            </w:r>
          </w:p>
        </w:tc>
        <w:tc>
          <w:tcPr>
            <w:tcW w:w="752" w:type="dxa"/>
            <w:tcBorders>
              <w:top w:val="single" w:color="008000" w:sz="6" w:space="0"/>
              <w:left w:val="single" w:color="000000" w:sz="6" w:space="0"/>
              <w:bottom w:val="single" w:color="000000" w:sz="12" w:space="0"/>
              <w:right w:val="nil"/>
            </w:tcBorders>
            <w:vAlign w:val="center"/>
          </w:tcPr>
          <w:p>
            <w:pPr>
              <w:widowControl/>
              <w:spacing w:line="240" w:lineRule="auto"/>
              <w:ind w:firstLine="0" w:firstLineChars="0"/>
              <w:jc w:val="center"/>
              <w:rPr>
                <w:rFonts w:cs="Times New Roman"/>
                <w:b/>
                <w:color w:val="auto"/>
                <w:kern w:val="0"/>
                <w:sz w:val="19"/>
                <w:lang w:eastAsia="en-US"/>
              </w:rPr>
            </w:pPr>
          </w:p>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7.5</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黑体" w:cs="Times New Roman"/>
          <w:b/>
          <w:bCs/>
          <w:color w:val="auto"/>
          <w:sz w:val="21"/>
          <w:szCs w:val="21"/>
        </w:rPr>
      </w:pPr>
      <w:r>
        <w:rPr>
          <w:rFonts w:eastAsia="黑体" w:cs="Times New Roman"/>
          <w:b/>
          <w:bCs/>
          <w:color w:val="auto"/>
          <w:sz w:val="21"/>
          <w:szCs w:val="21"/>
        </w:rPr>
        <w:t>表5.1.1-4  年平均风频的季变化</w:t>
      </w:r>
    </w:p>
    <w:tbl>
      <w:tblPr>
        <w:tblStyle w:val="48"/>
        <w:tblW w:w="1394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64"/>
        <w:gridCol w:w="479"/>
        <w:gridCol w:w="801"/>
        <w:gridCol w:w="801"/>
        <w:gridCol w:w="740"/>
        <w:gridCol w:w="801"/>
        <w:gridCol w:w="804"/>
        <w:gridCol w:w="743"/>
        <w:gridCol w:w="743"/>
        <w:gridCol w:w="801"/>
        <w:gridCol w:w="801"/>
        <w:gridCol w:w="801"/>
        <w:gridCol w:w="741"/>
        <w:gridCol w:w="741"/>
        <w:gridCol w:w="765"/>
        <w:gridCol w:w="741"/>
        <w:gridCol w:w="741"/>
        <w:gridCol w:w="74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99" w:hRule="atLeast"/>
          <w:jc w:val="center"/>
        </w:trPr>
        <w:tc>
          <w:tcPr>
            <w:tcW w:w="1164" w:type="dxa"/>
            <w:tcBorders>
              <w:top w:val="single" w:color="000000" w:sz="12" w:space="0"/>
              <w:left w:val="nil"/>
              <w:bottom w:val="single" w:color="000000" w:sz="4" w:space="0"/>
              <w:right w:val="single" w:color="000000" w:sz="6" w:space="0"/>
              <w:tl2br w:val="single" w:color="000000" w:sz="4" w:space="0"/>
            </w:tcBorders>
            <w:vAlign w:val="center"/>
          </w:tcPr>
          <w:p>
            <w:pPr>
              <w:adjustRightInd/>
              <w:snapToGrid/>
              <w:spacing w:line="240" w:lineRule="auto"/>
              <w:ind w:firstLine="0" w:firstLineChars="0"/>
              <w:jc w:val="center"/>
              <w:rPr>
                <w:rFonts w:cs="Times New Roman"/>
                <w:color w:val="auto"/>
                <w:sz w:val="21"/>
                <w:szCs w:val="21"/>
              </w:rPr>
            </w:pPr>
            <w:r>
              <w:rPr>
                <w:rFonts w:cs="Times New Roman"/>
                <w:color w:val="auto"/>
                <w:sz w:val="21"/>
                <w:szCs w:val="21"/>
              </w:rPr>
              <w:t xml:space="preserve">   风向</w:t>
            </w:r>
          </w:p>
          <w:p>
            <w:pPr>
              <w:spacing w:line="300" w:lineRule="auto"/>
              <w:ind w:firstLine="0" w:firstLineChars="0"/>
              <w:rPr>
                <w:rFonts w:cs="Times New Roman"/>
                <w:color w:val="auto"/>
              </w:rPr>
            </w:pPr>
            <w:r>
              <w:rPr>
                <w:rFonts w:cs="Times New Roman"/>
                <w:color w:val="auto"/>
                <w:sz w:val="21"/>
                <w:szCs w:val="21"/>
              </w:rPr>
              <w:t>风频</w:t>
            </w:r>
          </w:p>
        </w:tc>
        <w:tc>
          <w:tcPr>
            <w:tcW w:w="479"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NNE</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NE</w:t>
            </w:r>
          </w:p>
        </w:tc>
        <w:tc>
          <w:tcPr>
            <w:tcW w:w="740"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ENE</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w:t>
            </w:r>
          </w:p>
        </w:tc>
        <w:tc>
          <w:tcPr>
            <w:tcW w:w="804"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ESE</w:t>
            </w:r>
          </w:p>
        </w:tc>
        <w:tc>
          <w:tcPr>
            <w:tcW w:w="743"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SE</w:t>
            </w:r>
          </w:p>
        </w:tc>
        <w:tc>
          <w:tcPr>
            <w:tcW w:w="743"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SSE</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SSW</w:t>
            </w:r>
          </w:p>
        </w:tc>
        <w:tc>
          <w:tcPr>
            <w:tcW w:w="80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SW</w:t>
            </w:r>
          </w:p>
        </w:tc>
        <w:tc>
          <w:tcPr>
            <w:tcW w:w="74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WSW</w:t>
            </w:r>
          </w:p>
        </w:tc>
        <w:tc>
          <w:tcPr>
            <w:tcW w:w="74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w:t>
            </w:r>
          </w:p>
        </w:tc>
        <w:tc>
          <w:tcPr>
            <w:tcW w:w="765"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WNW</w:t>
            </w:r>
          </w:p>
        </w:tc>
        <w:tc>
          <w:tcPr>
            <w:tcW w:w="74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NW</w:t>
            </w:r>
          </w:p>
        </w:tc>
        <w:tc>
          <w:tcPr>
            <w:tcW w:w="741" w:type="dxa"/>
            <w:tcBorders>
              <w:top w:val="single" w:color="000000" w:sz="12" w:space="0"/>
              <w:left w:val="single" w:color="000000" w:sz="6" w:space="0"/>
              <w:bottom w:val="single" w:color="008000" w:sz="6" w:space="0"/>
              <w:right w:val="single" w:color="000000" w:sz="6" w:space="0"/>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NNW</w:t>
            </w:r>
          </w:p>
        </w:tc>
        <w:tc>
          <w:tcPr>
            <w:tcW w:w="741" w:type="dxa"/>
            <w:tcBorders>
              <w:top w:val="single" w:color="000000" w:sz="12" w:space="0"/>
              <w:left w:val="single" w:color="000000" w:sz="6" w:space="0"/>
              <w:bottom w:val="single" w:color="008000" w:sz="6" w:space="0"/>
              <w:right w:val="nil"/>
            </w:tcBorders>
            <w:vAlign w:val="center"/>
          </w:tcPr>
          <w:p>
            <w:pPr>
              <w:adjustRightInd/>
              <w:snapToGrid/>
              <w:spacing w:line="240" w:lineRule="auto"/>
              <w:ind w:firstLine="0" w:firstLineChars="0"/>
              <w:jc w:val="center"/>
              <w:rPr>
                <w:rFonts w:cs="Times New Roman"/>
                <w:color w:val="auto"/>
                <w:sz w:val="21"/>
                <w:szCs w:val="21"/>
                <w:lang w:val="pt-BR"/>
              </w:rPr>
            </w:pPr>
            <w:r>
              <w:rPr>
                <w:rFonts w:cs="Times New Roman"/>
                <w:color w:val="auto"/>
                <w:sz w:val="21"/>
                <w:szCs w:val="21"/>
                <w:lang w:val="pt-BR"/>
              </w:rPr>
              <w:t>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164" w:type="dxa"/>
            <w:tcBorders>
              <w:top w:val="single" w:color="000000" w:sz="4" w:space="0"/>
              <w:left w:val="nil"/>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春季</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6.2</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5.3</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8.1</w:t>
            </w:r>
          </w:p>
        </w:tc>
        <w:tc>
          <w:tcPr>
            <w:tcW w:w="740"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10.0</w:t>
            </w:r>
          </w:p>
        </w:tc>
        <w:tc>
          <w:tcPr>
            <w:tcW w:w="80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7.0</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6.5</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5.1</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3.9</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3.1</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2.2</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1.6</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eastAsia="en-US"/>
              </w:rPr>
            </w:pPr>
            <w:r>
              <w:rPr>
                <w:rFonts w:cs="Times New Roman"/>
                <w:color w:val="auto"/>
                <w:w w:val="95"/>
                <w:kern w:val="0"/>
                <w:sz w:val="21"/>
                <w:lang w:eastAsia="en-US"/>
              </w:rPr>
              <w:t>3.7</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6.2</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8.6</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8.0</w:t>
            </w:r>
          </w:p>
        </w:tc>
        <w:tc>
          <w:tcPr>
            <w:tcW w:w="741"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164" w:type="dxa"/>
            <w:tcBorders>
              <w:top w:val="single" w:color="000000" w:sz="6" w:space="0"/>
              <w:left w:val="nil"/>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夏季</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4.4</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3.5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5.9</w:t>
            </w:r>
          </w:p>
        </w:tc>
        <w:tc>
          <w:tcPr>
            <w:tcW w:w="740"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7.3</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11.9</w:t>
            </w:r>
          </w:p>
        </w:tc>
        <w:tc>
          <w:tcPr>
            <w:tcW w:w="80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9.7</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lang w:eastAsia="en-US"/>
              </w:rPr>
              <w:t>9.9</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7.7</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8.0</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4.9</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2.3</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1.6</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2.8</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4.2</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6.3</w:t>
            </w:r>
          </w:p>
        </w:tc>
        <w:tc>
          <w:tcPr>
            <w:tcW w:w="741"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164" w:type="dxa"/>
            <w:tcBorders>
              <w:top w:val="single" w:color="000000" w:sz="6" w:space="0"/>
              <w:left w:val="nil"/>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秋季</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2.8</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5.8</w:t>
            </w:r>
          </w:p>
        </w:tc>
        <w:tc>
          <w:tcPr>
            <w:tcW w:w="740"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11.5</w:t>
            </w:r>
          </w:p>
        </w:tc>
        <w:tc>
          <w:tcPr>
            <w:tcW w:w="80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9.3</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8.8</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7.6</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3.4</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1.8</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2.4</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3.0</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4.7</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5.7</w:t>
            </w:r>
          </w:p>
        </w:tc>
        <w:tc>
          <w:tcPr>
            <w:tcW w:w="741"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164" w:type="dxa"/>
            <w:tcBorders>
              <w:top w:val="single" w:color="000000" w:sz="6" w:space="0"/>
              <w:left w:val="nil"/>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冬季</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6.9</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5.5</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8.3</w:t>
            </w:r>
          </w:p>
        </w:tc>
        <w:tc>
          <w:tcPr>
            <w:tcW w:w="740"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8.7</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10.8</w:t>
            </w:r>
          </w:p>
        </w:tc>
        <w:tc>
          <w:tcPr>
            <w:tcW w:w="80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7.6</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5.7</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3.9</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3.9</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2.8</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2.1</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1.9</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3.2</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4.6</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8.1</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8.1</w:t>
            </w:r>
          </w:p>
        </w:tc>
        <w:tc>
          <w:tcPr>
            <w:tcW w:w="741"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1164" w:type="dxa"/>
            <w:tcBorders>
              <w:top w:val="single" w:color="000000" w:sz="6" w:space="0"/>
              <w:left w:val="nil"/>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年平均</w:t>
            </w:r>
          </w:p>
        </w:tc>
        <w:tc>
          <w:tcPr>
            <w:tcW w:w="479"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5.3</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4.3</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7.0</w:t>
            </w:r>
          </w:p>
        </w:tc>
        <w:tc>
          <w:tcPr>
            <w:tcW w:w="740"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7.6</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11.1</w:t>
            </w:r>
          </w:p>
        </w:tc>
        <w:tc>
          <w:tcPr>
            <w:tcW w:w="804"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8.4</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7.7</w:t>
            </w:r>
          </w:p>
        </w:tc>
        <w:tc>
          <w:tcPr>
            <w:tcW w:w="743"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6.1</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4.6</w:t>
            </w:r>
          </w:p>
        </w:tc>
        <w:tc>
          <w:tcPr>
            <w:tcW w:w="80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2.5</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1.7</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w w:val="95"/>
                <w:kern w:val="0"/>
                <w:sz w:val="21"/>
                <w:lang w:eastAsia="en-US"/>
              </w:rPr>
              <w:t>3.0</w:t>
            </w:r>
          </w:p>
        </w:tc>
        <w:tc>
          <w:tcPr>
            <w:tcW w:w="765"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4.5</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6.8</w:t>
            </w:r>
          </w:p>
        </w:tc>
        <w:tc>
          <w:tcPr>
            <w:tcW w:w="741" w:type="dxa"/>
            <w:tcBorders>
              <w:top w:val="single" w:color="000000" w:sz="6"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7.0</w:t>
            </w:r>
          </w:p>
        </w:tc>
        <w:tc>
          <w:tcPr>
            <w:tcW w:w="741" w:type="dxa"/>
            <w:tcBorders>
              <w:top w:val="single" w:color="000000" w:sz="6" w:space="0"/>
              <w:left w:val="single" w:color="000000" w:sz="6" w:space="0"/>
              <w:bottom w:val="single" w:color="000000" w:sz="6" w:space="0"/>
              <w:right w:val="nil"/>
            </w:tcBorders>
            <w:vAlign w:val="center"/>
          </w:tcPr>
          <w:p>
            <w:pPr>
              <w:widowControl/>
              <w:spacing w:line="240" w:lineRule="auto"/>
              <w:ind w:firstLine="0" w:firstLineChars="0"/>
              <w:jc w:val="center"/>
              <w:rPr>
                <w:rFonts w:cs="Times New Roman"/>
                <w:color w:val="auto"/>
                <w:kern w:val="0"/>
                <w:sz w:val="21"/>
                <w:szCs w:val="21"/>
                <w:lang w:val="pt-BR" w:eastAsia="en-US"/>
              </w:rPr>
            </w:pPr>
            <w:r>
              <w:rPr>
                <w:rFonts w:cs="Times New Roman"/>
                <w:color w:val="auto"/>
                <w:kern w:val="0"/>
                <w:sz w:val="21"/>
                <w:lang w:eastAsia="en-US"/>
              </w:rPr>
              <w:t>5.7</w:t>
            </w:r>
          </w:p>
        </w:tc>
      </w:tr>
    </w:tbl>
    <w:p>
      <w:pPr>
        <w:spacing w:line="300" w:lineRule="auto"/>
        <w:ind w:firstLine="480"/>
        <w:rPr>
          <w:rFonts w:cs="Times New Roman"/>
          <w:color w:val="auto"/>
        </w:rPr>
        <w:sectPr>
          <w:pgSz w:w="16840" w:h="11907" w:orient="landscape"/>
          <w:pgMar w:top="1440" w:right="1440" w:bottom="1440" w:left="1440" w:header="851" w:footer="992" w:gutter="0"/>
          <w:cols w:space="720" w:num="1"/>
          <w:docGrid w:type="lines" w:linePitch="326" w:charSpace="0"/>
        </w:sectPr>
      </w:pPr>
    </w:p>
    <w:p>
      <w:pPr>
        <w:adjustRightInd/>
        <w:snapToGrid/>
        <w:spacing w:line="240" w:lineRule="auto"/>
        <w:ind w:firstLine="0" w:firstLineChars="0"/>
        <w:jc w:val="center"/>
        <w:rPr>
          <w:rFonts w:eastAsia="黑体" w:cs="Times New Roman"/>
          <w:color w:val="auto"/>
          <w:kern w:val="0"/>
        </w:rPr>
      </w:pPr>
      <w:r>
        <w:rPr>
          <w:rFonts w:cs="Times New Roman"/>
          <w:color w:val="auto"/>
        </w:rPr>
        <w:drawing>
          <wp:inline distT="0" distB="0" distL="0" distR="0">
            <wp:extent cx="5396865" cy="4761865"/>
            <wp:effectExtent l="0" t="0" r="13335" b="635"/>
            <wp:docPr id="3177" name="图片 3177"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图片 3177" descr="图表, 雷达图&#10;&#10;描述已自动生成"/>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396865" cy="4761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黑体" w:cs="Times New Roman"/>
          <w:b/>
          <w:bCs/>
          <w:color w:val="auto"/>
          <w:sz w:val="21"/>
          <w:szCs w:val="21"/>
        </w:rPr>
      </w:pPr>
      <w:r>
        <w:rPr>
          <w:rFonts w:eastAsia="黑体" w:cs="Times New Roman"/>
          <w:b/>
          <w:bCs/>
          <w:color w:val="auto"/>
          <w:sz w:val="21"/>
          <w:szCs w:val="21"/>
        </w:rPr>
        <w:t>图5.1.1-1  年、季风向频率玫瑰图</w:t>
      </w:r>
    </w:p>
    <w:p>
      <w:pPr>
        <w:spacing w:before="240" w:after="120"/>
        <w:ind w:firstLine="0" w:firstLineChars="0"/>
        <w:jc w:val="left"/>
        <w:outlineLvl w:val="2"/>
        <w:rPr>
          <w:rFonts w:eastAsia="黑体" w:cs="Times New Roman"/>
          <w:color w:val="auto"/>
          <w:sz w:val="28"/>
        </w:rPr>
      </w:pPr>
      <w:bookmarkStart w:id="85" w:name="_Toc22691"/>
      <w:r>
        <w:rPr>
          <w:rFonts w:eastAsia="黑体" w:cs="Times New Roman"/>
          <w:color w:val="auto"/>
          <w:sz w:val="28"/>
        </w:rPr>
        <w:t>5.1.2预测模式</w:t>
      </w:r>
      <w:bookmarkEnd w:id="85"/>
    </w:p>
    <w:p>
      <w:pPr>
        <w:keepNext w:val="0"/>
        <w:keepLines w:val="0"/>
        <w:pageBreakBefore w:val="0"/>
        <w:widowControl w:val="0"/>
        <w:kinsoku/>
        <w:wordWrap/>
        <w:overflowPunct/>
        <w:topLinePunct w:val="0"/>
        <w:autoSpaceDE w:val="0"/>
        <w:autoSpaceDN w:val="0"/>
        <w:bidi w:val="0"/>
        <w:adjustRightInd/>
        <w:snapToGrid/>
        <w:spacing w:line="360" w:lineRule="auto"/>
        <w:ind w:left="119" w:right="125" w:firstLine="464"/>
        <w:textAlignment w:val="auto"/>
        <w:rPr>
          <w:rFonts w:cs="Times New Roman"/>
          <w:color w:val="auto"/>
          <w:sz w:val="24"/>
          <w:szCs w:val="24"/>
          <w:lang w:val="zh-CN" w:bidi="zh-CN"/>
        </w:rPr>
      </w:pPr>
      <w:r>
        <w:rPr>
          <w:rFonts w:cs="Times New Roman"/>
          <w:color w:val="auto"/>
          <w:spacing w:val="-8"/>
          <w:sz w:val="24"/>
          <w:szCs w:val="24"/>
          <w:lang w:val="zh-CN" w:bidi="zh-CN"/>
        </w:rPr>
        <w:t>根据《环境影响评价技术导则 大气环境》</w:t>
      </w:r>
      <w:r>
        <w:rPr>
          <w:rFonts w:cs="Times New Roman"/>
          <w:color w:val="auto"/>
          <w:sz w:val="24"/>
          <w:szCs w:val="24"/>
          <w:lang w:val="zh-CN" w:bidi="zh-CN"/>
        </w:rPr>
        <w:t>（</w:t>
      </w:r>
      <w:r>
        <w:rPr>
          <w:rFonts w:eastAsia="Times New Roman" w:cs="Times New Roman"/>
          <w:color w:val="auto"/>
          <w:sz w:val="24"/>
          <w:szCs w:val="24"/>
          <w:lang w:val="zh-CN" w:bidi="zh-CN"/>
        </w:rPr>
        <w:t>HJ2.2-2018</w:t>
      </w:r>
      <w:r>
        <w:rPr>
          <w:rFonts w:cs="Times New Roman"/>
          <w:color w:val="auto"/>
          <w:sz w:val="24"/>
          <w:szCs w:val="24"/>
          <w:lang w:val="zh-CN" w:bidi="zh-CN"/>
        </w:rPr>
        <w:t>）</w:t>
      </w:r>
      <w:r>
        <w:rPr>
          <w:rFonts w:cs="Times New Roman"/>
          <w:color w:val="auto"/>
          <w:spacing w:val="-13"/>
          <w:sz w:val="24"/>
          <w:szCs w:val="24"/>
          <w:lang w:val="zh-CN" w:bidi="zh-CN"/>
        </w:rPr>
        <w:t>要求，选择附录</w:t>
      </w:r>
      <w:r>
        <w:rPr>
          <w:rFonts w:eastAsia="Times New Roman" w:cs="Times New Roman"/>
          <w:color w:val="auto"/>
          <w:sz w:val="24"/>
          <w:szCs w:val="24"/>
          <w:lang w:val="zh-CN" w:bidi="zh-CN"/>
        </w:rPr>
        <w:t>A</w:t>
      </w:r>
      <w:r>
        <w:rPr>
          <w:rFonts w:cs="Times New Roman"/>
          <w:color w:val="auto"/>
          <w:spacing w:val="-15"/>
          <w:sz w:val="24"/>
          <w:szCs w:val="24"/>
          <w:lang w:val="zh-CN" w:bidi="zh-CN"/>
        </w:rPr>
        <w:t>中</w:t>
      </w:r>
      <w:r>
        <w:rPr>
          <w:rFonts w:cs="Times New Roman"/>
          <w:color w:val="auto"/>
          <w:spacing w:val="-1"/>
          <w:sz w:val="24"/>
          <w:szCs w:val="24"/>
          <w:lang w:val="zh-CN" w:bidi="zh-CN"/>
        </w:rPr>
        <w:t>推荐模式中估算模型计算污染源的最大环境影响，再按评价工作等级进行分级。采</w:t>
      </w:r>
      <w:r>
        <w:rPr>
          <w:rFonts w:cs="Times New Roman"/>
          <w:color w:val="auto"/>
          <w:spacing w:val="-31"/>
          <w:sz w:val="24"/>
          <w:szCs w:val="24"/>
          <w:lang w:val="zh-CN" w:bidi="zh-CN"/>
        </w:rPr>
        <w:t>用</w:t>
      </w:r>
      <w:r>
        <w:rPr>
          <w:rFonts w:eastAsia="Times New Roman" w:cs="Times New Roman"/>
          <w:color w:val="auto"/>
          <w:sz w:val="24"/>
          <w:szCs w:val="24"/>
          <w:lang w:val="zh-CN" w:bidi="zh-CN"/>
        </w:rPr>
        <w:t>AERSCREEN</w:t>
      </w:r>
      <w:r>
        <w:rPr>
          <w:rFonts w:cs="Times New Roman"/>
          <w:color w:val="auto"/>
          <w:sz w:val="24"/>
          <w:szCs w:val="24"/>
          <w:lang w:val="zh-CN" w:bidi="zh-CN"/>
        </w:rPr>
        <w:t>估算模式进行计算。</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bCs/>
          <w:color w:val="auto"/>
          <w:sz w:val="21"/>
          <w:szCs w:val="21"/>
        </w:rPr>
      </w:pPr>
      <w:r>
        <w:rPr>
          <w:rFonts w:hint="default" w:ascii="Times New Roman" w:hAnsi="Times New Roman" w:eastAsia="黑体" w:cs="Times New Roman"/>
          <w:b/>
          <w:bCs/>
          <w:color w:val="auto"/>
          <w:sz w:val="21"/>
          <w:szCs w:val="21"/>
        </w:rPr>
        <w:t>表5.1.2-1</w:t>
      </w:r>
      <w:r>
        <w:rPr>
          <w:rFonts w:hint="default" w:ascii="Times New Roman" w:hAnsi="Times New Roman" w:eastAsia="黑体" w:cs="Times New Roman"/>
          <w:b/>
          <w:bCs/>
          <w:color w:val="auto"/>
          <w:sz w:val="21"/>
          <w:szCs w:val="21"/>
        </w:rPr>
        <w:tab/>
      </w:r>
      <w:r>
        <w:rPr>
          <w:rFonts w:hint="default" w:ascii="Times New Roman" w:hAnsi="Times New Roman" w:eastAsia="黑体" w:cs="Times New Roman"/>
          <w:b/>
          <w:bCs/>
          <w:color w:val="auto"/>
          <w:sz w:val="21"/>
          <w:szCs w:val="21"/>
        </w:rPr>
        <w:t>估算模型参数表</w:t>
      </w:r>
    </w:p>
    <w:tbl>
      <w:tblPr>
        <w:tblStyle w:val="4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95"/>
        <w:gridCol w:w="2766"/>
        <w:gridCol w:w="2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661" w:type="dxa"/>
            <w:gridSpan w:val="2"/>
            <w:tcMar>
              <w:top w:w="15" w:type="dxa"/>
              <w:left w:w="15" w:type="dxa"/>
              <w:right w:w="15" w:type="dxa"/>
            </w:tcMar>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参数</w:t>
            </w:r>
          </w:p>
        </w:tc>
        <w:tc>
          <w:tcPr>
            <w:tcW w:w="2844" w:type="dxa"/>
            <w:tcMar>
              <w:top w:w="15" w:type="dxa"/>
              <w:left w:w="15" w:type="dxa"/>
              <w:right w:w="15" w:type="dxa"/>
            </w:tcMar>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restart"/>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城市/农村选项</w:t>
            </w: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城市/农村</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2895" w:type="dxa"/>
            <w:vMerge w:val="continue"/>
            <w:tcMar>
              <w:top w:w="15" w:type="dxa"/>
              <w:left w:w="15" w:type="dxa"/>
              <w:right w:w="15" w:type="dxa"/>
            </w:tcMar>
            <w:vAlign w:val="center"/>
          </w:tcPr>
          <w:p>
            <w:pPr>
              <w:spacing w:line="240" w:lineRule="auto"/>
              <w:ind w:firstLine="0" w:firstLineChars="0"/>
              <w:jc w:val="center"/>
              <w:rPr>
                <w:rFonts w:cs="Times New Roman"/>
                <w:color w:val="auto"/>
                <w:sz w:val="21"/>
                <w:szCs w:val="21"/>
              </w:rPr>
            </w:pP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人口数（城市选项时）</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hint="eastAsia" w:cs="Times New Roman"/>
                <w:color w:val="auto"/>
                <w:sz w:val="21"/>
                <w:szCs w:val="21"/>
                <w:lang w:val="en-US" w:eastAsia="zh-CN"/>
              </w:rPr>
              <w:t>121.8</w:t>
            </w:r>
            <w:r>
              <w:rPr>
                <w:rFonts w:cs="Times New Roman"/>
                <w:color w:val="auto"/>
                <w:sz w:val="21"/>
                <w:szCs w:val="21"/>
              </w:rPr>
              <w:t>万人（</w:t>
            </w:r>
            <w:r>
              <w:rPr>
                <w:rFonts w:hint="eastAsia" w:cs="Times New Roman"/>
                <w:color w:val="auto"/>
                <w:sz w:val="21"/>
                <w:szCs w:val="21"/>
                <w:lang w:eastAsia="zh-CN"/>
              </w:rPr>
              <w:t>包河区</w:t>
            </w: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61" w:type="dxa"/>
            <w:gridSpan w:val="2"/>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最高环境温度/℃</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rPr>
              <w:t>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61" w:type="dxa"/>
            <w:gridSpan w:val="2"/>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最低环境温度/℃</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rPr>
              <w:t>-20.6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5661" w:type="dxa"/>
            <w:gridSpan w:val="2"/>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土地利用类型</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661" w:type="dxa"/>
            <w:gridSpan w:val="2"/>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区域湿度条件</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湿润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restart"/>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是否考虑地形</w:t>
            </w: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考虑地形</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continue"/>
            <w:tcMar>
              <w:top w:w="15" w:type="dxa"/>
              <w:left w:w="15" w:type="dxa"/>
              <w:right w:w="15" w:type="dxa"/>
            </w:tcMar>
            <w:vAlign w:val="center"/>
          </w:tcPr>
          <w:p>
            <w:pPr>
              <w:spacing w:line="240" w:lineRule="auto"/>
              <w:ind w:firstLine="0" w:firstLineChars="0"/>
              <w:jc w:val="center"/>
              <w:rPr>
                <w:rFonts w:cs="Times New Roman"/>
                <w:color w:val="auto"/>
                <w:sz w:val="21"/>
                <w:szCs w:val="21"/>
              </w:rPr>
            </w:pP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地形数据分辨率/m</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90m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restart"/>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是否考虑岸线熏烟</w:t>
            </w: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考虑岸线熏烟</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continue"/>
            <w:tcMar>
              <w:top w:w="15" w:type="dxa"/>
              <w:left w:w="15" w:type="dxa"/>
              <w:right w:w="15" w:type="dxa"/>
            </w:tcMar>
            <w:vAlign w:val="center"/>
          </w:tcPr>
          <w:p>
            <w:pPr>
              <w:spacing w:line="240" w:lineRule="auto"/>
              <w:ind w:firstLine="0" w:firstLineChars="0"/>
              <w:jc w:val="center"/>
              <w:rPr>
                <w:rFonts w:cs="Times New Roman"/>
                <w:color w:val="auto"/>
                <w:sz w:val="21"/>
                <w:szCs w:val="21"/>
              </w:rPr>
            </w:pP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岸线距离/km</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895" w:type="dxa"/>
            <w:vMerge w:val="continue"/>
            <w:tcMar>
              <w:top w:w="15" w:type="dxa"/>
              <w:left w:w="15" w:type="dxa"/>
              <w:right w:w="15" w:type="dxa"/>
            </w:tcMar>
            <w:vAlign w:val="center"/>
          </w:tcPr>
          <w:p>
            <w:pPr>
              <w:spacing w:line="240" w:lineRule="auto"/>
              <w:ind w:firstLine="0" w:firstLineChars="0"/>
              <w:jc w:val="center"/>
              <w:rPr>
                <w:rFonts w:cs="Times New Roman"/>
                <w:color w:val="auto"/>
                <w:sz w:val="21"/>
                <w:szCs w:val="21"/>
              </w:rPr>
            </w:pPr>
          </w:p>
        </w:tc>
        <w:tc>
          <w:tcPr>
            <w:tcW w:w="2766"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岸线方向/°</w:t>
            </w:r>
          </w:p>
        </w:tc>
        <w:tc>
          <w:tcPr>
            <w:tcW w:w="2844" w:type="dxa"/>
            <w:tcMar>
              <w:top w:w="15" w:type="dxa"/>
              <w:left w:w="15" w:type="dxa"/>
              <w:right w:w="15"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w:t>
            </w:r>
          </w:p>
        </w:tc>
      </w:tr>
    </w:tbl>
    <w:p>
      <w:pPr>
        <w:pStyle w:val="2"/>
        <w:pageBreakBefore w:val="0"/>
        <w:widowControl w:val="0"/>
        <w:numPr>
          <w:ilvl w:val="3"/>
          <w:numId w:val="0"/>
        </w:numPr>
        <w:kinsoku/>
        <w:wordWrap/>
        <w:overflowPunct/>
        <w:topLinePunct w:val="0"/>
        <w:autoSpaceDE/>
        <w:autoSpaceDN/>
        <w:bidi w:val="0"/>
        <w:adjustRightInd/>
        <w:snapToGrid/>
        <w:spacing w:before="0" w:after="0" w:line="360" w:lineRule="auto"/>
        <w:ind w:right="0" w:rightChars="0"/>
        <w:textAlignment w:val="auto"/>
        <w:rPr>
          <w:rFonts w:hint="eastAsia"/>
          <w:b/>
          <w:bCs/>
          <w:color w:val="auto"/>
        </w:rPr>
      </w:pPr>
      <w:r>
        <w:rPr>
          <w:rFonts w:hint="eastAsia"/>
          <w:b/>
          <w:bCs/>
          <w:color w:val="auto"/>
          <w:lang w:val="en-US" w:eastAsia="zh-CN"/>
        </w:rPr>
        <w:t>5</w:t>
      </w:r>
      <w:r>
        <w:rPr>
          <w:rFonts w:hint="eastAsia"/>
          <w:b/>
          <w:bCs/>
          <w:color w:val="auto"/>
        </w:rPr>
        <w:t>.2.</w:t>
      </w:r>
      <w:r>
        <w:rPr>
          <w:rFonts w:hint="eastAsia"/>
          <w:b/>
          <w:bCs/>
          <w:color w:val="auto"/>
          <w:lang w:val="en-US" w:eastAsia="zh-CN"/>
        </w:rPr>
        <w:t>1.2</w:t>
      </w:r>
      <w:r>
        <w:rPr>
          <w:rFonts w:hint="eastAsia"/>
          <w:b/>
          <w:bCs/>
          <w:color w:val="auto"/>
        </w:rPr>
        <w:t>环境空气影响预测</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firstLine="472" w:firstLineChars="200"/>
        <w:textAlignment w:val="auto"/>
        <w:rPr>
          <w:rFonts w:hint="eastAsia" w:hAnsi="宋体"/>
          <w:color w:val="auto"/>
        </w:rPr>
      </w:pPr>
      <w:r>
        <w:rPr>
          <w:rFonts w:hint="eastAsia" w:ascii="Times New Roman" w:hAnsi="Times New Roman" w:cs="Times New Roman"/>
          <w:color w:val="auto"/>
          <w:spacing w:val="-2"/>
          <w:lang w:val="en-US" w:eastAsia="zh-CN"/>
        </w:rPr>
        <w:t>预测</w:t>
      </w:r>
      <w:r>
        <w:rPr>
          <w:rFonts w:hint="default" w:ascii="Times New Roman" w:hAnsi="Times New Roman" w:cs="Times New Roman"/>
          <w:color w:val="auto"/>
          <w:spacing w:val="-5"/>
        </w:rPr>
        <w:t>因子</w:t>
      </w:r>
      <w:r>
        <w:rPr>
          <w:rFonts w:hint="eastAsia" w:ascii="Times New Roman" w:hAnsi="Times New Roman" w:cs="Times New Roman"/>
          <w:color w:val="auto"/>
          <w:spacing w:val="-5"/>
          <w:lang w:val="en-US" w:eastAsia="zh-CN"/>
        </w:rPr>
        <w:t>选择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eastAsia" w:hAnsi="宋体"/>
          <w:color w:val="auto"/>
        </w:rPr>
      </w:pPr>
      <w:r>
        <w:rPr>
          <w:color w:val="auto"/>
        </w:rPr>
        <w:t>建设项目营运期废气主要为</w:t>
      </w:r>
      <w:r>
        <w:rPr>
          <w:rFonts w:hint="eastAsia"/>
          <w:color w:val="auto"/>
        </w:rPr>
        <w:t>汽车尾气、污水处理站恶臭</w:t>
      </w:r>
      <w:r>
        <w:rPr>
          <w:rFonts w:hint="eastAsia"/>
          <w:color w:val="auto"/>
          <w:lang w:eastAsia="zh-CN"/>
        </w:rPr>
        <w:t>、</w:t>
      </w:r>
      <w:r>
        <w:rPr>
          <w:rFonts w:hint="eastAsia"/>
          <w:color w:val="auto"/>
          <w:lang w:val="en-US" w:eastAsia="zh-CN"/>
        </w:rPr>
        <w:t>食堂油烟废气、燃气废气</w:t>
      </w:r>
      <w:r>
        <w:rPr>
          <w:rFonts w:hint="eastAsia"/>
          <w:color w:val="auto"/>
        </w:rPr>
        <w:t>以及柴油发电机应急时产生的烟气</w:t>
      </w:r>
      <w:r>
        <w:rPr>
          <w:rFonts w:hAnsi="宋体"/>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hint="eastAsia" w:ascii="Times New Roman" w:hAnsi="Times New Roman" w:eastAsia="宋体" w:cs="Times New Roman"/>
          <w:color w:val="auto"/>
          <w:spacing w:val="-5"/>
          <w:lang w:eastAsia="zh-CN"/>
        </w:rPr>
      </w:pPr>
      <w:r>
        <w:rPr>
          <w:color w:val="auto"/>
          <w:spacing w:val="-2"/>
        </w:rPr>
        <w:t>根据《环境影响评价影响导则</w:t>
      </w:r>
      <w:r>
        <w:rPr>
          <w:rFonts w:ascii="Times New Roman" w:eastAsia="Times New Roman"/>
          <w:color w:val="auto"/>
          <w:spacing w:val="-8"/>
        </w:rPr>
        <w:t>-</w:t>
      </w:r>
      <w:r>
        <w:rPr>
          <w:color w:val="auto"/>
          <w:spacing w:val="-8"/>
        </w:rPr>
        <w:t>大气环境》</w:t>
      </w:r>
      <w:r>
        <w:rPr>
          <w:color w:val="auto"/>
        </w:rPr>
        <w:t>（</w:t>
      </w:r>
      <w:r>
        <w:rPr>
          <w:rFonts w:ascii="Times New Roman" w:eastAsia="Times New Roman"/>
          <w:color w:val="auto"/>
        </w:rPr>
        <w:t>HJ2.2-2018</w:t>
      </w:r>
      <w:r>
        <w:rPr>
          <w:color w:val="auto"/>
        </w:rPr>
        <w:t>）中推荐模式中的估算模式对项目排放影响程度进行估算，选取占标率较大、影响较大并有环境质</w:t>
      </w:r>
      <w:r>
        <w:rPr>
          <w:color w:val="auto"/>
          <w:spacing w:val="-5"/>
        </w:rPr>
        <w:t>量标准的污染因子进行估算。本项目</w:t>
      </w:r>
      <w:r>
        <w:rPr>
          <w:rFonts w:hint="eastAsia"/>
          <w:color w:val="auto"/>
          <w:spacing w:val="-5"/>
          <w:lang w:val="en-US" w:eastAsia="zh-CN"/>
        </w:rPr>
        <w:t>拟</w:t>
      </w:r>
      <w:r>
        <w:rPr>
          <w:color w:val="auto"/>
          <w:spacing w:val="-5"/>
        </w:rPr>
        <w:t>选取氨</w:t>
      </w:r>
      <w:r>
        <w:rPr>
          <w:rFonts w:hint="eastAsia"/>
          <w:color w:val="auto"/>
          <w:spacing w:val="-5"/>
          <w:lang w:eastAsia="zh-CN"/>
        </w:rPr>
        <w:t>、</w:t>
      </w:r>
      <w:r>
        <w:rPr>
          <w:color w:val="auto"/>
          <w:spacing w:val="-5"/>
        </w:rPr>
        <w:t>硫化氢</w:t>
      </w:r>
      <w:r>
        <w:rPr>
          <w:rFonts w:hint="eastAsia"/>
          <w:color w:val="auto"/>
          <w:spacing w:val="-5"/>
          <w:lang w:eastAsia="zh-CN"/>
        </w:rPr>
        <w:t>、</w:t>
      </w:r>
      <w:r>
        <w:rPr>
          <w:rFonts w:hint="eastAsia"/>
          <w:color w:val="auto"/>
          <w:spacing w:val="-5"/>
          <w:lang w:val="en-US" w:eastAsia="zh-CN"/>
        </w:rPr>
        <w:t>SO</w:t>
      </w:r>
      <w:r>
        <w:rPr>
          <w:rFonts w:hint="eastAsia"/>
          <w:color w:val="auto"/>
          <w:spacing w:val="-5"/>
          <w:vertAlign w:val="subscript"/>
          <w:lang w:val="en-US" w:eastAsia="zh-CN"/>
        </w:rPr>
        <w:t>2</w:t>
      </w:r>
      <w:r>
        <w:rPr>
          <w:rFonts w:hint="eastAsia"/>
          <w:color w:val="auto"/>
          <w:spacing w:val="-5"/>
          <w:lang w:val="en-US" w:eastAsia="zh-CN"/>
        </w:rPr>
        <w:t>、NO</w:t>
      </w:r>
      <w:r>
        <w:rPr>
          <w:rFonts w:hint="eastAsia"/>
          <w:color w:val="auto"/>
          <w:spacing w:val="-5"/>
          <w:vertAlign w:val="subscript"/>
          <w:lang w:val="en-US" w:eastAsia="zh-CN"/>
        </w:rPr>
        <w:t>X</w:t>
      </w:r>
      <w:r>
        <w:rPr>
          <w:rFonts w:hint="eastAsia"/>
          <w:color w:val="auto"/>
          <w:spacing w:val="-5"/>
          <w:lang w:val="en-US" w:eastAsia="zh-CN"/>
        </w:rPr>
        <w:t>、颗粒物</w:t>
      </w:r>
      <w:r>
        <w:rPr>
          <w:color w:val="auto"/>
          <w:spacing w:val="-5"/>
        </w:rPr>
        <w:t>作为估算模式预测因子</w:t>
      </w:r>
      <w:r>
        <w:rPr>
          <w:rFonts w:hint="eastAsia"/>
          <w:color w:val="auto"/>
          <w:spacing w:val="-5"/>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auto"/>
          <w:lang w:val="en-US" w:eastAsia="zh-CN"/>
        </w:rPr>
      </w:pPr>
      <w:r>
        <w:rPr>
          <w:rFonts w:hint="eastAsia" w:ascii="Times New Roman" w:hAnsi="Times New Roman" w:eastAsia="宋体" w:cs="Times New Roman"/>
          <w:color w:val="auto"/>
          <w:spacing w:val="-5"/>
          <w:lang w:eastAsia="zh-CN"/>
        </w:rPr>
        <w:t>（</w:t>
      </w:r>
      <w:r>
        <w:rPr>
          <w:rFonts w:hint="eastAsia" w:ascii="Times New Roman" w:hAnsi="Times New Roman" w:eastAsia="宋体" w:cs="Times New Roman"/>
          <w:color w:val="auto"/>
          <w:spacing w:val="-5"/>
          <w:lang w:val="en-US" w:eastAsia="zh-CN"/>
        </w:rPr>
        <w:t>2</w:t>
      </w:r>
      <w:r>
        <w:rPr>
          <w:rFonts w:hint="eastAsia" w:ascii="Times New Roman" w:hAnsi="Times New Roman" w:eastAsia="宋体" w:cs="Times New Roman"/>
          <w:color w:val="auto"/>
          <w:spacing w:val="-5"/>
          <w:lang w:eastAsia="zh-CN"/>
        </w:rPr>
        <w:t>）</w:t>
      </w:r>
      <w:r>
        <w:rPr>
          <w:rFonts w:hint="eastAsia" w:ascii="Times New Roman" w:hAnsi="Times New Roman" w:eastAsia="宋体" w:cs="Times New Roman"/>
          <w:color w:val="auto"/>
          <w:spacing w:val="-5"/>
          <w:lang w:val="en-US" w:eastAsia="zh-CN"/>
        </w:rPr>
        <w:t>评价标准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color w:val="auto"/>
          <w:sz w:val="21"/>
          <w:szCs w:val="21"/>
        </w:rPr>
      </w:pPr>
      <w:r>
        <w:rPr>
          <w:rFonts w:hint="eastAsia"/>
          <w:b/>
          <w:color w:val="auto"/>
          <w:sz w:val="21"/>
          <w:szCs w:val="21"/>
        </w:rPr>
        <w:t>表</w:t>
      </w:r>
      <w:r>
        <w:rPr>
          <w:rFonts w:hint="eastAsia"/>
          <w:b/>
          <w:color w:val="auto"/>
          <w:sz w:val="21"/>
          <w:szCs w:val="21"/>
          <w:lang w:val="en-US" w:eastAsia="zh-CN"/>
        </w:rPr>
        <w:t xml:space="preserve">6.2-7 </w:t>
      </w:r>
      <w:r>
        <w:rPr>
          <w:rFonts w:hint="eastAsia"/>
          <w:b/>
          <w:color w:val="auto"/>
          <w:sz w:val="21"/>
          <w:szCs w:val="21"/>
        </w:rPr>
        <w:t xml:space="preserve"> 评价因子和评价标准表</w:t>
      </w:r>
    </w:p>
    <w:tbl>
      <w:tblPr>
        <w:tblStyle w:val="4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813"/>
        <w:gridCol w:w="2401"/>
        <w:gridCol w:w="4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污染物名称</w:t>
            </w:r>
          </w:p>
        </w:tc>
        <w:tc>
          <w:tcPr>
            <w:tcW w:w="4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功能区</w:t>
            </w: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标准值（μg/m</w:t>
            </w:r>
            <w:r>
              <w:rPr>
                <w:rFonts w:hint="default" w:ascii="Times New Roman" w:hAnsi="Times New Roman" w:cs="Times New Roman"/>
                <w:bCs/>
                <w:color w:val="auto"/>
                <w:sz w:val="21"/>
                <w:szCs w:val="21"/>
                <w:vertAlign w:val="superscript"/>
              </w:rPr>
              <w:t>3</w:t>
            </w:r>
            <w:r>
              <w:rPr>
                <w:rFonts w:hint="default" w:ascii="Times New Roman" w:hAnsi="Times New Roman" w:cs="Times New Roman"/>
                <w:bCs/>
                <w:color w:val="auto"/>
                <w:sz w:val="21"/>
                <w:szCs w:val="21"/>
              </w:rPr>
              <w:t>）</w:t>
            </w:r>
          </w:p>
        </w:tc>
        <w:tc>
          <w:tcPr>
            <w:tcW w:w="255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Calibri" w:cs="Times New Roman"/>
                <w:bCs/>
                <w:color w:val="auto"/>
                <w:sz w:val="21"/>
                <w:szCs w:val="21"/>
                <w:lang w:val="en-US" w:eastAsia="zh-CN"/>
              </w:rPr>
            </w:pPr>
            <w:r>
              <w:rPr>
                <w:rFonts w:hint="eastAsia" w:ascii="Times New Roman" w:hAnsi="Times New Roman" w:cs="Times New Roman"/>
                <w:bCs/>
                <w:color w:val="auto"/>
                <w:sz w:val="21"/>
                <w:szCs w:val="21"/>
                <w:lang w:val="en-US" w:eastAsia="zh-CN"/>
              </w:rPr>
              <w:t>氨</w:t>
            </w:r>
          </w:p>
        </w:tc>
        <w:tc>
          <w:tcPr>
            <w:tcW w:w="477"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二类</w:t>
            </w: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eastAsia" w:ascii="Times New Roman" w:hAnsi="Times New Roman" w:cs="Times New Roman"/>
                <w:i w:val="0"/>
                <w:color w:val="auto"/>
                <w:kern w:val="0"/>
                <w:sz w:val="21"/>
                <w:szCs w:val="21"/>
                <w:u w:val="none"/>
                <w:lang w:val="en-US" w:eastAsia="zh-CN" w:bidi="ar"/>
              </w:rPr>
              <w:t>200</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1小时平均</w:t>
            </w:r>
            <w:r>
              <w:rPr>
                <w:rFonts w:hint="default" w:ascii="Times New Roman" w:hAnsi="Times New Roman" w:cs="Times New Roman"/>
                <w:bCs/>
                <w:color w:val="auto"/>
                <w:sz w:val="21"/>
                <w:szCs w:val="21"/>
                <w:lang w:eastAsia="zh-CN"/>
              </w:rPr>
              <w:t>）</w:t>
            </w:r>
          </w:p>
        </w:tc>
        <w:tc>
          <w:tcPr>
            <w:tcW w:w="255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《环境影响评价技术导则 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val="en-US" w:eastAsia="zh-CN"/>
              </w:rPr>
              <w:t>硫化氢</w:t>
            </w:r>
          </w:p>
        </w:tc>
        <w:tc>
          <w:tcPr>
            <w:tcW w:w="477"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lang w:val="en-US" w:eastAsia="zh-CN"/>
              </w:rPr>
            </w:pP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eastAsia" w:ascii="Times New Roman" w:hAnsi="Times New Roman" w:cs="Times New Roman"/>
                <w:i w:val="0"/>
                <w:color w:val="auto"/>
                <w:kern w:val="0"/>
                <w:sz w:val="21"/>
                <w:szCs w:val="21"/>
                <w:u w:val="none"/>
                <w:lang w:val="en-US" w:eastAsia="zh-CN" w:bidi="ar"/>
              </w:rPr>
              <w:t>10</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1小时平均</w:t>
            </w:r>
            <w:r>
              <w:rPr>
                <w:rFonts w:hint="default" w:ascii="Times New Roman" w:hAnsi="Times New Roman" w:cs="Times New Roman"/>
                <w:bCs/>
                <w:color w:val="auto"/>
                <w:sz w:val="21"/>
                <w:szCs w:val="21"/>
                <w:lang w:eastAsia="zh-CN"/>
              </w:rPr>
              <w:t>）</w:t>
            </w:r>
          </w:p>
        </w:tc>
        <w:tc>
          <w:tcPr>
            <w:tcW w:w="255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SO</w:t>
            </w:r>
            <w:r>
              <w:rPr>
                <w:rStyle w:val="120"/>
                <w:rFonts w:hint="default" w:ascii="Times New Roman" w:hAnsi="Times New Roman" w:eastAsia="宋体" w:cs="Times New Roman"/>
                <w:color w:val="auto"/>
                <w:lang w:val="en-US" w:eastAsia="zh-CN" w:bidi="ar"/>
              </w:rPr>
              <w:t>2</w:t>
            </w:r>
          </w:p>
        </w:tc>
        <w:tc>
          <w:tcPr>
            <w:tcW w:w="477"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lang w:val="en-US" w:eastAsia="zh-CN"/>
              </w:rPr>
            </w:pP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500（1小时平均）</w:t>
            </w:r>
          </w:p>
        </w:tc>
        <w:tc>
          <w:tcPr>
            <w:tcW w:w="2555"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sz w:val="21"/>
                <w:szCs w:val="21"/>
                <w:u w:val="none"/>
              </w:rPr>
              <w:t>《环境空气质量标准》</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r>
              <w:rPr>
                <w:rFonts w:hint="default" w:ascii="Times New Roman" w:hAnsi="Times New Roman" w:eastAsia="宋体" w:cs="Times New Roman"/>
                <w:i w:val="0"/>
                <w:color w:val="auto"/>
                <w:sz w:val="21"/>
                <w:szCs w:val="21"/>
                <w:u w:val="none"/>
              </w:rPr>
              <w:t>（GB3095-2012）中二级标准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bCs/>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NOx</w:t>
            </w:r>
          </w:p>
        </w:tc>
        <w:tc>
          <w:tcPr>
            <w:tcW w:w="477"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lang w:val="en-US" w:eastAsia="zh-CN"/>
              </w:rPr>
            </w:pP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250（1小时平均）</w:t>
            </w:r>
          </w:p>
        </w:tc>
        <w:tc>
          <w:tcPr>
            <w:tcW w:w="255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PM</w:t>
            </w:r>
            <w:r>
              <w:rPr>
                <w:rStyle w:val="120"/>
                <w:rFonts w:hint="default" w:ascii="Times New Roman" w:hAnsi="Times New Roman" w:eastAsia="宋体" w:cs="Times New Roman"/>
                <w:color w:val="auto"/>
                <w:lang w:val="en-US" w:eastAsia="zh-CN" w:bidi="ar"/>
              </w:rPr>
              <w:t>10</w:t>
            </w:r>
          </w:p>
        </w:tc>
        <w:tc>
          <w:tcPr>
            <w:tcW w:w="477"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lang w:val="en-US" w:eastAsia="zh-CN"/>
              </w:rPr>
            </w:pPr>
          </w:p>
        </w:tc>
        <w:tc>
          <w:tcPr>
            <w:tcW w:w="1408"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450（日平均浓度的3倍）</w:t>
            </w:r>
          </w:p>
        </w:tc>
        <w:tc>
          <w:tcPr>
            <w:tcW w:w="255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Cs/>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b/>
          <w:color w:val="auto"/>
          <w:sz w:val="24"/>
          <w:szCs w:val="24"/>
        </w:rPr>
      </w:pPr>
      <w:r>
        <w:rPr>
          <w:rFonts w:hint="eastAsia" w:hAnsi="宋体"/>
          <w:color w:val="auto"/>
          <w:sz w:val="24"/>
          <w:szCs w:val="24"/>
          <w:lang w:eastAsia="zh-CN"/>
        </w:rPr>
        <w:t>（</w:t>
      </w:r>
      <w:r>
        <w:rPr>
          <w:rFonts w:hint="eastAsia" w:hAnsi="宋体"/>
          <w:color w:val="auto"/>
          <w:sz w:val="24"/>
          <w:szCs w:val="24"/>
          <w:lang w:val="en-US" w:eastAsia="zh-CN"/>
        </w:rPr>
        <w:t>3</w:t>
      </w:r>
      <w:r>
        <w:rPr>
          <w:rFonts w:hint="eastAsia" w:hAnsi="宋体"/>
          <w:color w:val="auto"/>
          <w:sz w:val="24"/>
          <w:szCs w:val="24"/>
          <w:lang w:eastAsia="zh-CN"/>
        </w:rPr>
        <w:t>）</w:t>
      </w:r>
      <w:r>
        <w:rPr>
          <w:rFonts w:hint="eastAsia" w:hAnsi="宋体"/>
          <w:color w:val="auto"/>
          <w:sz w:val="24"/>
          <w:szCs w:val="24"/>
        </w:rPr>
        <w:t>污染源计算清单见下表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color w:val="auto"/>
          <w:sz w:val="21"/>
          <w:szCs w:val="21"/>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color w:val="auto"/>
          <w:sz w:val="21"/>
          <w:szCs w:val="21"/>
        </w:rPr>
      </w:pPr>
      <w:r>
        <w:rPr>
          <w:rFonts w:hint="eastAsia"/>
          <w:b/>
          <w:color w:val="auto"/>
          <w:sz w:val="21"/>
          <w:szCs w:val="21"/>
        </w:rPr>
        <w:t>表</w:t>
      </w:r>
      <w:r>
        <w:rPr>
          <w:rFonts w:hint="eastAsia"/>
          <w:b/>
          <w:color w:val="auto"/>
          <w:sz w:val="21"/>
          <w:szCs w:val="21"/>
          <w:lang w:val="en-US" w:eastAsia="zh-CN"/>
        </w:rPr>
        <w:t xml:space="preserve">6.2-9  </w:t>
      </w:r>
      <w:r>
        <w:rPr>
          <w:rFonts w:hint="eastAsia"/>
          <w:b/>
          <w:color w:val="auto"/>
          <w:sz w:val="21"/>
          <w:szCs w:val="21"/>
        </w:rPr>
        <w:t>项目点源参数表</w:t>
      </w:r>
    </w:p>
    <w:tbl>
      <w:tblPr>
        <w:tblStyle w:val="48"/>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27"/>
        <w:gridCol w:w="864"/>
        <w:gridCol w:w="1533"/>
        <w:gridCol w:w="1435"/>
        <w:gridCol w:w="718"/>
        <w:gridCol w:w="514"/>
        <w:gridCol w:w="587"/>
        <w:gridCol w:w="824"/>
        <w:gridCol w:w="805"/>
        <w:gridCol w:w="816"/>
        <w:gridCol w:w="883"/>
        <w:gridCol w:w="967"/>
        <w:gridCol w:w="1098"/>
        <w:gridCol w:w="987"/>
        <w:gridCol w:w="810"/>
        <w:gridCol w:w="7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8"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编号</w:t>
            </w:r>
          </w:p>
        </w:tc>
        <w:tc>
          <w:tcPr>
            <w:tcW w:w="310"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名称</w:t>
            </w:r>
          </w:p>
        </w:tc>
        <w:tc>
          <w:tcPr>
            <w:tcW w:w="1047" w:type="pct"/>
            <w:gridSpan w:val="2"/>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eastAsia" w:ascii="Times New Roman" w:eastAsia="宋体"/>
                <w:color w:val="auto"/>
                <w:sz w:val="21"/>
                <w:szCs w:val="21"/>
                <w:highlight w:val="none"/>
                <w:lang w:eastAsia="zh-CN"/>
              </w:rPr>
            </w:pPr>
            <w:r>
              <w:rPr>
                <w:color w:val="auto"/>
                <w:sz w:val="21"/>
                <w:szCs w:val="21"/>
                <w:highlight w:val="none"/>
              </w:rPr>
              <w:t>排气筒底部中心坐标</w:t>
            </w:r>
            <w:r>
              <w:rPr>
                <w:rFonts w:ascii="Times New Roman" w:eastAsia="Times New Roman"/>
                <w:color w:val="auto"/>
                <w:sz w:val="21"/>
                <w:szCs w:val="21"/>
                <w:highlight w:val="none"/>
              </w:rPr>
              <w:t>/</w:t>
            </w:r>
            <w:r>
              <w:rPr>
                <w:rFonts w:hint="eastAsia" w:eastAsia="宋体"/>
                <w:color w:val="auto"/>
                <w:sz w:val="21"/>
                <w:szCs w:val="21"/>
                <w:highlight w:val="none"/>
                <w:lang w:val="en-US" w:eastAsia="zh-CN"/>
              </w:rPr>
              <w:t>°</w:t>
            </w:r>
          </w:p>
        </w:tc>
        <w:tc>
          <w:tcPr>
            <w:tcW w:w="258"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排气筒底部海拔高度</w:t>
            </w:r>
          </w:p>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/m</w:t>
            </w:r>
          </w:p>
        </w:tc>
        <w:tc>
          <w:tcPr>
            <w:tcW w:w="185"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eastAsia="Times New Roman"/>
                <w:color w:val="auto"/>
                <w:sz w:val="21"/>
                <w:szCs w:val="21"/>
                <w:highlight w:val="none"/>
              </w:rPr>
            </w:pPr>
            <w:r>
              <w:rPr>
                <w:color w:val="auto"/>
                <w:sz w:val="21"/>
                <w:szCs w:val="21"/>
                <w:highlight w:val="none"/>
              </w:rPr>
              <w:t>排气筒高度</w:t>
            </w:r>
            <w:r>
              <w:rPr>
                <w:rFonts w:ascii="Times New Roman" w:eastAsia="Times New Roman"/>
                <w:color w:val="auto"/>
                <w:sz w:val="21"/>
                <w:szCs w:val="21"/>
                <w:highlight w:val="none"/>
              </w:rPr>
              <w:t>/m</w:t>
            </w:r>
          </w:p>
        </w:tc>
        <w:tc>
          <w:tcPr>
            <w:tcW w:w="211"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eastAsia="Times New Roman"/>
                <w:color w:val="auto"/>
                <w:sz w:val="21"/>
                <w:szCs w:val="21"/>
                <w:highlight w:val="none"/>
              </w:rPr>
            </w:pPr>
            <w:r>
              <w:rPr>
                <w:color w:val="auto"/>
                <w:sz w:val="21"/>
                <w:szCs w:val="21"/>
                <w:highlight w:val="none"/>
              </w:rPr>
              <w:t>排气筒出口内径</w:t>
            </w:r>
            <w:r>
              <w:rPr>
                <w:rFonts w:ascii="Times New Roman" w:eastAsia="Times New Roman"/>
                <w:color w:val="auto"/>
                <w:sz w:val="21"/>
                <w:szCs w:val="21"/>
                <w:highlight w:val="none"/>
              </w:rPr>
              <w:t>/m</w:t>
            </w:r>
          </w:p>
        </w:tc>
        <w:tc>
          <w:tcPr>
            <w:tcW w:w="296"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eastAsia="Times New Roman"/>
                <w:color w:val="auto"/>
                <w:sz w:val="21"/>
                <w:szCs w:val="21"/>
                <w:highlight w:val="none"/>
              </w:rPr>
            </w:pPr>
            <w:r>
              <w:rPr>
                <w:color w:val="auto"/>
                <w:sz w:val="21"/>
                <w:szCs w:val="21"/>
                <w:highlight w:val="none"/>
              </w:rPr>
              <w:t>烟气流速</w:t>
            </w:r>
            <w:r>
              <w:rPr>
                <w:rFonts w:ascii="Times New Roman" w:eastAsia="Times New Roman"/>
                <w:color w:val="auto"/>
                <w:sz w:val="21"/>
                <w:szCs w:val="21"/>
                <w:highlight w:val="none"/>
              </w:rPr>
              <w:t>/</w:t>
            </w:r>
          </w:p>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w w:val="95"/>
                <w:sz w:val="21"/>
                <w:szCs w:val="21"/>
                <w:highlight w:val="none"/>
              </w:rPr>
              <w:t>（</w:t>
            </w:r>
            <w:r>
              <w:rPr>
                <w:rFonts w:ascii="Times New Roman" w:eastAsia="Times New Roman"/>
                <w:color w:val="auto"/>
                <w:w w:val="95"/>
                <w:sz w:val="21"/>
                <w:szCs w:val="21"/>
                <w:highlight w:val="none"/>
              </w:rPr>
              <w:t>m/s</w:t>
            </w:r>
            <w:r>
              <w:rPr>
                <w:color w:val="auto"/>
                <w:w w:val="95"/>
                <w:sz w:val="21"/>
                <w:szCs w:val="21"/>
                <w:highlight w:val="none"/>
              </w:rPr>
              <w:t>）</w:t>
            </w:r>
          </w:p>
        </w:tc>
        <w:tc>
          <w:tcPr>
            <w:tcW w:w="289"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烟气温度</w:t>
            </w:r>
            <w:r>
              <w:rPr>
                <w:rFonts w:ascii="Times New Roman" w:hAnsi="Times New Roman" w:eastAsia="Times New Roman"/>
                <w:color w:val="auto"/>
                <w:sz w:val="21"/>
                <w:szCs w:val="21"/>
                <w:highlight w:val="none"/>
              </w:rPr>
              <w:t>/</w:t>
            </w:r>
            <w:r>
              <w:rPr>
                <w:color w:val="auto"/>
                <w:sz w:val="21"/>
                <w:szCs w:val="21"/>
                <w:highlight w:val="none"/>
              </w:rPr>
              <w:t>℃</w:t>
            </w:r>
          </w:p>
        </w:tc>
        <w:tc>
          <w:tcPr>
            <w:tcW w:w="293"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年排放小时数</w:t>
            </w:r>
          </w:p>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/h</w:t>
            </w:r>
          </w:p>
        </w:tc>
        <w:tc>
          <w:tcPr>
            <w:tcW w:w="317"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排放工况</w:t>
            </w:r>
          </w:p>
        </w:tc>
        <w:tc>
          <w:tcPr>
            <w:tcW w:w="1670" w:type="pct"/>
            <w:gridSpan w:val="5"/>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污染物排放速率</w:t>
            </w:r>
            <w:r>
              <w:rPr>
                <w:rFonts w:ascii="Times New Roman" w:eastAsia="Times New Roman"/>
                <w:color w:val="auto"/>
                <w:sz w:val="21"/>
                <w:szCs w:val="21"/>
                <w:highlight w:val="none"/>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8"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310"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54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eastAsia" w:ascii="Times New Roman" w:eastAsia="宋体"/>
                <w:color w:val="auto"/>
                <w:sz w:val="21"/>
                <w:szCs w:val="21"/>
                <w:highlight w:val="none"/>
                <w:lang w:eastAsia="zh-CN"/>
              </w:rPr>
            </w:pPr>
            <w:r>
              <w:rPr>
                <w:rFonts w:hint="eastAsia" w:eastAsia="宋体"/>
                <w:color w:val="auto"/>
                <w:sz w:val="21"/>
                <w:szCs w:val="21"/>
                <w:highlight w:val="none"/>
                <w:lang w:eastAsia="zh-CN"/>
              </w:rPr>
              <w:t>经度</w:t>
            </w:r>
          </w:p>
        </w:tc>
        <w:tc>
          <w:tcPr>
            <w:tcW w:w="50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eastAsia" w:ascii="Times New Roman" w:eastAsia="宋体"/>
                <w:color w:val="auto"/>
                <w:sz w:val="21"/>
                <w:szCs w:val="21"/>
                <w:highlight w:val="none"/>
                <w:lang w:eastAsia="zh-CN"/>
              </w:rPr>
            </w:pPr>
            <w:r>
              <w:rPr>
                <w:rFonts w:hint="eastAsia" w:eastAsia="宋体"/>
                <w:color w:val="auto"/>
                <w:sz w:val="21"/>
                <w:szCs w:val="21"/>
                <w:highlight w:val="none"/>
                <w:lang w:eastAsia="zh-CN"/>
              </w:rPr>
              <w:t>纬度</w:t>
            </w:r>
          </w:p>
        </w:tc>
        <w:tc>
          <w:tcPr>
            <w:tcW w:w="258"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185"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211"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296"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289"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293"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317" w:type="pct"/>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highlight w:val="none"/>
              </w:rPr>
            </w:pPr>
          </w:p>
        </w:tc>
        <w:tc>
          <w:tcPr>
            <w:tcW w:w="34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NH</w:t>
            </w:r>
            <w:r>
              <w:rPr>
                <w:rFonts w:ascii="Times New Roman"/>
                <w:color w:val="auto"/>
                <w:sz w:val="21"/>
                <w:szCs w:val="21"/>
                <w:highlight w:val="none"/>
                <w:vertAlign w:val="subscript"/>
              </w:rPr>
              <w:t>3</w:t>
            </w:r>
          </w:p>
        </w:tc>
        <w:tc>
          <w:tcPr>
            <w:tcW w:w="39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H</w:t>
            </w:r>
            <w:r>
              <w:rPr>
                <w:rFonts w:ascii="Times New Roman"/>
                <w:color w:val="auto"/>
                <w:sz w:val="21"/>
                <w:szCs w:val="21"/>
                <w:highlight w:val="none"/>
                <w:vertAlign w:val="subscript"/>
              </w:rPr>
              <w:t>2</w:t>
            </w:r>
            <w:r>
              <w:rPr>
                <w:rFonts w:ascii="Times New Roman"/>
                <w:color w:val="auto"/>
                <w:sz w:val="21"/>
                <w:szCs w:val="21"/>
                <w:highlight w:val="none"/>
                <w:vertAlign w:val="baseline"/>
              </w:rPr>
              <w:t>S</w:t>
            </w:r>
          </w:p>
        </w:tc>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SO</w:t>
            </w:r>
            <w:r>
              <w:rPr>
                <w:rFonts w:hint="eastAsia" w:eastAsia="宋体"/>
                <w:color w:val="auto"/>
                <w:sz w:val="21"/>
                <w:szCs w:val="21"/>
                <w:highlight w:val="none"/>
                <w:vertAlign w:val="subscript"/>
                <w:lang w:val="en-US" w:eastAsia="zh-CN"/>
              </w:rPr>
              <w:t>2</w:t>
            </w:r>
          </w:p>
        </w:tc>
        <w:tc>
          <w:tcPr>
            <w:tcW w:w="29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NO</w:t>
            </w:r>
            <w:r>
              <w:rPr>
                <w:rFonts w:hint="eastAsia" w:eastAsia="宋体"/>
                <w:color w:val="auto"/>
                <w:sz w:val="21"/>
                <w:szCs w:val="21"/>
                <w:highlight w:val="none"/>
                <w:vertAlign w:val="subscript"/>
                <w:lang w:val="en-US" w:eastAsia="zh-CN"/>
              </w:rPr>
              <w:t>X</w:t>
            </w:r>
          </w:p>
        </w:tc>
        <w:tc>
          <w:tcPr>
            <w:tcW w:w="28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PM</w:t>
            </w:r>
            <w:r>
              <w:rPr>
                <w:rFonts w:hint="eastAsia" w:eastAsia="宋体"/>
                <w:color w:val="auto"/>
                <w:sz w:val="21"/>
                <w:szCs w:val="21"/>
                <w:highlight w:val="none"/>
                <w:vertAlign w:val="subscript"/>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8"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w w:val="99"/>
                <w:sz w:val="21"/>
                <w:szCs w:val="21"/>
                <w:highlight w:val="none"/>
              </w:rPr>
              <w:t>1</w:t>
            </w:r>
          </w:p>
        </w:tc>
        <w:tc>
          <w:tcPr>
            <w:tcW w:w="31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pacing w:val="-9"/>
                <w:sz w:val="21"/>
                <w:szCs w:val="21"/>
                <w:highlight w:val="none"/>
              </w:rPr>
            </w:pPr>
            <w:r>
              <w:rPr>
                <w:color w:val="auto"/>
                <w:spacing w:val="-9"/>
                <w:sz w:val="21"/>
                <w:szCs w:val="21"/>
                <w:highlight w:val="none"/>
              </w:rPr>
              <w:t>污水处理</w:t>
            </w:r>
            <w:r>
              <w:rPr>
                <w:rFonts w:hint="eastAsia"/>
                <w:color w:val="auto"/>
                <w:spacing w:val="-9"/>
                <w:sz w:val="21"/>
                <w:szCs w:val="21"/>
                <w:highlight w:val="none"/>
                <w:lang w:val="en-US" w:eastAsia="zh-CN"/>
              </w:rPr>
              <w:t>站排</w:t>
            </w:r>
            <w:r>
              <w:rPr>
                <w:color w:val="auto"/>
                <w:spacing w:val="-9"/>
                <w:sz w:val="21"/>
                <w:szCs w:val="21"/>
                <w:highlight w:val="none"/>
              </w:rPr>
              <w:t>气筒</w:t>
            </w:r>
          </w:p>
        </w:tc>
        <w:tc>
          <w:tcPr>
            <w:tcW w:w="54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115°53′48.31923″</w:t>
            </w:r>
          </w:p>
        </w:tc>
        <w:tc>
          <w:tcPr>
            <w:tcW w:w="50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32°48′47.91182</w:t>
            </w:r>
          </w:p>
        </w:tc>
        <w:tc>
          <w:tcPr>
            <w:tcW w:w="258"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30</w:t>
            </w:r>
          </w:p>
        </w:tc>
        <w:tc>
          <w:tcPr>
            <w:tcW w:w="185"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15</w:t>
            </w:r>
          </w:p>
        </w:tc>
        <w:tc>
          <w:tcPr>
            <w:tcW w:w="21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0.3</w:t>
            </w:r>
          </w:p>
        </w:tc>
        <w:tc>
          <w:tcPr>
            <w:tcW w:w="29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8.43</w:t>
            </w:r>
          </w:p>
        </w:tc>
        <w:tc>
          <w:tcPr>
            <w:tcW w:w="289"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20</w:t>
            </w:r>
          </w:p>
        </w:tc>
        <w:tc>
          <w:tcPr>
            <w:tcW w:w="293"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ascii="Times New Roman"/>
                <w:color w:val="auto"/>
                <w:sz w:val="21"/>
                <w:szCs w:val="21"/>
                <w:highlight w:val="none"/>
              </w:rPr>
            </w:pPr>
            <w:r>
              <w:rPr>
                <w:rFonts w:ascii="Times New Roman"/>
                <w:color w:val="auto"/>
                <w:sz w:val="21"/>
                <w:szCs w:val="21"/>
                <w:highlight w:val="none"/>
              </w:rPr>
              <w:t>8760</w:t>
            </w:r>
          </w:p>
        </w:tc>
        <w:tc>
          <w:tcPr>
            <w:tcW w:w="31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连续排放</w:t>
            </w:r>
          </w:p>
        </w:tc>
        <w:tc>
          <w:tcPr>
            <w:tcW w:w="34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0.00175</w:t>
            </w:r>
          </w:p>
        </w:tc>
        <w:tc>
          <w:tcPr>
            <w:tcW w:w="39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0.00007</w:t>
            </w:r>
          </w:p>
        </w:tc>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29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28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8"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eastAsia" w:ascii="Times New Roman" w:eastAsia="宋体"/>
                <w:color w:val="auto"/>
                <w:w w:val="99"/>
                <w:sz w:val="21"/>
                <w:szCs w:val="21"/>
                <w:highlight w:val="none"/>
                <w:lang w:val="en-US" w:eastAsia="zh-CN"/>
              </w:rPr>
            </w:pPr>
            <w:r>
              <w:rPr>
                <w:rFonts w:hint="eastAsia" w:eastAsia="宋体"/>
                <w:color w:val="auto"/>
                <w:w w:val="99"/>
                <w:sz w:val="21"/>
                <w:szCs w:val="21"/>
                <w:highlight w:val="none"/>
                <w:lang w:val="en-US" w:eastAsia="zh-CN"/>
              </w:rPr>
              <w:t>2</w:t>
            </w:r>
          </w:p>
        </w:tc>
        <w:tc>
          <w:tcPr>
            <w:tcW w:w="31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color w:val="auto"/>
                <w:spacing w:val="-9"/>
                <w:sz w:val="21"/>
                <w:szCs w:val="21"/>
                <w:highlight w:val="none"/>
                <w:lang w:val="en-US" w:eastAsia="zh-CN"/>
              </w:rPr>
            </w:pPr>
            <w:r>
              <w:rPr>
                <w:rFonts w:hint="eastAsia"/>
                <w:color w:val="auto"/>
                <w:spacing w:val="-9"/>
                <w:sz w:val="21"/>
                <w:szCs w:val="21"/>
                <w:highlight w:val="none"/>
                <w:lang w:val="en-US" w:eastAsia="zh-CN"/>
              </w:rPr>
              <w:t>天然气燃烧排气筒</w:t>
            </w:r>
          </w:p>
        </w:tc>
        <w:tc>
          <w:tcPr>
            <w:tcW w:w="542"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115°53′49.78694″</w:t>
            </w:r>
          </w:p>
        </w:tc>
        <w:tc>
          <w:tcPr>
            <w:tcW w:w="50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32°48′48.02768″</w:t>
            </w:r>
          </w:p>
        </w:tc>
        <w:tc>
          <w:tcPr>
            <w:tcW w:w="258"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30</w:t>
            </w:r>
          </w:p>
        </w:tc>
        <w:tc>
          <w:tcPr>
            <w:tcW w:w="185"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87.5</w:t>
            </w:r>
          </w:p>
        </w:tc>
        <w:tc>
          <w:tcPr>
            <w:tcW w:w="21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0.8</w:t>
            </w:r>
          </w:p>
        </w:tc>
        <w:tc>
          <w:tcPr>
            <w:tcW w:w="29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11.43</w:t>
            </w:r>
          </w:p>
        </w:tc>
        <w:tc>
          <w:tcPr>
            <w:tcW w:w="289"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hint="eastAsia" w:eastAsia="宋体"/>
                <w:color w:val="auto"/>
                <w:sz w:val="21"/>
                <w:szCs w:val="21"/>
                <w:highlight w:val="none"/>
                <w:lang w:val="en-US" w:eastAsia="zh-CN"/>
              </w:rPr>
              <w:t>80</w:t>
            </w:r>
          </w:p>
        </w:tc>
        <w:tc>
          <w:tcPr>
            <w:tcW w:w="293"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eastAsia="宋体"/>
                <w:color w:val="auto"/>
                <w:sz w:val="21"/>
                <w:szCs w:val="21"/>
                <w:highlight w:val="none"/>
                <w:lang w:val="en-US" w:eastAsia="zh-CN"/>
              </w:rPr>
            </w:pPr>
            <w:r>
              <w:rPr>
                <w:rFonts w:ascii="Times New Roman"/>
                <w:color w:val="auto"/>
                <w:sz w:val="21"/>
                <w:szCs w:val="21"/>
                <w:highlight w:val="none"/>
              </w:rPr>
              <w:t>8760</w:t>
            </w:r>
          </w:p>
        </w:tc>
        <w:tc>
          <w:tcPr>
            <w:tcW w:w="31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color w:val="auto"/>
                <w:sz w:val="21"/>
                <w:szCs w:val="21"/>
                <w:highlight w:val="none"/>
              </w:rPr>
            </w:pPr>
            <w:r>
              <w:rPr>
                <w:color w:val="auto"/>
                <w:sz w:val="21"/>
                <w:szCs w:val="21"/>
                <w:highlight w:val="none"/>
              </w:rPr>
              <w:t>连续排放</w:t>
            </w:r>
          </w:p>
        </w:tc>
        <w:tc>
          <w:tcPr>
            <w:tcW w:w="34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9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5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0.0913</w:t>
            </w:r>
          </w:p>
        </w:tc>
        <w:tc>
          <w:tcPr>
            <w:tcW w:w="29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0.3183</w:t>
            </w:r>
          </w:p>
        </w:tc>
        <w:tc>
          <w:tcPr>
            <w:tcW w:w="28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0.1306</w:t>
            </w:r>
          </w:p>
        </w:tc>
      </w:tr>
    </w:tbl>
    <w:p>
      <w:pPr>
        <w:keepNext w:val="0"/>
        <w:keepLines w:val="0"/>
        <w:pageBreakBefore w:val="0"/>
        <w:widowControl w:val="0"/>
        <w:tabs>
          <w:tab w:val="left" w:pos="4413"/>
        </w:tabs>
        <w:kinsoku/>
        <w:wordWrap/>
        <w:overflowPunct/>
        <w:topLinePunct w:val="0"/>
        <w:autoSpaceDE/>
        <w:autoSpaceDN/>
        <w:bidi w:val="0"/>
        <w:adjustRightInd/>
        <w:snapToGrid/>
        <w:spacing w:before="193" w:after="43"/>
        <w:ind w:right="0"/>
        <w:jc w:val="center"/>
        <w:textAlignment w:val="auto"/>
        <w:rPr>
          <w:b/>
          <w:color w:val="auto"/>
          <w:sz w:val="18"/>
          <w:szCs w:val="18"/>
        </w:rPr>
      </w:pPr>
      <w:r>
        <w:rPr>
          <w:rFonts w:hint="eastAsia"/>
          <w:b/>
          <w:color w:val="auto"/>
          <w:sz w:val="21"/>
          <w:szCs w:val="21"/>
        </w:rPr>
        <w:t>表</w:t>
      </w:r>
      <w:r>
        <w:rPr>
          <w:rFonts w:hint="eastAsia"/>
          <w:b/>
          <w:color w:val="auto"/>
          <w:sz w:val="21"/>
          <w:szCs w:val="21"/>
          <w:lang w:val="en-US" w:eastAsia="zh-CN"/>
        </w:rPr>
        <w:t xml:space="preserve">6.2-10  </w:t>
      </w:r>
      <w:r>
        <w:rPr>
          <w:rFonts w:hint="eastAsia"/>
          <w:b/>
          <w:color w:val="auto"/>
          <w:sz w:val="21"/>
          <w:szCs w:val="21"/>
        </w:rPr>
        <w:t>污水处理站废气无组织面源参数表</w:t>
      </w:r>
    </w:p>
    <w:tbl>
      <w:tblPr>
        <w:tblStyle w:val="48"/>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72"/>
        <w:gridCol w:w="873"/>
        <w:gridCol w:w="1738"/>
        <w:gridCol w:w="1640"/>
        <w:gridCol w:w="1058"/>
        <w:gridCol w:w="952"/>
        <w:gridCol w:w="974"/>
        <w:gridCol w:w="1041"/>
        <w:gridCol w:w="1137"/>
        <w:gridCol w:w="927"/>
        <w:gridCol w:w="872"/>
        <w:gridCol w:w="1078"/>
        <w:gridCol w:w="10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219"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编号</w:t>
            </w:r>
          </w:p>
        </w:tc>
        <w:tc>
          <w:tcPr>
            <w:tcW w:w="327"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名称</w:t>
            </w:r>
          </w:p>
        </w:tc>
        <w:tc>
          <w:tcPr>
            <w:tcW w:w="1054" w:type="pct"/>
            <w:gridSpan w:val="2"/>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面源起点坐标/</w:t>
            </w:r>
            <w:r>
              <w:rPr>
                <w:rFonts w:hint="eastAsia" w:eastAsia="宋体"/>
                <w:color w:val="auto"/>
                <w:sz w:val="21"/>
                <w:szCs w:val="21"/>
                <w:highlight w:val="none"/>
                <w:lang w:val="en-US" w:eastAsia="zh-CN"/>
              </w:rPr>
              <w:t>°</w:t>
            </w:r>
          </w:p>
        </w:tc>
        <w:tc>
          <w:tcPr>
            <w:tcW w:w="393"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面源海拔高度</w:t>
            </w:r>
          </w:p>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/m</w:t>
            </w:r>
          </w:p>
        </w:tc>
        <w:tc>
          <w:tcPr>
            <w:tcW w:w="355"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面源长度</w:t>
            </w:r>
          </w:p>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/m</w:t>
            </w:r>
          </w:p>
        </w:tc>
        <w:tc>
          <w:tcPr>
            <w:tcW w:w="363"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面源宽度</w:t>
            </w:r>
          </w:p>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/m</w:t>
            </w:r>
          </w:p>
        </w:tc>
        <w:tc>
          <w:tcPr>
            <w:tcW w:w="387"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与正北向夹角</w:t>
            </w:r>
          </w:p>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w:t>
            </w:r>
          </w:p>
        </w:tc>
        <w:tc>
          <w:tcPr>
            <w:tcW w:w="421"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面源有效排放高度/m</w:t>
            </w:r>
          </w:p>
        </w:tc>
        <w:tc>
          <w:tcPr>
            <w:tcW w:w="346"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年排放小时数</w:t>
            </w:r>
          </w:p>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/h</w:t>
            </w:r>
          </w:p>
        </w:tc>
        <w:tc>
          <w:tcPr>
            <w:tcW w:w="326" w:type="pct"/>
            <w:vMerge w:val="restar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排放工况</w:t>
            </w:r>
          </w:p>
        </w:tc>
        <w:tc>
          <w:tcPr>
            <w:tcW w:w="806" w:type="pct"/>
            <w:gridSpan w:val="2"/>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污染物排放速率/(kg/h)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2" w:hRule="atLeast"/>
        </w:trPr>
        <w:tc>
          <w:tcPr>
            <w:tcW w:w="219"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27"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1520" w:type="dxa"/>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color w:val="auto"/>
                <w:sz w:val="21"/>
                <w:szCs w:val="21"/>
              </w:rPr>
            </w:pPr>
            <w:r>
              <w:rPr>
                <w:rFonts w:hint="eastAsia" w:eastAsia="宋体"/>
                <w:color w:val="auto"/>
                <w:sz w:val="21"/>
                <w:szCs w:val="21"/>
                <w:highlight w:val="none"/>
                <w:lang w:eastAsia="zh-CN"/>
              </w:rPr>
              <w:t>经度</w:t>
            </w:r>
          </w:p>
        </w:tc>
        <w:tc>
          <w:tcPr>
            <w:tcW w:w="1424" w:type="dxa"/>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color w:val="auto"/>
                <w:sz w:val="21"/>
                <w:szCs w:val="21"/>
              </w:rPr>
            </w:pPr>
            <w:r>
              <w:rPr>
                <w:rFonts w:hint="eastAsia" w:eastAsia="宋体"/>
                <w:color w:val="auto"/>
                <w:sz w:val="21"/>
                <w:szCs w:val="21"/>
                <w:highlight w:val="none"/>
                <w:lang w:eastAsia="zh-CN"/>
              </w:rPr>
              <w:t>纬度</w:t>
            </w:r>
          </w:p>
        </w:tc>
        <w:tc>
          <w:tcPr>
            <w:tcW w:w="393"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55"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63"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87"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421"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46"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326" w:type="pct"/>
            <w:vMerge w:val="continue"/>
            <w:tcBorders>
              <w:top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p>
        </w:tc>
        <w:tc>
          <w:tcPr>
            <w:tcW w:w="4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NH</w:t>
            </w:r>
            <w:r>
              <w:rPr>
                <w:rFonts w:hint="default" w:ascii="Times New Roman"/>
                <w:color w:val="auto"/>
                <w:sz w:val="21"/>
                <w:szCs w:val="21"/>
                <w:vertAlign w:val="subscript"/>
              </w:rPr>
              <w:t>3</w:t>
            </w:r>
          </w:p>
        </w:tc>
        <w:tc>
          <w:tcPr>
            <w:tcW w:w="40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H</w:t>
            </w:r>
            <w:r>
              <w:rPr>
                <w:rFonts w:hint="default" w:ascii="Times New Roman"/>
                <w:color w:val="auto"/>
                <w:sz w:val="21"/>
                <w:szCs w:val="21"/>
                <w:vertAlign w:val="subscript"/>
              </w:rPr>
              <w:t>2</w:t>
            </w:r>
            <w:r>
              <w:rPr>
                <w:rFonts w:hint="default" w:ascii="Times New Roman"/>
                <w:color w:val="auto"/>
                <w:sz w:val="21"/>
                <w:szCs w:val="21"/>
              </w:rPr>
              <w:t>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 w:hRule="atLeast"/>
        </w:trPr>
        <w:tc>
          <w:tcPr>
            <w:tcW w:w="219"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1</w:t>
            </w:r>
          </w:p>
        </w:tc>
        <w:tc>
          <w:tcPr>
            <w:tcW w:w="32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eastAsia" w:ascii="Times New Roman"/>
                <w:color w:val="auto"/>
                <w:sz w:val="21"/>
                <w:szCs w:val="21"/>
                <w:lang w:val="en-US" w:eastAsia="zh-CN"/>
              </w:rPr>
            </w:pPr>
            <w:r>
              <w:rPr>
                <w:rFonts w:hint="default" w:ascii="Times New Roman"/>
                <w:color w:val="auto"/>
                <w:sz w:val="21"/>
                <w:szCs w:val="21"/>
              </w:rPr>
              <w:t>污水处理</w:t>
            </w:r>
            <w:r>
              <w:rPr>
                <w:rFonts w:hint="eastAsia" w:ascii="Times New Roman"/>
                <w:color w:val="auto"/>
                <w:sz w:val="21"/>
                <w:szCs w:val="21"/>
                <w:lang w:val="en-US" w:eastAsia="zh-CN"/>
              </w:rPr>
              <w:t>站</w:t>
            </w:r>
          </w:p>
        </w:tc>
        <w:tc>
          <w:tcPr>
            <w:tcW w:w="544"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highlight w:val="none"/>
                <w:lang w:val="en-US" w:eastAsia="zh-CN"/>
              </w:rPr>
            </w:pPr>
            <w:r>
              <w:rPr>
                <w:rFonts w:hint="default" w:ascii="Times New Roman"/>
                <w:color w:val="auto"/>
                <w:sz w:val="21"/>
                <w:szCs w:val="21"/>
                <w:highlight w:val="none"/>
                <w:lang w:val="en-US" w:eastAsia="zh-CN"/>
              </w:rPr>
              <w:t>115°53′48.48339″</w:t>
            </w:r>
          </w:p>
        </w:tc>
        <w:tc>
          <w:tcPr>
            <w:tcW w:w="51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highlight w:val="none"/>
                <w:lang w:val="en-US" w:eastAsia="zh-CN"/>
              </w:rPr>
            </w:pPr>
            <w:r>
              <w:rPr>
                <w:rFonts w:hint="default" w:ascii="Times New Roman"/>
                <w:color w:val="auto"/>
                <w:sz w:val="21"/>
                <w:szCs w:val="21"/>
                <w:highlight w:val="none"/>
                <w:lang w:val="en-US" w:eastAsia="zh-CN"/>
              </w:rPr>
              <w:t>32°48′50.20027″</w:t>
            </w:r>
          </w:p>
        </w:tc>
        <w:tc>
          <w:tcPr>
            <w:tcW w:w="393"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lang w:val="en-US" w:eastAsia="zh-CN"/>
              </w:rPr>
            </w:pPr>
            <w:r>
              <w:rPr>
                <w:rFonts w:hint="eastAsia"/>
                <w:color w:val="auto"/>
                <w:sz w:val="21"/>
                <w:szCs w:val="21"/>
                <w:lang w:val="en-US" w:eastAsia="zh-CN"/>
              </w:rPr>
              <w:t>30</w:t>
            </w:r>
          </w:p>
        </w:tc>
        <w:tc>
          <w:tcPr>
            <w:tcW w:w="355"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lang w:val="en-US" w:eastAsia="zh-CN"/>
              </w:rPr>
            </w:pPr>
            <w:r>
              <w:rPr>
                <w:rFonts w:hint="eastAsia"/>
                <w:color w:val="auto"/>
                <w:sz w:val="21"/>
                <w:szCs w:val="21"/>
                <w:lang w:val="en-US" w:eastAsia="zh-CN"/>
              </w:rPr>
              <w:t>66.6</w:t>
            </w:r>
          </w:p>
        </w:tc>
        <w:tc>
          <w:tcPr>
            <w:tcW w:w="363"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lang w:val="en-US" w:eastAsia="zh-CN"/>
              </w:rPr>
            </w:pPr>
            <w:r>
              <w:rPr>
                <w:rFonts w:hint="eastAsia"/>
                <w:color w:val="auto"/>
                <w:sz w:val="21"/>
                <w:szCs w:val="21"/>
                <w:lang w:val="en-US" w:eastAsia="zh-CN"/>
              </w:rPr>
              <w:t>12.6</w:t>
            </w:r>
          </w:p>
        </w:tc>
        <w:tc>
          <w:tcPr>
            <w:tcW w:w="387"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0</w:t>
            </w:r>
          </w:p>
        </w:tc>
        <w:tc>
          <w:tcPr>
            <w:tcW w:w="421"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eastAsia" w:ascii="Times New Roman"/>
                <w:color w:val="auto"/>
                <w:sz w:val="21"/>
                <w:szCs w:val="21"/>
                <w:lang w:eastAsia="zh-CN"/>
              </w:rPr>
            </w:pPr>
            <w:r>
              <w:rPr>
                <w:rFonts w:hint="eastAsia"/>
                <w:color w:val="auto"/>
                <w:sz w:val="21"/>
                <w:szCs w:val="21"/>
                <w:lang w:val="en-US" w:eastAsia="zh-CN"/>
              </w:rPr>
              <w:t>0</w:t>
            </w:r>
          </w:p>
        </w:tc>
        <w:tc>
          <w:tcPr>
            <w:tcW w:w="34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8760</w:t>
            </w:r>
          </w:p>
        </w:tc>
        <w:tc>
          <w:tcPr>
            <w:tcW w:w="32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rPr>
            </w:pPr>
            <w:r>
              <w:rPr>
                <w:rFonts w:hint="default" w:ascii="Times New Roman"/>
                <w:color w:val="auto"/>
                <w:sz w:val="21"/>
                <w:szCs w:val="21"/>
              </w:rPr>
              <w:t>连续排放</w:t>
            </w:r>
          </w:p>
        </w:tc>
        <w:tc>
          <w:tcPr>
            <w:tcW w:w="400"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lang w:val="en-US" w:eastAsia="zh-CN"/>
              </w:rPr>
            </w:pPr>
            <w:r>
              <w:rPr>
                <w:rFonts w:hint="eastAsia"/>
                <w:color w:val="auto"/>
                <w:sz w:val="21"/>
                <w:szCs w:val="21"/>
                <w:lang w:val="en-US" w:eastAsia="zh-CN"/>
              </w:rPr>
              <w:t>0.00018</w:t>
            </w:r>
          </w:p>
        </w:tc>
        <w:tc>
          <w:tcPr>
            <w:tcW w:w="406" w:type="pct"/>
            <w:noWrap w:val="0"/>
            <w:vAlign w:val="center"/>
          </w:tcPr>
          <w:p>
            <w:pPr>
              <w:pStyle w:val="231"/>
              <w:keepNext w:val="0"/>
              <w:keepLines w:val="0"/>
              <w:pageBreakBefore w:val="0"/>
              <w:widowControl w:val="0"/>
              <w:kinsoku/>
              <w:wordWrap/>
              <w:overflowPunct/>
              <w:topLinePunct w:val="0"/>
              <w:autoSpaceDE/>
              <w:autoSpaceDN/>
              <w:bidi w:val="0"/>
              <w:adjustRightInd/>
              <w:snapToGrid/>
              <w:spacing w:line="240" w:lineRule="auto"/>
              <w:ind w:left="100" w:right="105" w:firstLine="0" w:firstLineChars="0"/>
              <w:jc w:val="center"/>
              <w:textAlignment w:val="auto"/>
              <w:rPr>
                <w:rFonts w:hint="default" w:ascii="Times New Roman"/>
                <w:color w:val="auto"/>
                <w:sz w:val="21"/>
                <w:szCs w:val="21"/>
                <w:lang w:val="en-US" w:eastAsia="zh-CN"/>
              </w:rPr>
            </w:pPr>
            <w:r>
              <w:rPr>
                <w:rFonts w:hint="eastAsia"/>
                <w:color w:val="auto"/>
                <w:sz w:val="21"/>
                <w:szCs w:val="21"/>
                <w:lang w:val="en-US" w:eastAsia="zh-CN"/>
              </w:rPr>
              <w:t>0.000007</w:t>
            </w:r>
          </w:p>
        </w:tc>
      </w:tr>
    </w:tbl>
    <w:p>
      <w:pPr>
        <w:spacing w:line="500" w:lineRule="exact"/>
        <w:ind w:firstLine="480" w:firstLineChars="200"/>
        <w:jc w:val="left"/>
        <w:rPr>
          <w:rFonts w:hint="eastAsia" w:hAnsi="宋体"/>
          <w:color w:val="auto"/>
          <w:sz w:val="24"/>
          <w:lang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500" w:lineRule="exact"/>
        <w:ind w:firstLine="480" w:firstLineChars="200"/>
        <w:jc w:val="left"/>
        <w:rPr>
          <w:rFonts w:hint="eastAsia" w:hAnsi="宋体"/>
          <w:color w:val="auto"/>
          <w:sz w:val="24"/>
        </w:rPr>
      </w:pPr>
      <w:r>
        <w:rPr>
          <w:rFonts w:hint="eastAsia" w:hAnsi="宋体"/>
          <w:color w:val="auto"/>
          <w:sz w:val="24"/>
          <w:lang w:eastAsia="zh-CN"/>
        </w:rPr>
        <w:t>（</w:t>
      </w:r>
      <w:r>
        <w:rPr>
          <w:rFonts w:hint="eastAsia" w:hAnsi="宋体"/>
          <w:color w:val="auto"/>
          <w:sz w:val="24"/>
          <w:lang w:val="en-US" w:eastAsia="zh-CN"/>
        </w:rPr>
        <w:t>5</w:t>
      </w:r>
      <w:r>
        <w:rPr>
          <w:rFonts w:hint="eastAsia" w:hAnsi="宋体"/>
          <w:color w:val="auto"/>
          <w:sz w:val="24"/>
          <w:lang w:eastAsia="zh-CN"/>
        </w:rPr>
        <w:t>）</w:t>
      </w:r>
      <w:r>
        <w:rPr>
          <w:rFonts w:hint="eastAsia" w:hAnsi="宋体"/>
          <w:color w:val="auto"/>
          <w:sz w:val="24"/>
        </w:rPr>
        <w:t>评价工作等级确定</w:t>
      </w:r>
    </w:p>
    <w:p>
      <w:pPr>
        <w:spacing w:line="500" w:lineRule="exact"/>
        <w:ind w:firstLine="480" w:firstLineChars="200"/>
        <w:textAlignment w:val="baseline"/>
        <w:rPr>
          <w:rFonts w:hint="eastAsia" w:ascii="Times New Roman" w:hAnsi="Times New Roman" w:eastAsia="宋体" w:cs="Times New Roman"/>
          <w:color w:val="auto"/>
          <w:spacing w:val="-5"/>
          <w:lang w:eastAsia="zh-CN"/>
        </w:rPr>
      </w:pPr>
      <w:r>
        <w:rPr>
          <w:rFonts w:hint="eastAsia" w:hAnsi="宋体"/>
          <w:color w:val="auto"/>
          <w:sz w:val="24"/>
        </w:rPr>
        <w:t>本项目正常排放的污染物的P</w:t>
      </w:r>
      <w:r>
        <w:rPr>
          <w:rFonts w:hint="eastAsia" w:hAnsi="宋体"/>
          <w:color w:val="auto"/>
          <w:sz w:val="24"/>
          <w:vertAlign w:val="subscript"/>
        </w:rPr>
        <w:t>max</w:t>
      </w:r>
      <w:r>
        <w:rPr>
          <w:rFonts w:hint="eastAsia" w:hAnsi="宋体"/>
          <w:color w:val="auto"/>
          <w:sz w:val="24"/>
        </w:rPr>
        <w:t>和D</w:t>
      </w:r>
      <w:r>
        <w:rPr>
          <w:rFonts w:hint="eastAsia" w:hAnsi="宋体"/>
          <w:color w:val="auto"/>
          <w:sz w:val="24"/>
          <w:vertAlign w:val="subscript"/>
        </w:rPr>
        <w:t>10%</w:t>
      </w:r>
      <w:r>
        <w:rPr>
          <w:rFonts w:hint="eastAsia" w:hAnsi="宋体"/>
          <w:color w:val="auto"/>
          <w:sz w:val="24"/>
        </w:rPr>
        <w:t>预测结果如下：</w:t>
      </w:r>
    </w:p>
    <w:p>
      <w:pPr>
        <w:keepNext w:val="0"/>
        <w:keepLines w:val="0"/>
        <w:pageBreakBefore w:val="0"/>
        <w:kinsoku/>
        <w:wordWrap/>
        <w:overflowPunct/>
        <w:topLinePunct w:val="0"/>
        <w:autoSpaceDE/>
        <w:autoSpaceDN/>
        <w:bidi w:val="0"/>
        <w:adjustRightInd/>
        <w:snapToGrid/>
        <w:spacing w:line="500" w:lineRule="exact"/>
        <w:ind w:firstLine="0" w:firstLineChars="0"/>
        <w:jc w:val="center"/>
        <w:rPr>
          <w:rFonts w:hint="eastAsia"/>
          <w:b/>
          <w:color w:val="auto"/>
          <w:sz w:val="21"/>
          <w:szCs w:val="21"/>
        </w:rPr>
      </w:pPr>
      <w:r>
        <w:rPr>
          <w:rFonts w:hint="eastAsia"/>
          <w:b/>
          <w:color w:val="auto"/>
          <w:sz w:val="21"/>
          <w:szCs w:val="21"/>
        </w:rPr>
        <w:t>表</w:t>
      </w:r>
      <w:r>
        <w:rPr>
          <w:rFonts w:hint="eastAsia"/>
          <w:b/>
          <w:color w:val="auto"/>
          <w:sz w:val="21"/>
          <w:szCs w:val="21"/>
          <w:lang w:val="en-US" w:eastAsia="zh-CN"/>
        </w:rPr>
        <w:t xml:space="preserve">6.2-11  </w:t>
      </w:r>
      <w:r>
        <w:rPr>
          <w:rFonts w:hint="eastAsia"/>
          <w:b/>
          <w:color w:val="auto"/>
          <w:sz w:val="21"/>
          <w:szCs w:val="21"/>
        </w:rPr>
        <w:t>估算模式计算结果</w:t>
      </w:r>
    </w:p>
    <w:tbl>
      <w:tblPr>
        <w:tblStyle w:val="4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218"/>
        <w:gridCol w:w="1218"/>
        <w:gridCol w:w="1218"/>
        <w:gridCol w:w="1218"/>
        <w:gridCol w:w="1123"/>
        <w:gridCol w:w="1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污染源名称</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评价因子</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评价标准</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Cmax</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Pmax</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D10%</w:t>
            </w:r>
          </w:p>
        </w:tc>
        <w:tc>
          <w:tcPr>
            <w:tcW w:w="770"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下风向最大质量浓度出现距离m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污水处理站排气筒</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NH</w:t>
            </w:r>
            <w:r>
              <w:rPr>
                <w:rFonts w:hint="eastAsia" w:hAnsi="宋体"/>
                <w:b w:val="0"/>
                <w:bCs/>
                <w:color w:val="auto"/>
                <w:sz w:val="21"/>
                <w:szCs w:val="21"/>
                <w:vertAlign w:val="subscript"/>
                <w:lang w:val="en-US" w:eastAsia="zh-CN"/>
              </w:rPr>
              <w:t>3</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200</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1.07E-03</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0.54</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H</w:t>
            </w:r>
            <w:r>
              <w:rPr>
                <w:rFonts w:hint="eastAsia" w:ascii="Times New Roman" w:hAnsi="宋体" w:eastAsia="宋体"/>
                <w:b w:val="0"/>
                <w:bCs/>
                <w:color w:val="auto"/>
                <w:sz w:val="21"/>
                <w:szCs w:val="21"/>
                <w:vertAlign w:val="subscript"/>
                <w:lang w:val="en-US" w:eastAsia="zh-CN"/>
              </w:rPr>
              <w:t>2</w:t>
            </w:r>
            <w:r>
              <w:rPr>
                <w:rFonts w:hint="eastAsia" w:hAnsi="宋体"/>
                <w:b w:val="0"/>
                <w:bCs/>
                <w:color w:val="auto"/>
                <w:sz w:val="21"/>
                <w:szCs w:val="21"/>
                <w:vertAlign w:val="baseline"/>
                <w:lang w:val="en-US" w:eastAsia="zh-CN"/>
              </w:rPr>
              <w:t>S</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10</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4.30E-05</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0.43</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燃气燃烧废气排气筒</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500</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2.52E-04</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0.05</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250</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8.80E-04</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0.35</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PM</w:t>
            </w:r>
            <w:r>
              <w:rPr>
                <w:rFonts w:hint="eastAsia" w:ascii="Times New Roman" w:hAnsi="宋体" w:eastAsia="宋体"/>
                <w:b w:val="0"/>
                <w:bCs/>
                <w:color w:val="auto"/>
                <w:sz w:val="21"/>
                <w:szCs w:val="21"/>
                <w:vertAlign w:val="subscript"/>
                <w:lang w:val="en-US" w:eastAsia="zh-CN"/>
              </w:rPr>
              <w:t>10</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450</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3.61E-04</w:t>
            </w:r>
          </w:p>
        </w:tc>
        <w:tc>
          <w:tcPr>
            <w:tcW w:w="1218" w:type="dxa"/>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0.08</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污水处理站无组织</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NH</w:t>
            </w:r>
            <w:r>
              <w:rPr>
                <w:rFonts w:hint="eastAsia" w:hAnsi="宋体"/>
                <w:b w:val="0"/>
                <w:bCs/>
                <w:color w:val="auto"/>
                <w:sz w:val="21"/>
                <w:szCs w:val="21"/>
                <w:vertAlign w:val="subscript"/>
                <w:lang w:val="en-US" w:eastAsia="zh-CN"/>
              </w:rPr>
              <w:t>3</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200</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1.38E-03</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0.69</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restar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eastAsia="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H</w:t>
            </w:r>
            <w:r>
              <w:rPr>
                <w:rFonts w:hint="eastAsia" w:ascii="Times New Roman" w:hAnsi="宋体" w:eastAsia="宋体"/>
                <w:b w:val="0"/>
                <w:bCs/>
                <w:color w:val="auto"/>
                <w:sz w:val="21"/>
                <w:szCs w:val="21"/>
                <w:vertAlign w:val="subscript"/>
                <w:lang w:val="en-US" w:eastAsia="zh-CN"/>
              </w:rPr>
              <w:t>2</w:t>
            </w:r>
            <w:r>
              <w:rPr>
                <w:rFonts w:hint="eastAsia" w:hAnsi="宋体"/>
                <w:b w:val="0"/>
                <w:bCs/>
                <w:color w:val="auto"/>
                <w:sz w:val="21"/>
                <w:szCs w:val="21"/>
                <w:vertAlign w:val="baseline"/>
                <w:lang w:val="en-US" w:eastAsia="zh-CN"/>
              </w:rPr>
              <w:t>S</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10</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cs="Times New Roman"/>
                <w:b w:val="0"/>
                <w:bCs/>
                <w:color w:val="auto"/>
                <w:sz w:val="21"/>
                <w:szCs w:val="21"/>
                <w:vertAlign w:val="baseline"/>
                <w:lang w:val="en-US" w:eastAsia="zh-CN"/>
              </w:rPr>
            </w:pPr>
            <w:r>
              <w:rPr>
                <w:rFonts w:hint="eastAsia" w:ascii="Times New Roman" w:hAnsi="宋体" w:eastAsia="宋体" w:cs="Times New Roman"/>
                <w:b w:val="0"/>
                <w:bCs/>
                <w:color w:val="auto"/>
                <w:sz w:val="21"/>
                <w:szCs w:val="21"/>
                <w:vertAlign w:val="baseline"/>
                <w:lang w:val="en-US" w:eastAsia="zh-CN"/>
              </w:rPr>
              <w:t>5.38E-05</w:t>
            </w:r>
          </w:p>
        </w:tc>
        <w:tc>
          <w:tcPr>
            <w:tcW w:w="714"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0.54</w:t>
            </w:r>
          </w:p>
        </w:tc>
        <w:tc>
          <w:tcPr>
            <w:tcW w:w="658" w:type="pct"/>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hAnsi="宋体"/>
                <w:b w:val="0"/>
                <w:bCs/>
                <w:color w:val="auto"/>
                <w:sz w:val="21"/>
                <w:szCs w:val="21"/>
                <w:vertAlign w:val="baseline"/>
                <w:lang w:val="en-US" w:eastAsia="zh-CN"/>
              </w:rPr>
            </w:pPr>
            <w:r>
              <w:rPr>
                <w:rFonts w:hint="eastAsia" w:hAnsi="宋体"/>
                <w:b w:val="0"/>
                <w:bCs/>
                <w:color w:val="auto"/>
                <w:sz w:val="21"/>
                <w:szCs w:val="21"/>
                <w:vertAlign w:val="baseline"/>
                <w:lang w:val="en-US" w:eastAsia="zh-CN"/>
              </w:rPr>
              <w:t>/</w:t>
            </w:r>
          </w:p>
        </w:tc>
        <w:tc>
          <w:tcPr>
            <w:tcW w:w="770" w:type="pct"/>
            <w:vMerge w:val="continue"/>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hAnsi="宋体"/>
                <w:b w:val="0"/>
                <w:bCs/>
                <w:color w:val="auto"/>
                <w:sz w:val="21"/>
                <w:szCs w:val="21"/>
                <w:vertAlign w:val="baseline"/>
              </w:rPr>
            </w:pPr>
          </w:p>
        </w:tc>
      </w:tr>
    </w:tbl>
    <w:p>
      <w:pPr>
        <w:pStyle w:val="4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eastAsia" w:hAnsi="宋体"/>
          <w:b w:val="0"/>
          <w:bCs/>
          <w:color w:val="auto"/>
          <w:sz w:val="24"/>
        </w:rPr>
      </w:pPr>
      <w:r>
        <w:rPr>
          <w:rFonts w:hint="eastAsia" w:hAnsi="宋体"/>
          <w:b w:val="0"/>
          <w:bCs/>
          <w:color w:val="auto"/>
          <w:sz w:val="24"/>
        </w:rPr>
        <w:t>由</w:t>
      </w:r>
      <w:r>
        <w:rPr>
          <w:rFonts w:hint="eastAsia" w:hAnsi="宋体"/>
          <w:b w:val="0"/>
          <w:bCs/>
          <w:color w:val="auto"/>
          <w:sz w:val="24"/>
          <w:lang w:val="en-US" w:eastAsia="zh-CN"/>
        </w:rPr>
        <w:t>上</w:t>
      </w:r>
      <w:r>
        <w:rPr>
          <w:rFonts w:hint="eastAsia" w:hAnsi="宋体"/>
          <w:b w:val="0"/>
          <w:bCs/>
          <w:color w:val="auto"/>
          <w:sz w:val="24"/>
        </w:rPr>
        <w:t>表可知，本项目Pmax（</w:t>
      </w:r>
      <w:r>
        <w:rPr>
          <w:rFonts w:hint="eastAsia" w:hAnsi="宋体"/>
          <w:b w:val="0"/>
          <w:bCs/>
          <w:color w:val="auto"/>
          <w:sz w:val="24"/>
          <w:lang w:val="en-US" w:eastAsia="zh-CN"/>
        </w:rPr>
        <w:t>0.69</w:t>
      </w:r>
      <w:r>
        <w:rPr>
          <w:rFonts w:hint="eastAsia" w:hAnsi="宋体"/>
          <w:b w:val="0"/>
          <w:bCs/>
          <w:color w:val="auto"/>
          <w:sz w:val="24"/>
        </w:rPr>
        <w:t>%）为</w:t>
      </w:r>
      <w:r>
        <w:rPr>
          <w:rFonts w:hint="eastAsia" w:hAnsi="宋体"/>
          <w:b w:val="0"/>
          <w:bCs/>
          <w:color w:val="auto"/>
          <w:sz w:val="24"/>
          <w:lang w:eastAsia="zh-CN"/>
        </w:rPr>
        <w:t>污水处理站无组织</w:t>
      </w:r>
      <w:r>
        <w:rPr>
          <w:rFonts w:hint="eastAsia" w:hAnsi="宋体"/>
          <w:b w:val="0"/>
          <w:bCs/>
          <w:color w:val="auto"/>
          <w:sz w:val="24"/>
          <w:lang w:val="en-US" w:eastAsia="zh-CN"/>
        </w:rPr>
        <w:t>排放的</w:t>
      </w:r>
      <w:r>
        <w:rPr>
          <w:rFonts w:hint="eastAsia" w:hAnsi="宋体"/>
          <w:b w:val="0"/>
          <w:bCs/>
          <w:color w:val="auto"/>
          <w:sz w:val="24"/>
          <w:szCs w:val="24"/>
          <w:vertAlign w:val="baseline"/>
          <w:lang w:val="en-US" w:eastAsia="zh-CN"/>
        </w:rPr>
        <w:t>NH</w:t>
      </w:r>
      <w:r>
        <w:rPr>
          <w:rFonts w:hint="eastAsia" w:hAnsi="宋体"/>
          <w:b w:val="0"/>
          <w:bCs/>
          <w:color w:val="auto"/>
          <w:sz w:val="24"/>
          <w:szCs w:val="24"/>
          <w:vertAlign w:val="subscript"/>
          <w:lang w:val="en-US" w:eastAsia="zh-CN"/>
        </w:rPr>
        <w:t>3</w:t>
      </w:r>
      <w:r>
        <w:rPr>
          <w:rFonts w:hint="eastAsia" w:hAnsi="宋体"/>
          <w:b w:val="0"/>
          <w:bCs/>
          <w:color w:val="auto"/>
          <w:sz w:val="24"/>
        </w:rPr>
        <w:t>，根据《环境影响评价技术导则</w:t>
      </w:r>
      <w:r>
        <w:rPr>
          <w:rFonts w:hint="eastAsia" w:hAnsi="宋体"/>
          <w:b w:val="0"/>
          <w:bCs/>
          <w:color w:val="auto"/>
          <w:sz w:val="24"/>
          <w:lang w:val="en-US" w:eastAsia="zh-CN"/>
        </w:rPr>
        <w:t xml:space="preserve"> </w:t>
      </w:r>
      <w:r>
        <w:rPr>
          <w:rFonts w:hint="eastAsia" w:hAnsi="宋体"/>
          <w:b w:val="0"/>
          <w:bCs/>
          <w:color w:val="auto"/>
          <w:sz w:val="24"/>
        </w:rPr>
        <w:t>大气环境》（HJ2.2-2018）</w:t>
      </w:r>
      <w:r>
        <w:rPr>
          <w:rFonts w:hint="eastAsia" w:hAnsi="宋体" w:cs="宋体"/>
          <w:b w:val="0"/>
          <w:bCs/>
          <w:color w:val="auto"/>
          <w:sz w:val="24"/>
          <w:lang w:eastAsia="zh-CN"/>
        </w:rPr>
        <w:t>“</w:t>
      </w:r>
      <w:r>
        <w:rPr>
          <w:rFonts w:hint="eastAsia" w:hAnsi="宋体"/>
          <w:b w:val="0"/>
          <w:bCs/>
          <w:color w:val="auto"/>
          <w:sz w:val="24"/>
        </w:rPr>
        <w:t>表2评价等级判别表</w:t>
      </w:r>
      <w:r>
        <w:rPr>
          <w:rFonts w:hint="eastAsia" w:hAnsi="宋体" w:cs="宋体"/>
          <w:b w:val="0"/>
          <w:bCs/>
          <w:color w:val="auto"/>
          <w:sz w:val="24"/>
          <w:lang w:eastAsia="zh-CN"/>
        </w:rPr>
        <w:t>”</w:t>
      </w:r>
      <w:r>
        <w:rPr>
          <w:rFonts w:hint="eastAsia" w:hAnsi="宋体"/>
          <w:b w:val="0"/>
          <w:bCs/>
          <w:color w:val="auto"/>
          <w:sz w:val="24"/>
        </w:rPr>
        <w:t>，判定本项目大气环境影响评价等级为</w:t>
      </w:r>
      <w:r>
        <w:rPr>
          <w:rFonts w:hint="eastAsia" w:hAnsi="宋体"/>
          <w:b w:val="0"/>
          <w:bCs/>
          <w:color w:val="auto"/>
          <w:sz w:val="24"/>
          <w:lang w:val="en-US" w:eastAsia="zh-CN"/>
        </w:rPr>
        <w:t>三级</w:t>
      </w:r>
      <w:r>
        <w:rPr>
          <w:rFonts w:hint="eastAsia" w:hAnsi="宋体"/>
          <w:b w:val="0"/>
          <w:bCs/>
          <w:color w:val="auto"/>
          <w:sz w:val="24"/>
        </w:rPr>
        <w:t>。</w:t>
      </w:r>
    </w:p>
    <w:p>
      <w:pPr>
        <w:pStyle w:val="4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eastAsia" w:hAnsi="宋体"/>
          <w:b w:val="0"/>
          <w:bCs/>
          <w:color w:val="auto"/>
          <w:sz w:val="24"/>
        </w:rPr>
      </w:pPr>
      <w:r>
        <w:rPr>
          <w:rFonts w:hint="eastAsia" w:hAnsi="宋体"/>
          <w:b w:val="0"/>
          <w:bCs/>
          <w:color w:val="auto"/>
          <w:sz w:val="24"/>
          <w:lang w:eastAsia="zh-CN"/>
        </w:rPr>
        <w:t>（</w:t>
      </w:r>
      <w:r>
        <w:rPr>
          <w:rFonts w:hint="eastAsia" w:hAnsi="宋体"/>
          <w:b w:val="0"/>
          <w:bCs/>
          <w:color w:val="auto"/>
          <w:sz w:val="24"/>
          <w:lang w:val="en-US" w:eastAsia="zh-CN"/>
        </w:rPr>
        <w:t>6</w:t>
      </w:r>
      <w:r>
        <w:rPr>
          <w:rFonts w:hint="eastAsia" w:hAnsi="宋体"/>
          <w:b w:val="0"/>
          <w:bCs/>
          <w:color w:val="auto"/>
          <w:sz w:val="24"/>
          <w:lang w:eastAsia="zh-CN"/>
        </w:rPr>
        <w:t>）</w:t>
      </w:r>
      <w:r>
        <w:rPr>
          <w:rFonts w:hint="eastAsia" w:hAnsi="宋体"/>
          <w:b w:val="0"/>
          <w:bCs/>
          <w:color w:val="auto"/>
          <w:sz w:val="24"/>
        </w:rPr>
        <w:t>评价范围确定</w:t>
      </w:r>
    </w:p>
    <w:p>
      <w:pPr>
        <w:pStyle w:val="4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eastAsia" w:hAnsi="宋体"/>
          <w:b w:val="0"/>
          <w:bCs/>
          <w:color w:val="auto"/>
          <w:sz w:val="24"/>
        </w:rPr>
      </w:pPr>
      <w:r>
        <w:rPr>
          <w:rFonts w:hAnsi="宋体"/>
          <w:b w:val="0"/>
          <w:bCs/>
          <w:color w:val="auto"/>
          <w:sz w:val="24"/>
        </w:rPr>
        <w:t>根据</w:t>
      </w:r>
      <w:r>
        <w:rPr>
          <w:rFonts w:hint="eastAsia" w:hAnsi="宋体"/>
          <w:b w:val="0"/>
          <w:bCs/>
          <w:color w:val="auto"/>
          <w:sz w:val="24"/>
        </w:rPr>
        <w:t>AERSCREEN大气估算预测模式</w:t>
      </w:r>
      <w:r>
        <w:rPr>
          <w:rFonts w:hAnsi="宋体"/>
          <w:b w:val="0"/>
          <w:bCs/>
          <w:color w:val="auto"/>
          <w:sz w:val="24"/>
        </w:rPr>
        <w:t>结果，</w:t>
      </w:r>
      <w:r>
        <w:rPr>
          <w:rFonts w:hint="eastAsia" w:hAnsi="宋体"/>
          <w:b w:val="0"/>
          <w:bCs/>
          <w:color w:val="auto"/>
          <w:sz w:val="24"/>
        </w:rPr>
        <w:t>本</w:t>
      </w:r>
      <w:r>
        <w:rPr>
          <w:rFonts w:hAnsi="宋体"/>
          <w:b w:val="0"/>
          <w:bCs/>
          <w:color w:val="auto"/>
          <w:sz w:val="24"/>
        </w:rPr>
        <w:t>项目</w:t>
      </w:r>
      <w:r>
        <w:rPr>
          <w:rFonts w:hint="eastAsia" w:hAnsi="宋体"/>
          <w:b w:val="0"/>
          <w:bCs/>
          <w:color w:val="auto"/>
          <w:sz w:val="24"/>
        </w:rPr>
        <w:t>大气环境影响评价等级为</w:t>
      </w:r>
      <w:r>
        <w:rPr>
          <w:rFonts w:hint="eastAsia" w:hAnsi="宋体"/>
          <w:b w:val="0"/>
          <w:bCs/>
          <w:color w:val="auto"/>
          <w:sz w:val="24"/>
          <w:lang w:val="en-US" w:eastAsia="zh-CN"/>
        </w:rPr>
        <w:t>三级</w:t>
      </w:r>
      <w:r>
        <w:rPr>
          <w:rFonts w:hAnsi="宋体"/>
          <w:b w:val="0"/>
          <w:bCs/>
          <w:color w:val="auto"/>
          <w:sz w:val="24"/>
        </w:rPr>
        <w:t>。根据《环境影响评价技术导则</w:t>
      </w:r>
      <w:r>
        <w:rPr>
          <w:rFonts w:hint="eastAsia" w:hAnsi="宋体"/>
          <w:b w:val="0"/>
          <w:bCs/>
          <w:color w:val="auto"/>
          <w:sz w:val="24"/>
        </w:rPr>
        <w:t xml:space="preserve"> </w:t>
      </w:r>
      <w:r>
        <w:rPr>
          <w:rFonts w:hAnsi="宋体"/>
          <w:b w:val="0"/>
          <w:bCs/>
          <w:color w:val="auto"/>
          <w:sz w:val="24"/>
        </w:rPr>
        <w:t>大气环境》（HJ2.2-20</w:t>
      </w:r>
      <w:r>
        <w:rPr>
          <w:rFonts w:hint="eastAsia" w:hAnsi="宋体"/>
          <w:b w:val="0"/>
          <w:bCs/>
          <w:color w:val="auto"/>
          <w:sz w:val="24"/>
        </w:rPr>
        <w:t>1</w:t>
      </w:r>
      <w:r>
        <w:rPr>
          <w:rFonts w:hAnsi="宋体"/>
          <w:b w:val="0"/>
          <w:bCs/>
          <w:color w:val="auto"/>
          <w:sz w:val="24"/>
        </w:rPr>
        <w:t>8）5.4.</w:t>
      </w:r>
      <w:r>
        <w:rPr>
          <w:rFonts w:hint="eastAsia" w:hAnsi="宋体"/>
          <w:b w:val="0"/>
          <w:bCs/>
          <w:color w:val="auto"/>
          <w:sz w:val="24"/>
          <w:lang w:val="en-US" w:eastAsia="zh-CN"/>
        </w:rPr>
        <w:t>3</w:t>
      </w:r>
      <w:r>
        <w:rPr>
          <w:rFonts w:hAnsi="宋体"/>
          <w:b w:val="0"/>
          <w:bCs/>
          <w:color w:val="auto"/>
          <w:sz w:val="24"/>
        </w:rPr>
        <w:t>中要求</w:t>
      </w:r>
      <w:r>
        <w:rPr>
          <w:rFonts w:hint="eastAsia" w:hAnsi="宋体" w:cs="宋体"/>
          <w:b w:val="0"/>
          <w:bCs/>
          <w:color w:val="auto"/>
          <w:sz w:val="24"/>
          <w:lang w:eastAsia="zh-CN"/>
        </w:rPr>
        <w:t>“</w:t>
      </w:r>
      <w:r>
        <w:rPr>
          <w:rFonts w:hint="eastAsia" w:hAnsi="宋体"/>
          <w:b w:val="0"/>
          <w:bCs/>
          <w:color w:val="auto"/>
          <w:sz w:val="24"/>
          <w:lang w:val="en-US" w:eastAsia="zh-CN"/>
        </w:rPr>
        <w:t>三级评价项目不需设置大气环境影响评价范围</w:t>
      </w:r>
      <w:r>
        <w:rPr>
          <w:rFonts w:hint="eastAsia" w:hAnsi="宋体" w:cs="宋体"/>
          <w:b w:val="0"/>
          <w:bCs/>
          <w:color w:val="auto"/>
          <w:sz w:val="24"/>
          <w:lang w:val="en-US" w:eastAsia="zh-CN"/>
        </w:rPr>
        <w:t>”</w:t>
      </w:r>
      <w:r>
        <w:rPr>
          <w:rFonts w:hAnsi="宋体"/>
          <w:b w:val="0"/>
          <w:bCs/>
          <w:color w:val="auto"/>
          <w:sz w:val="24"/>
        </w:rPr>
        <w:t>。</w:t>
      </w:r>
    </w:p>
    <w:p>
      <w:pPr>
        <w:pStyle w:val="4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eastAsia" w:hAnsi="宋体"/>
          <w:b w:val="0"/>
          <w:bCs/>
          <w:color w:val="auto"/>
          <w:sz w:val="24"/>
        </w:rPr>
      </w:pPr>
      <w:r>
        <w:rPr>
          <w:rFonts w:hint="eastAsia" w:hAnsi="宋体"/>
          <w:b w:val="0"/>
          <w:bCs/>
          <w:color w:val="auto"/>
          <w:sz w:val="24"/>
          <w:lang w:eastAsia="zh-CN"/>
        </w:rPr>
        <w:t>（</w:t>
      </w:r>
      <w:r>
        <w:rPr>
          <w:rFonts w:hint="eastAsia" w:hAnsi="宋体"/>
          <w:b w:val="0"/>
          <w:bCs/>
          <w:color w:val="auto"/>
          <w:sz w:val="24"/>
          <w:lang w:val="en-US" w:eastAsia="zh-CN"/>
        </w:rPr>
        <w:t>7</w:t>
      </w:r>
      <w:r>
        <w:rPr>
          <w:rFonts w:hint="eastAsia" w:hAnsi="宋体"/>
          <w:b w:val="0"/>
          <w:bCs/>
          <w:color w:val="auto"/>
          <w:sz w:val="24"/>
          <w:lang w:eastAsia="zh-CN"/>
        </w:rPr>
        <w:t>）</w:t>
      </w:r>
      <w:r>
        <w:rPr>
          <w:rFonts w:hint="eastAsia" w:hAnsi="宋体"/>
          <w:b w:val="0"/>
          <w:bCs/>
          <w:color w:val="auto"/>
          <w:sz w:val="24"/>
        </w:rPr>
        <w:t>污染物排放量核算</w:t>
      </w:r>
    </w:p>
    <w:p>
      <w:pPr>
        <w:pStyle w:val="46"/>
        <w:keepNext w:val="0"/>
        <w:keepLines w:val="0"/>
        <w:pageBreakBefore w:val="0"/>
        <w:widowControl w:val="0"/>
        <w:numPr>
          <w:ilvl w:val="0"/>
          <w:numId w:val="12"/>
        </w:numPr>
        <w:kinsoku/>
        <w:wordWrap/>
        <w:overflowPunct/>
        <w:topLinePunct w:val="0"/>
        <w:autoSpaceDE/>
        <w:autoSpaceDN/>
        <w:bidi w:val="0"/>
        <w:adjustRightInd/>
        <w:snapToGrid/>
        <w:spacing w:after="0" w:line="360" w:lineRule="auto"/>
        <w:ind w:left="0" w:firstLine="480" w:firstLineChars="200"/>
        <w:textAlignment w:val="auto"/>
        <w:rPr>
          <w:rFonts w:hAnsi="宋体"/>
          <w:b w:val="0"/>
          <w:bCs/>
          <w:color w:val="auto"/>
          <w:sz w:val="24"/>
        </w:rPr>
      </w:pPr>
      <w:r>
        <w:rPr>
          <w:rFonts w:hint="eastAsia" w:hAnsi="宋体"/>
          <w:b w:val="0"/>
          <w:bCs/>
          <w:color w:val="auto"/>
          <w:sz w:val="24"/>
        </w:rPr>
        <w:t>有组织排放量核算</w:t>
      </w:r>
    </w:p>
    <w:p>
      <w:pPr>
        <w:pStyle w:val="4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eastAsia" w:hAnsi="宋体"/>
          <w:b w:val="0"/>
          <w:bCs/>
          <w:color w:val="auto"/>
          <w:sz w:val="24"/>
        </w:rPr>
      </w:pPr>
      <w:r>
        <w:rPr>
          <w:rFonts w:hint="eastAsia" w:hAnsi="宋体"/>
          <w:b w:val="0"/>
          <w:bCs/>
          <w:color w:val="auto"/>
          <w:sz w:val="24"/>
        </w:rPr>
        <w:t>根据《排污许可证申请与核发技术规范 总则》（HJ942-2018），有组织排放量核算见表</w:t>
      </w:r>
      <w:r>
        <w:rPr>
          <w:rFonts w:hint="eastAsia" w:hAnsi="宋体"/>
          <w:b w:val="0"/>
          <w:bCs/>
          <w:color w:val="auto"/>
          <w:sz w:val="24"/>
          <w:lang w:val="en-US" w:eastAsia="zh-CN"/>
        </w:rPr>
        <w:t>6.2-12</w:t>
      </w:r>
      <w:r>
        <w:rPr>
          <w:rFonts w:hint="eastAsia" w:hAnsi="宋体"/>
          <w:b w:val="0"/>
          <w:bCs/>
          <w:color w:val="auto"/>
          <w:sz w:val="24"/>
        </w:rPr>
        <w:t>。</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b/>
          <w:color w:val="auto"/>
          <w:sz w:val="21"/>
          <w:szCs w:val="21"/>
        </w:rPr>
      </w:pPr>
      <w:r>
        <w:rPr>
          <w:rFonts w:hint="eastAsia"/>
          <w:b/>
          <w:color w:val="auto"/>
          <w:sz w:val="21"/>
          <w:szCs w:val="21"/>
        </w:rPr>
        <w:t>表</w:t>
      </w:r>
      <w:r>
        <w:rPr>
          <w:rFonts w:hint="eastAsia"/>
          <w:b/>
          <w:color w:val="auto"/>
          <w:sz w:val="21"/>
          <w:szCs w:val="21"/>
          <w:lang w:val="en-US" w:eastAsia="zh-CN"/>
        </w:rPr>
        <w:t xml:space="preserve">6.2-12 </w:t>
      </w:r>
      <w:r>
        <w:rPr>
          <w:rFonts w:hint="eastAsia"/>
          <w:b/>
          <w:color w:val="auto"/>
          <w:sz w:val="21"/>
          <w:szCs w:val="21"/>
        </w:rPr>
        <w:t xml:space="preserve"> 大气污染物有组织排放量核算表</w:t>
      </w:r>
    </w:p>
    <w:tbl>
      <w:tblPr>
        <w:tblStyle w:val="4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1"/>
        <w:gridCol w:w="1855"/>
        <w:gridCol w:w="1755"/>
        <w:gridCol w:w="1630"/>
        <w:gridCol w:w="1536"/>
        <w:gridCol w:w="12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8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核算排放浓度/</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核算排放速率/</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（kg/h）</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95" w:type="dxa"/>
            <w:gridSpan w:val="6"/>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主要</w:t>
            </w:r>
            <w:r>
              <w:rPr>
                <w:rFonts w:hint="default" w:ascii="Times New Roman" w:hAnsi="Times New Roman" w:cs="Times New Roman"/>
                <w:color w:val="auto"/>
                <w:sz w:val="21"/>
                <w:szCs w:val="21"/>
              </w:rPr>
              <w:t>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855"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溴化锂空调</w:t>
            </w:r>
            <w:r>
              <w:rPr>
                <w:rFonts w:hint="eastAsia" w:ascii="Times New Roman" w:hAnsi="Times New Roman" w:cs="Times New Roman"/>
                <w:color w:val="auto"/>
                <w:sz w:val="21"/>
                <w:szCs w:val="21"/>
                <w:lang w:val="en-US" w:eastAsia="zh-CN"/>
              </w:rPr>
              <w:t>排气筒2#</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9 </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0.0913</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855"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13 </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0.3183</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2.788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855"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pStyle w:val="4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宋体" w:eastAsia="宋体"/>
                <w:b w:val="0"/>
                <w:bCs/>
                <w:color w:val="auto"/>
                <w:kern w:val="2"/>
                <w:sz w:val="21"/>
                <w:szCs w:val="21"/>
                <w:vertAlign w:val="baseline"/>
                <w:lang w:val="en-US" w:eastAsia="zh-CN" w:bidi="ar-SA"/>
              </w:rPr>
            </w:pPr>
            <w:r>
              <w:rPr>
                <w:rFonts w:hint="eastAsia" w:hAnsi="宋体"/>
                <w:b w:val="0"/>
                <w:bCs/>
                <w:color w:val="auto"/>
                <w:sz w:val="21"/>
                <w:szCs w:val="21"/>
                <w:vertAlign w:val="baseline"/>
                <w:lang w:val="en-US" w:eastAsia="zh-CN"/>
              </w:rPr>
              <w:t>颗粒物</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32 </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0.1306</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1.144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restart"/>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主要排放口</w:t>
            </w:r>
            <w:r>
              <w:rPr>
                <w:rFonts w:hint="default" w:ascii="Times New Roman" w:hAnsi="Times New Roman" w:cs="Times New Roman"/>
                <w:color w:val="auto"/>
                <w:sz w:val="21"/>
                <w:szCs w:val="21"/>
              </w:rPr>
              <w:t>污染物排放总计</w:t>
            </w:r>
          </w:p>
        </w:tc>
        <w:tc>
          <w:tcPr>
            <w:tcW w:w="4921"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eastAsia" w:ascii="Times New Roman" w:hAnsi="Times New Roman" w:cs="Times New Roman"/>
                <w:color w:val="auto"/>
                <w:sz w:val="21"/>
                <w:szCs w:val="21"/>
                <w:lang w:val="en-US" w:eastAsia="zh-CN"/>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21"/>
                <w:szCs w:val="21"/>
                <w:vertAlign w:val="baseline"/>
                <w:lang w:val="en-US" w:eastAsia="zh-CN"/>
              </w:rPr>
            </w:pPr>
            <w:r>
              <w:rPr>
                <w:rFonts w:hint="default" w:ascii="Times New Roman" w:hAnsi="Times New Roman" w:eastAsia="宋体" w:cs="Times New Roman"/>
                <w:i w:val="0"/>
                <w:color w:val="auto"/>
                <w:kern w:val="0"/>
                <w:sz w:val="21"/>
                <w:szCs w:val="21"/>
                <w:u w:val="none"/>
                <w:lang w:val="en-US" w:eastAsia="zh-CN" w:bidi="ar"/>
              </w:rPr>
              <w:t>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p>
        </w:tc>
        <w:tc>
          <w:tcPr>
            <w:tcW w:w="4921"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eastAsia" w:ascii="Times New Roman" w:hAnsi="Times New Roman" w:cs="Times New Roman"/>
                <w:color w:val="auto"/>
                <w:sz w:val="21"/>
                <w:szCs w:val="21"/>
                <w:lang w:val="en-US" w:eastAsia="zh-CN"/>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21"/>
                <w:szCs w:val="21"/>
                <w:vertAlign w:val="baseline"/>
                <w:lang w:val="en-US" w:eastAsia="zh-CN"/>
              </w:rPr>
            </w:pPr>
            <w:r>
              <w:rPr>
                <w:rFonts w:hint="default" w:ascii="Times New Roman" w:hAnsi="Times New Roman" w:eastAsia="宋体" w:cs="Times New Roman"/>
                <w:i w:val="0"/>
                <w:color w:val="auto"/>
                <w:kern w:val="0"/>
                <w:sz w:val="21"/>
                <w:szCs w:val="21"/>
                <w:u w:val="none"/>
                <w:lang w:val="en-US" w:eastAsia="zh-CN" w:bidi="ar"/>
              </w:rPr>
              <w:t>2.788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p>
        </w:tc>
        <w:tc>
          <w:tcPr>
            <w:tcW w:w="4921"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eastAsia" w:ascii="Times New Roman" w:hAnsi="Times New Roman" w:cs="Times New Roman"/>
                <w:color w:val="auto"/>
                <w:sz w:val="21"/>
                <w:szCs w:val="21"/>
                <w:lang w:val="en-US" w:eastAsia="zh-CN"/>
              </w:rPr>
            </w:pPr>
            <w:r>
              <w:rPr>
                <w:rFonts w:hint="eastAsia" w:hAnsi="宋体"/>
                <w:b w:val="0"/>
                <w:bCs/>
                <w:color w:val="auto"/>
                <w:sz w:val="21"/>
                <w:szCs w:val="21"/>
                <w:vertAlign w:val="baseline"/>
                <w:lang w:val="en-US" w:eastAsia="zh-CN"/>
              </w:rPr>
              <w:t>颗粒物</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vertAlign w:val="baseline"/>
                <w:lang w:val="en-US" w:eastAsia="zh-CN"/>
              </w:rPr>
            </w:pPr>
            <w:r>
              <w:rPr>
                <w:rFonts w:hint="default" w:ascii="Times New Roman" w:hAnsi="Times New Roman" w:eastAsia="宋体" w:cs="Times New Roman"/>
                <w:i w:val="0"/>
                <w:color w:val="auto"/>
                <w:kern w:val="0"/>
                <w:sz w:val="21"/>
                <w:szCs w:val="21"/>
                <w:u w:val="none"/>
                <w:lang w:val="en-US" w:eastAsia="zh-CN" w:bidi="ar"/>
              </w:rPr>
              <w:t>1.144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95" w:type="dxa"/>
            <w:gridSpan w:val="6"/>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一般排放口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vMerge w:val="restart"/>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855" w:type="dxa"/>
            <w:vMerge w:val="restart"/>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污水处理排气筒</w:t>
            </w:r>
            <w:r>
              <w:rPr>
                <w:rFonts w:hint="eastAsia" w:ascii="Times New Roman" w:hAnsi="Times New Roman" w:eastAsia="宋体" w:cs="Times New Roman"/>
                <w:i w:val="0"/>
                <w:color w:val="auto"/>
                <w:kern w:val="0"/>
                <w:sz w:val="21"/>
                <w:szCs w:val="21"/>
                <w:u w:val="none"/>
                <w:lang w:val="en-US" w:eastAsia="zh-CN" w:bidi="ar"/>
              </w:rPr>
              <w:t>1#</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氨</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0.88</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0.00175</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0.01535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1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p>
        </w:tc>
        <w:tc>
          <w:tcPr>
            <w:tcW w:w="1855"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cs="Times New Roman"/>
                <w:color w:val="auto"/>
                <w:sz w:val="21"/>
                <w:szCs w:val="21"/>
                <w:lang w:val="en-US" w:eastAsia="zh-CN"/>
              </w:rPr>
            </w:pPr>
          </w:p>
        </w:tc>
        <w:tc>
          <w:tcPr>
            <w:tcW w:w="17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硫化氢</w:t>
            </w:r>
          </w:p>
        </w:tc>
        <w:tc>
          <w:tcPr>
            <w:tcW w:w="16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0.03</w:t>
            </w:r>
          </w:p>
        </w:tc>
        <w:tc>
          <w:tcPr>
            <w:tcW w:w="15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0.00007</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0.00059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restart"/>
            <w:tcBorders>
              <w:top w:val="single" w:color="000000" w:sz="6" w:space="0"/>
              <w:left w:val="single" w:color="000000" w:sz="6" w:space="0"/>
              <w:right w:val="single" w:color="000000" w:sz="6"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一般排放口污染物排放总计</w:t>
            </w: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氨</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0.01535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rPr>
                <w:rFonts w:hint="default" w:ascii="Times New Roman" w:hAnsi="Times New Roman" w:cs="Times New Roman"/>
                <w:color w:val="auto"/>
                <w:sz w:val="21"/>
                <w:szCs w:val="21"/>
              </w:rPr>
            </w:pP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硫化氢</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0.00059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95" w:type="dxa"/>
            <w:gridSpan w:val="6"/>
            <w:tcBorders>
              <w:left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color w:val="auto"/>
                <w:sz w:val="21"/>
                <w:szCs w:val="21"/>
                <w:u w:val="none"/>
                <w:lang w:val="en-US" w:eastAsia="zh-CN"/>
              </w:rPr>
            </w:pPr>
            <w:r>
              <w:rPr>
                <w:rFonts w:hint="eastAsia" w:ascii="Times New Roman" w:hAnsi="Times New Roman" w:cs="Times New Roman"/>
                <w:i w:val="0"/>
                <w:color w:val="auto"/>
                <w:sz w:val="21"/>
                <w:szCs w:val="21"/>
                <w:u w:val="none"/>
                <w:lang w:val="en-US" w:eastAsia="zh-CN"/>
              </w:rPr>
              <w:t>有组织排放合计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restart"/>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有组织排放合计</w:t>
            </w: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eastAsia="宋体" w:cs="Times New Roman"/>
                <w:i w:val="0"/>
                <w:color w:val="auto"/>
                <w:kern w:val="0"/>
                <w:sz w:val="21"/>
                <w:szCs w:val="21"/>
                <w:u w:val="none"/>
                <w:lang w:val="en-US" w:eastAsia="zh-CN" w:bidi="ar"/>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snapToGrid w:val="0"/>
                <w:color w:val="auto"/>
                <w:kern w:val="0"/>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bidi="ar"/>
              </w:rPr>
              <w:t>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rPr>
                <w:rFonts w:hint="default" w:ascii="Times New Roman" w:hAnsi="Times New Roman" w:cs="Times New Roman"/>
                <w:color w:val="auto"/>
                <w:sz w:val="21"/>
                <w:szCs w:val="21"/>
              </w:rPr>
            </w:pP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eastAsia="宋体" w:cs="Times New Roman"/>
                <w:i w:val="0"/>
                <w:color w:val="auto"/>
                <w:kern w:val="0"/>
                <w:sz w:val="21"/>
                <w:szCs w:val="21"/>
                <w:u w:val="none"/>
                <w:lang w:val="en-US" w:eastAsia="zh-CN" w:bidi="ar"/>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snapToGrid w:val="0"/>
                <w:color w:val="auto"/>
                <w:kern w:val="0"/>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bidi="ar"/>
              </w:rPr>
              <w:t>2.788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rPr>
                <w:rFonts w:hint="default" w:ascii="Times New Roman" w:hAnsi="Times New Roman" w:cs="Times New Roman"/>
                <w:color w:val="auto"/>
                <w:sz w:val="21"/>
                <w:szCs w:val="21"/>
              </w:rPr>
            </w:pP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120" w:leftChars="-50" w:right="-120" w:rightChars="-50" w:firstLine="0" w:firstLineChars="0"/>
              <w:jc w:val="center"/>
              <w:rPr>
                <w:rFonts w:hint="default" w:ascii="Times New Roman" w:hAnsi="Times New Roman" w:eastAsia="宋体" w:cs="Times New Roman"/>
                <w:i w:val="0"/>
                <w:color w:val="auto"/>
                <w:kern w:val="0"/>
                <w:sz w:val="21"/>
                <w:szCs w:val="21"/>
                <w:u w:val="none"/>
                <w:lang w:val="en-US" w:eastAsia="zh-CN" w:bidi="ar"/>
              </w:rPr>
            </w:pPr>
            <w:r>
              <w:rPr>
                <w:rFonts w:hint="eastAsia" w:hAnsi="宋体"/>
                <w:b w:val="0"/>
                <w:bCs/>
                <w:color w:val="auto"/>
                <w:sz w:val="21"/>
                <w:szCs w:val="21"/>
                <w:vertAlign w:val="baseline"/>
                <w:lang w:val="en-US" w:eastAsia="zh-CN"/>
              </w:rPr>
              <w:t>颗粒物</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snapToGrid w:val="0"/>
                <w:color w:val="auto"/>
                <w:kern w:val="0"/>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bidi="ar"/>
              </w:rPr>
              <w:t>1.144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rPr>
                <w:rFonts w:hint="default" w:ascii="Times New Roman" w:hAnsi="Times New Roman" w:cs="Times New Roman"/>
                <w:color w:val="auto"/>
                <w:sz w:val="21"/>
                <w:szCs w:val="21"/>
              </w:rPr>
            </w:pP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氨</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0.01535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66" w:type="dxa"/>
            <w:gridSpan w:val="2"/>
            <w:vMerge w:val="continue"/>
            <w:tcBorders>
              <w:left w:val="single" w:color="000000" w:sz="6" w:space="0"/>
              <w:right w:val="single" w:color="000000" w:sz="6"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rPr>
                <w:rFonts w:hint="default" w:ascii="Times New Roman" w:hAnsi="Times New Roman" w:cs="Times New Roman"/>
                <w:color w:val="auto"/>
                <w:sz w:val="21"/>
                <w:szCs w:val="21"/>
              </w:rPr>
            </w:pPr>
          </w:p>
        </w:tc>
        <w:tc>
          <w:tcPr>
            <w:tcW w:w="4921" w:type="dxa"/>
            <w:gridSpan w:val="3"/>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硫化氢</w:t>
            </w:r>
          </w:p>
        </w:tc>
        <w:tc>
          <w:tcPr>
            <w:tcW w:w="1208" w:type="dxa"/>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0.00059</w:t>
            </w:r>
          </w:p>
        </w:tc>
      </w:tr>
    </w:tbl>
    <w:p>
      <w:pPr>
        <w:pStyle w:val="46"/>
        <w:numPr>
          <w:ilvl w:val="0"/>
          <w:numId w:val="12"/>
        </w:numPr>
        <w:adjustRightInd w:val="0"/>
        <w:snapToGrid w:val="0"/>
        <w:spacing w:after="0" w:line="360" w:lineRule="auto"/>
        <w:ind w:firstLineChars="0"/>
        <w:rPr>
          <w:rFonts w:hAnsi="宋体"/>
          <w:color w:val="auto"/>
          <w:sz w:val="24"/>
        </w:rPr>
      </w:pPr>
      <w:r>
        <w:rPr>
          <w:rFonts w:hint="eastAsia" w:hAnsi="宋体"/>
          <w:color w:val="auto"/>
          <w:sz w:val="24"/>
        </w:rPr>
        <w:t>无组织排放量核算</w:t>
      </w:r>
    </w:p>
    <w:p>
      <w:pPr>
        <w:pStyle w:val="46"/>
        <w:adjustRightInd w:val="0"/>
        <w:snapToGrid w:val="0"/>
        <w:spacing w:after="0" w:line="360" w:lineRule="auto"/>
        <w:ind w:firstLine="480" w:firstLineChars="200"/>
        <w:rPr>
          <w:rFonts w:hint="default" w:hAnsi="宋体"/>
          <w:color w:val="auto"/>
          <w:sz w:val="24"/>
          <w:lang w:val="en-US"/>
        </w:rPr>
      </w:pPr>
      <w:r>
        <w:rPr>
          <w:rFonts w:hint="eastAsia" w:hAnsi="宋体"/>
          <w:color w:val="auto"/>
          <w:sz w:val="24"/>
        </w:rPr>
        <w:t>本项目无组织排放量核算见表</w:t>
      </w:r>
      <w:r>
        <w:rPr>
          <w:rFonts w:hint="eastAsia" w:hAnsi="宋体"/>
          <w:color w:val="auto"/>
          <w:sz w:val="24"/>
          <w:lang w:val="en-US" w:eastAsia="zh-CN"/>
        </w:rPr>
        <w:t>6.2-13。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eastAsia" w:cs="Times New Roman"/>
          <w:b/>
          <w:color w:val="auto"/>
          <w:sz w:val="21"/>
          <w:szCs w:val="21"/>
          <w:lang w:val="en-US" w:eastAsia="zh-CN"/>
        </w:rPr>
        <w:t>6.2-13</w:t>
      </w:r>
      <w:r>
        <w:rPr>
          <w:rFonts w:hint="default" w:ascii="Times New Roman" w:hAnsi="Times New Roman" w:cs="Times New Roman"/>
          <w:b/>
          <w:color w:val="auto"/>
          <w:sz w:val="21"/>
          <w:szCs w:val="21"/>
        </w:rPr>
        <w:t xml:space="preserve"> </w:t>
      </w:r>
      <w:r>
        <w:rPr>
          <w:rFonts w:hint="eastAsia"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大气污染物无组织排放量核算表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662"/>
        <w:gridCol w:w="663"/>
        <w:gridCol w:w="946"/>
        <w:gridCol w:w="1824"/>
        <w:gridCol w:w="1851"/>
        <w:gridCol w:w="1105"/>
        <w:gridCol w:w="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6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w:t>
            </w:r>
          </w:p>
        </w:tc>
        <w:tc>
          <w:tcPr>
            <w:tcW w:w="66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产污环节</w:t>
            </w:r>
          </w:p>
        </w:tc>
        <w:tc>
          <w:tcPr>
            <w:tcW w:w="94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8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主要污染防错措施</w:t>
            </w:r>
          </w:p>
        </w:tc>
        <w:tc>
          <w:tcPr>
            <w:tcW w:w="295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国家或地方污染物排放标准</w:t>
            </w:r>
          </w:p>
        </w:tc>
        <w:tc>
          <w:tcPr>
            <w:tcW w:w="99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6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94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8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85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标准名称</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浓度限值/（mg/m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99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44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6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污水处理站</w:t>
            </w:r>
          </w:p>
        </w:tc>
        <w:tc>
          <w:tcPr>
            <w:tcW w:w="66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i w:val="0"/>
                <w:color w:val="auto"/>
                <w:kern w:val="0"/>
                <w:sz w:val="21"/>
                <w:szCs w:val="21"/>
                <w:u w:val="none"/>
                <w:lang w:val="en-US" w:eastAsia="zh-CN" w:bidi="ar"/>
              </w:rPr>
              <w:t>污水处理</w:t>
            </w:r>
          </w:p>
        </w:tc>
        <w:tc>
          <w:tcPr>
            <w:tcW w:w="9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氨</w:t>
            </w:r>
          </w:p>
        </w:tc>
        <w:tc>
          <w:tcPr>
            <w:tcW w:w="18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增强设备密闭性</w:t>
            </w:r>
          </w:p>
        </w:tc>
        <w:tc>
          <w:tcPr>
            <w:tcW w:w="185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《医疗机构水污染物排放标准》（GB18466-2005）表3中标准值</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rPr>
              <w:t>1.0</w:t>
            </w:r>
          </w:p>
        </w:tc>
        <w:tc>
          <w:tcPr>
            <w:tcW w:w="9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0.00155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6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9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硫化氢</w:t>
            </w:r>
          </w:p>
        </w:tc>
        <w:tc>
          <w:tcPr>
            <w:tcW w:w="18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85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0.03</w:t>
            </w:r>
          </w:p>
        </w:tc>
        <w:tc>
          <w:tcPr>
            <w:tcW w:w="9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0.00006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17"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无组织排放总计</w:t>
            </w:r>
          </w:p>
        </w:tc>
        <w:tc>
          <w:tcPr>
            <w:tcW w:w="36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氨</w:t>
            </w:r>
          </w:p>
        </w:tc>
        <w:tc>
          <w:tcPr>
            <w:tcW w:w="2103"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0.00155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17"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36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硫化氢</w:t>
            </w:r>
          </w:p>
        </w:tc>
        <w:tc>
          <w:tcPr>
            <w:tcW w:w="2103"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0.00006 </w:t>
            </w:r>
          </w:p>
        </w:tc>
      </w:tr>
    </w:tbl>
    <w:p>
      <w:pPr>
        <w:pStyle w:val="46"/>
        <w:adjustRightInd w:val="0"/>
        <w:snapToGrid w:val="0"/>
        <w:spacing w:after="0" w:line="500" w:lineRule="exact"/>
        <w:ind w:firstLine="480" w:firstLineChars="200"/>
        <w:rPr>
          <w:rFonts w:hAnsi="宋体"/>
          <w:b w:val="0"/>
          <w:bCs/>
          <w:color w:val="auto"/>
          <w:sz w:val="24"/>
        </w:rPr>
      </w:pPr>
      <w:r>
        <w:rPr>
          <w:rFonts w:hint="eastAsia" w:hAnsi="宋体"/>
          <w:b w:val="0"/>
          <w:bCs/>
          <w:color w:val="auto"/>
          <w:sz w:val="24"/>
        </w:rPr>
        <w:t>本次评价就项目有组织及无组织大气污染源排放量进行统计，核定项目大气污染物年排放量，具体核定结果见下表：</w:t>
      </w:r>
    </w:p>
    <w:p>
      <w:pPr>
        <w:spacing w:line="500" w:lineRule="exact"/>
        <w:jc w:val="center"/>
        <w:rPr>
          <w:b/>
          <w:color w:val="auto"/>
          <w:sz w:val="21"/>
          <w:szCs w:val="21"/>
        </w:rPr>
      </w:pPr>
      <w:r>
        <w:rPr>
          <w:rFonts w:hint="eastAsia"/>
          <w:b/>
          <w:color w:val="auto"/>
          <w:sz w:val="21"/>
          <w:szCs w:val="21"/>
        </w:rPr>
        <w:t>表</w:t>
      </w:r>
      <w:r>
        <w:rPr>
          <w:rFonts w:hint="eastAsia"/>
          <w:b/>
          <w:color w:val="auto"/>
          <w:sz w:val="21"/>
          <w:szCs w:val="21"/>
          <w:lang w:val="en-US" w:eastAsia="zh-CN"/>
        </w:rPr>
        <w:t>6.2-14</w:t>
      </w:r>
      <w:r>
        <w:rPr>
          <w:rFonts w:hint="eastAsia"/>
          <w:b/>
          <w:color w:val="auto"/>
          <w:sz w:val="21"/>
          <w:szCs w:val="21"/>
        </w:rPr>
        <w:t xml:space="preserve">  大气污染物年排放量核算表</w:t>
      </w:r>
    </w:p>
    <w:tbl>
      <w:tblPr>
        <w:tblStyle w:val="48"/>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1"/>
        <w:gridCol w:w="3243"/>
        <w:gridCol w:w="3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 w:val="0"/>
                <w:bCs w:val="0"/>
                <w:color w:val="auto"/>
                <w:sz w:val="21"/>
                <w:szCs w:val="21"/>
              </w:rPr>
            </w:pPr>
            <w:r>
              <w:rPr>
                <w:b w:val="0"/>
                <w:bCs w:val="0"/>
                <w:color w:val="auto"/>
                <w:sz w:val="21"/>
                <w:szCs w:val="21"/>
              </w:rPr>
              <w:t>序号</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 w:val="0"/>
                <w:bCs w:val="0"/>
                <w:color w:val="auto"/>
                <w:sz w:val="21"/>
                <w:szCs w:val="21"/>
              </w:rPr>
            </w:pPr>
            <w:r>
              <w:rPr>
                <w:b w:val="0"/>
                <w:bCs w:val="0"/>
                <w:color w:val="auto"/>
                <w:sz w:val="21"/>
                <w:szCs w:val="21"/>
              </w:rPr>
              <w:t>污染物</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val="0"/>
                <w:bCs w:val="0"/>
                <w:color w:val="auto"/>
                <w:sz w:val="21"/>
                <w:szCs w:val="21"/>
                <w:lang w:eastAsia="zh-CN"/>
              </w:rPr>
            </w:pPr>
            <w:r>
              <w:rPr>
                <w:b w:val="0"/>
                <w:bCs w:val="0"/>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rPr>
                <w:b w:val="0"/>
                <w:bCs w:val="0"/>
                <w:color w:val="auto"/>
                <w:kern w:val="0"/>
                <w:sz w:val="21"/>
                <w:szCs w:val="21"/>
              </w:rPr>
            </w:pPr>
            <w:r>
              <w:rPr>
                <w:b w:val="0"/>
                <w:bCs w:val="0"/>
                <w:color w:val="auto"/>
                <w:kern w:val="0"/>
                <w:sz w:val="21"/>
                <w:szCs w:val="21"/>
              </w:rPr>
              <w:t>1</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b w:val="0"/>
                <w:bCs w:val="0"/>
                <w:color w:val="auto"/>
                <w:sz w:val="21"/>
                <w:szCs w:val="21"/>
              </w:rPr>
            </w:pPr>
            <w:r>
              <w:rPr>
                <w:rFonts w:hint="eastAsia" w:hAnsi="宋体"/>
                <w:b w:val="0"/>
                <w:bCs/>
                <w:color w:val="auto"/>
                <w:sz w:val="21"/>
                <w:szCs w:val="21"/>
                <w:vertAlign w:val="baseline"/>
                <w:lang w:val="en-US" w:eastAsia="zh-CN"/>
              </w:rPr>
              <w:t>SO</w:t>
            </w:r>
            <w:r>
              <w:rPr>
                <w:rFonts w:hint="eastAsia" w:ascii="Times New Roman" w:hAnsi="宋体" w:eastAsia="宋体"/>
                <w:b w:val="0"/>
                <w:bCs/>
                <w:color w:val="auto"/>
                <w:sz w:val="21"/>
                <w:szCs w:val="21"/>
                <w:vertAlign w:val="subscript"/>
                <w:lang w:val="en-US" w:eastAsia="zh-CN"/>
              </w:rPr>
              <w:t>2</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b w:val="0"/>
                <w:bC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rPr>
                <w:rFonts w:hint="eastAsia" w:eastAsia="宋体"/>
                <w:b w:val="0"/>
                <w:bCs w:val="0"/>
                <w:color w:val="auto"/>
                <w:kern w:val="0"/>
                <w:sz w:val="21"/>
                <w:szCs w:val="21"/>
                <w:lang w:eastAsia="zh-CN"/>
              </w:rPr>
            </w:pPr>
            <w:r>
              <w:rPr>
                <w:rFonts w:hint="eastAsia"/>
                <w:b w:val="0"/>
                <w:bCs w:val="0"/>
                <w:color w:val="auto"/>
                <w:kern w:val="0"/>
                <w:sz w:val="21"/>
                <w:szCs w:val="21"/>
                <w:lang w:val="en-US" w:eastAsia="zh-CN"/>
              </w:rPr>
              <w:t>2</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eastAsia="宋体"/>
                <w:b w:val="0"/>
                <w:bCs w:val="0"/>
                <w:color w:val="auto"/>
                <w:sz w:val="21"/>
                <w:szCs w:val="21"/>
                <w:lang w:val="en-US" w:eastAsia="zh-CN"/>
              </w:rPr>
            </w:pPr>
            <w:r>
              <w:rPr>
                <w:rFonts w:hint="eastAsia" w:hAnsi="宋体"/>
                <w:b w:val="0"/>
                <w:bCs/>
                <w:color w:val="auto"/>
                <w:sz w:val="21"/>
                <w:szCs w:val="21"/>
                <w:vertAlign w:val="baseline"/>
                <w:lang w:val="en-US" w:eastAsia="zh-CN"/>
              </w:rPr>
              <w:t>NO</w:t>
            </w:r>
            <w:r>
              <w:rPr>
                <w:rFonts w:hint="eastAsia" w:ascii="Times New Roman" w:hAnsi="宋体" w:eastAsia="宋体"/>
                <w:b w:val="0"/>
                <w:bCs/>
                <w:color w:val="auto"/>
                <w:sz w:val="21"/>
                <w:szCs w:val="21"/>
                <w:vertAlign w:val="subscript"/>
                <w:lang w:val="en-US" w:eastAsia="zh-CN"/>
              </w:rPr>
              <w:t>X</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b w:val="0"/>
                <w:bC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rPr>
                <w:rFonts w:hint="default"/>
                <w:b w:val="0"/>
                <w:bCs w:val="0"/>
                <w:color w:val="auto"/>
                <w:kern w:val="0"/>
                <w:sz w:val="21"/>
                <w:szCs w:val="21"/>
                <w:lang w:val="en-US" w:eastAsia="zh-CN"/>
              </w:rPr>
            </w:pPr>
            <w:r>
              <w:rPr>
                <w:rFonts w:hint="eastAsia"/>
                <w:b w:val="0"/>
                <w:bCs w:val="0"/>
                <w:color w:val="auto"/>
                <w:kern w:val="0"/>
                <w:sz w:val="21"/>
                <w:szCs w:val="21"/>
                <w:lang w:val="en-US" w:eastAsia="zh-CN"/>
              </w:rPr>
              <w:t>3</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eastAsia" w:hAnsi="宋体"/>
                <w:b w:val="0"/>
                <w:bCs/>
                <w:color w:val="auto"/>
                <w:sz w:val="21"/>
                <w:szCs w:val="21"/>
                <w:vertAlign w:val="baseline"/>
                <w:lang w:val="en-US" w:eastAsia="zh-CN"/>
              </w:rPr>
              <w:t>颗粒物</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rPr>
                <w:rFonts w:hint="default"/>
                <w:b w:val="0"/>
                <w:bCs w:val="0"/>
                <w:color w:val="auto"/>
                <w:kern w:val="0"/>
                <w:sz w:val="21"/>
                <w:szCs w:val="21"/>
                <w:lang w:val="en-US" w:eastAsia="zh-CN"/>
              </w:rPr>
            </w:pPr>
            <w:r>
              <w:rPr>
                <w:rFonts w:hint="eastAsia"/>
                <w:b w:val="0"/>
                <w:bCs w:val="0"/>
                <w:color w:val="auto"/>
                <w:kern w:val="0"/>
                <w:sz w:val="21"/>
                <w:szCs w:val="21"/>
                <w:lang w:val="en-US" w:eastAsia="zh-CN"/>
              </w:rPr>
              <w:t>4</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氨</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color w:val="auto"/>
                <w:kern w:val="0"/>
                <w:sz w:val="21"/>
                <w:szCs w:val="21"/>
                <w:u w:val="none"/>
                <w:lang w:val="en-US" w:eastAsia="zh-CN" w:bidi="ar"/>
              </w:rPr>
              <w:t>0.01</w:t>
            </w:r>
            <w:r>
              <w:rPr>
                <w:rFonts w:hint="eastAsia" w:ascii="Times New Roman" w:hAnsi="Times New Roman" w:eastAsia="宋体" w:cs="Times New Roman"/>
                <w:i w:val="0"/>
                <w:color w:val="auto"/>
                <w:kern w:val="0"/>
                <w:sz w:val="21"/>
                <w:szCs w:val="21"/>
                <w:u w:val="none"/>
                <w:lang w:val="en-US" w:eastAsia="zh-CN"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rPr>
                <w:rFonts w:hint="default"/>
                <w:b w:val="0"/>
                <w:bCs w:val="0"/>
                <w:color w:val="auto"/>
                <w:kern w:val="0"/>
                <w:sz w:val="21"/>
                <w:szCs w:val="21"/>
                <w:lang w:val="en-US" w:eastAsia="zh-CN"/>
              </w:rPr>
            </w:pPr>
            <w:r>
              <w:rPr>
                <w:rFonts w:hint="eastAsia"/>
                <w:b w:val="0"/>
                <w:bCs w:val="0"/>
                <w:color w:val="auto"/>
                <w:kern w:val="0"/>
                <w:sz w:val="21"/>
                <w:szCs w:val="21"/>
                <w:lang w:val="en-US" w:eastAsia="zh-CN"/>
              </w:rPr>
              <w:t>5</w:t>
            </w:r>
          </w:p>
        </w:tc>
        <w:tc>
          <w:tcPr>
            <w:tcW w:w="1775" w:type="dxa"/>
            <w:tcBorders>
              <w:top w:val="single" w:color="auto" w:sz="4" w:space="0"/>
              <w:left w:val="single" w:color="auto" w:sz="4" w:space="0"/>
              <w:bottom w:val="single" w:color="auto" w:sz="4" w:space="0"/>
              <w:right w:val="single" w:color="auto" w:sz="4" w:space="0"/>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硫化氢</w:t>
            </w:r>
          </w:p>
        </w:tc>
        <w:tc>
          <w:tcPr>
            <w:tcW w:w="1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color w:val="auto"/>
                <w:kern w:val="0"/>
                <w:sz w:val="21"/>
                <w:szCs w:val="21"/>
                <w:u w:val="none"/>
                <w:lang w:val="en-US" w:eastAsia="zh-CN" w:bidi="ar"/>
              </w:rPr>
              <w:t>0.000</w:t>
            </w:r>
            <w:r>
              <w:rPr>
                <w:rFonts w:hint="eastAsia" w:ascii="Times New Roman" w:hAnsi="Times New Roman" w:eastAsia="宋体" w:cs="Times New Roman"/>
                <w:i w:val="0"/>
                <w:color w:val="auto"/>
                <w:kern w:val="0"/>
                <w:sz w:val="21"/>
                <w:szCs w:val="21"/>
                <w:u w:val="none"/>
                <w:lang w:val="en-US" w:eastAsia="zh-CN" w:bidi="ar"/>
              </w:rPr>
              <w:t>7</w:t>
            </w:r>
          </w:p>
        </w:tc>
      </w:tr>
    </w:tbl>
    <w:p>
      <w:pPr>
        <w:pStyle w:val="338"/>
        <w:bidi w:val="0"/>
        <w:spacing w:line="360" w:lineRule="auto"/>
        <w:jc w:val="both"/>
        <w:rPr>
          <w:rFonts w:hint="default"/>
          <w:color w:val="auto"/>
        </w:rPr>
      </w:pPr>
      <w:r>
        <w:rPr>
          <w:rFonts w:hint="eastAsia"/>
          <w:color w:val="auto"/>
          <w:lang w:val="en-US" w:eastAsia="zh-CN"/>
        </w:rPr>
        <w:t>（8）</w:t>
      </w:r>
      <w:r>
        <w:rPr>
          <w:rFonts w:hint="default"/>
          <w:color w:val="auto"/>
        </w:rPr>
        <w:t>大气环境防护距离</w:t>
      </w:r>
    </w:p>
    <w:p>
      <w:pPr>
        <w:spacing w:line="360" w:lineRule="auto"/>
        <w:ind w:firstLine="482"/>
        <w:rPr>
          <w:rFonts w:hint="default" w:ascii="Times New Roman" w:hAnsi="Times New Roman" w:eastAsia="宋体" w:cs="Times New Roman"/>
          <w:color w:val="auto"/>
        </w:rPr>
      </w:pPr>
      <w:r>
        <w:rPr>
          <w:rFonts w:hint="default" w:ascii="Times New Roman" w:hAnsi="Times New Roman" w:eastAsia="宋体" w:cs="Times New Roman"/>
          <w:color w:val="auto"/>
        </w:rPr>
        <w:t>预测结果显示，本项目大气污染物</w:t>
      </w:r>
      <w:r>
        <w:rPr>
          <w:rFonts w:hint="eastAsia" w:ascii="Times New Roman" w:hAnsi="Times New Roman" w:eastAsia="宋体" w:cs="Times New Roman"/>
          <w:color w:val="auto"/>
          <w:lang w:eastAsia="zh-CN"/>
        </w:rPr>
        <w:t>边</w:t>
      </w:r>
      <w:r>
        <w:rPr>
          <w:rFonts w:hint="default" w:ascii="Times New Roman" w:hAnsi="Times New Roman" w:eastAsia="宋体" w:cs="Times New Roman"/>
          <w:color w:val="auto"/>
        </w:rPr>
        <w:t>界外小时浓度贡献值均满足环境质量浓度限值，无超标点，根据《环境影响评价技术导则  大气环境》（HJ2.2-2018）要求，</w:t>
      </w:r>
      <w:r>
        <w:rPr>
          <w:rFonts w:hint="eastAsia" w:ascii="Times New Roman" w:hAnsi="Times New Roman" w:eastAsia="宋体" w:cs="Times New Roman"/>
          <w:color w:val="auto"/>
          <w:lang w:eastAsia="zh-CN"/>
        </w:rPr>
        <w:t>项目</w:t>
      </w:r>
      <w:r>
        <w:rPr>
          <w:rFonts w:hint="default" w:ascii="Times New Roman" w:hAnsi="Times New Roman" w:eastAsia="宋体" w:cs="Times New Roman"/>
          <w:color w:val="auto"/>
        </w:rPr>
        <w:t>无需设置大气环境防护距离。</w:t>
      </w:r>
    </w:p>
    <w:p>
      <w:pPr>
        <w:pStyle w:val="46"/>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left"/>
        <w:textAlignment w:val="auto"/>
        <w:rPr>
          <w:rFonts w:hint="eastAsia" w:ascii="Times New Roman" w:hAnsi="Times New Roman" w:cs="Times New Roman"/>
          <w:b w:val="0"/>
          <w:bCs w:val="0"/>
          <w:color w:val="auto"/>
          <w:sz w:val="24"/>
          <w:szCs w:val="24"/>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cs="Times New Roman"/>
          <w:b w:val="0"/>
          <w:bCs w:val="0"/>
          <w:color w:val="auto"/>
          <w:sz w:val="24"/>
          <w:szCs w:val="24"/>
          <w:lang w:val="en-US" w:eastAsia="zh-CN"/>
        </w:rPr>
        <w:t>（9）</w:t>
      </w:r>
      <w:r>
        <w:rPr>
          <w:rFonts w:hint="eastAsia" w:ascii="Times New Roman" w:hAnsi="Times New Roman" w:cs="Times New Roman"/>
          <w:b w:val="0"/>
          <w:bCs w:val="0"/>
          <w:color w:val="auto"/>
          <w:sz w:val="24"/>
          <w:szCs w:val="24"/>
          <w:lang w:val="en-US" w:eastAsia="zh-CN"/>
        </w:rPr>
        <w:t>大气环境影响自查表</w:t>
      </w:r>
    </w:p>
    <w:p>
      <w:pPr>
        <w:pStyle w:val="46"/>
        <w:keepNext w:val="0"/>
        <w:keepLines w:val="0"/>
        <w:pageBreakBefore w:val="0"/>
        <w:kinsoku/>
        <w:wordWrap/>
        <w:overflowPunct/>
        <w:topLinePunct w:val="0"/>
        <w:autoSpaceDE/>
        <w:autoSpaceDN/>
        <w:bidi w:val="0"/>
        <w:adjustRightInd w:val="0"/>
        <w:snapToGrid w:val="0"/>
        <w:spacing w:after="0" w:line="500" w:lineRule="exact"/>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w:t>
      </w:r>
      <w:r>
        <w:rPr>
          <w:rFonts w:hint="eastAsia" w:cs="Times New Roman"/>
          <w:b/>
          <w:bCs/>
          <w:color w:val="auto"/>
          <w:sz w:val="21"/>
          <w:szCs w:val="21"/>
          <w:lang w:val="en-US" w:eastAsia="zh-CN"/>
        </w:rPr>
        <w:t>6</w:t>
      </w:r>
      <w:r>
        <w:rPr>
          <w:rFonts w:hint="eastAsia" w:ascii="Times New Roman" w:hAnsi="Times New Roman" w:eastAsia="宋体" w:cs="Times New Roman"/>
          <w:b/>
          <w:bCs/>
          <w:color w:val="auto"/>
          <w:sz w:val="21"/>
          <w:szCs w:val="21"/>
          <w:lang w:val="en-US" w:eastAsia="zh-CN"/>
        </w:rPr>
        <w:t>.2-1</w:t>
      </w:r>
      <w:r>
        <w:rPr>
          <w:rFonts w:hint="eastAsia" w:cs="Times New Roman"/>
          <w:b/>
          <w:bCs/>
          <w:color w:val="auto"/>
          <w:sz w:val="21"/>
          <w:szCs w:val="21"/>
          <w:lang w:val="en-US" w:eastAsia="zh-CN"/>
        </w:rPr>
        <w:t>5</w:t>
      </w:r>
      <w:r>
        <w:rPr>
          <w:rFonts w:hint="eastAsia" w:ascii="Times New Roman" w:hAnsi="Times New Roman" w:eastAsia="宋体" w:cs="Times New Roman"/>
          <w:b/>
          <w:bCs/>
          <w:color w:val="auto"/>
          <w:sz w:val="21"/>
          <w:szCs w:val="21"/>
          <w:lang w:val="en-US" w:eastAsia="zh-CN"/>
        </w:rPr>
        <w:t xml:space="preserve">  建设项目大气环境影响自查表</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17"/>
        <w:gridCol w:w="1661"/>
        <w:gridCol w:w="1295"/>
        <w:gridCol w:w="1414"/>
        <w:gridCol w:w="1306"/>
        <w:gridCol w:w="1180"/>
        <w:gridCol w:w="2406"/>
        <w:gridCol w:w="1942"/>
        <w:gridCol w:w="988"/>
        <w:gridCol w:w="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85"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工作内容</w:t>
            </w:r>
          </w:p>
        </w:tc>
        <w:tc>
          <w:tcPr>
            <w:tcW w:w="4114" w:type="pct"/>
            <w:gridSpan w:val="8"/>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评价等级与范围</w:t>
            </w: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评价等级</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一级□</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二级</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三级</w:t>
            </w:r>
            <w:r>
              <w:rPr>
                <w:rFonts w:hint="default" w:ascii="Times New Roman" w:hAnsi="Times New Roman" w:eastAsia="Wingdings 2"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评价范围</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边长=50km□</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边长=5~50km□</w:t>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边长=5km</w:t>
            </w:r>
            <w:r>
              <w:rPr>
                <w:rFonts w:hint="default" w:ascii="Times New Roman" w:hAnsi="Times New Roman" w:eastAsia="Wingdings 2"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评价因子</w:t>
            </w: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SO</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+NOx排放量</w:t>
            </w:r>
          </w:p>
        </w:tc>
        <w:tc>
          <w:tcPr>
            <w:tcW w:w="968"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≥2000t/a□</w:t>
            </w:r>
          </w:p>
        </w:tc>
        <w:tc>
          <w:tcPr>
            <w:tcW w:w="1748"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500~2000t/a□</w:t>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&lt;500t/a</w:t>
            </w:r>
            <w:r>
              <w:rPr>
                <w:rFonts w:hint="default" w:ascii="Times New Roman" w:hAnsi="Times New Roman" w:eastAsia="Wingdings 2"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评价因子</w:t>
            </w: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基本污染物（SO</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、NO</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、PM</w:t>
            </w:r>
            <w:r>
              <w:rPr>
                <w:rFonts w:hint="default" w:ascii="Times New Roman" w:hAnsi="Times New Roman" w:eastAsia="宋体" w:cs="Times New Roman"/>
                <w:i w:val="0"/>
                <w:color w:val="auto"/>
                <w:kern w:val="0"/>
                <w:sz w:val="21"/>
                <w:szCs w:val="21"/>
                <w:u w:val="none"/>
                <w:vertAlign w:val="subscript"/>
                <w:lang w:val="en-US" w:eastAsia="zh-CN" w:bidi="ar"/>
              </w:rPr>
              <w:t>10</w:t>
            </w:r>
            <w:r>
              <w:rPr>
                <w:rFonts w:hint="default" w:ascii="Times New Roman" w:hAnsi="Times New Roman" w:eastAsia="宋体" w:cs="Times New Roman"/>
                <w:i w:val="0"/>
                <w:color w:val="auto"/>
                <w:kern w:val="0"/>
                <w:sz w:val="21"/>
                <w:szCs w:val="21"/>
                <w:u w:val="none"/>
                <w:lang w:val="en-US" w:eastAsia="zh-CN" w:bidi="ar"/>
              </w:rPr>
              <w:t>、PM</w:t>
            </w:r>
            <w:r>
              <w:rPr>
                <w:rFonts w:hint="default" w:ascii="Times New Roman" w:hAnsi="Times New Roman" w:eastAsia="宋体" w:cs="Times New Roman"/>
                <w:i w:val="0"/>
                <w:color w:val="auto"/>
                <w:kern w:val="0"/>
                <w:sz w:val="21"/>
                <w:szCs w:val="21"/>
                <w:u w:val="none"/>
                <w:vertAlign w:val="subscript"/>
                <w:lang w:val="en-US" w:eastAsia="zh-CN" w:bidi="ar"/>
              </w:rPr>
              <w:t>2.5</w:t>
            </w:r>
            <w:r>
              <w:rPr>
                <w:rFonts w:hint="default" w:ascii="Times New Roman" w:hAnsi="Times New Roman" w:eastAsia="宋体" w:cs="Times New Roman"/>
                <w:i w:val="0"/>
                <w:color w:val="auto"/>
                <w:kern w:val="0"/>
                <w:sz w:val="21"/>
                <w:szCs w:val="21"/>
                <w:u w:val="none"/>
                <w:lang w:val="en-US" w:eastAsia="zh-CN" w:bidi="ar"/>
              </w:rPr>
              <w:t>、CO、O</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w:t>
            </w:r>
          </w:p>
        </w:tc>
        <w:tc>
          <w:tcPr>
            <w:tcW w:w="1397" w:type="pct"/>
            <w:gridSpan w:val="3"/>
            <w:noWrap w:val="0"/>
            <w:tcMar>
              <w:top w:w="15" w:type="dxa"/>
              <w:left w:w="15" w:type="dxa"/>
              <w:right w:w="15"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包括二次PM</w:t>
            </w:r>
            <w:r>
              <w:rPr>
                <w:rFonts w:hint="default" w:ascii="Times New Roman" w:hAnsi="Times New Roman" w:eastAsia="宋体" w:cs="Times New Roman"/>
                <w:i w:val="0"/>
                <w:color w:val="auto"/>
                <w:kern w:val="0"/>
                <w:sz w:val="21"/>
                <w:szCs w:val="21"/>
                <w:u w:val="none"/>
                <w:vertAlign w:val="subscript"/>
                <w:lang w:val="en-US" w:eastAsia="zh-CN" w:bidi="ar"/>
              </w:rPr>
              <w:t>2.5</w:t>
            </w: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其他污染物（NH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w:t>
            </w:r>
          </w:p>
        </w:tc>
        <w:tc>
          <w:tcPr>
            <w:tcW w:w="1397" w:type="pct"/>
            <w:gridSpan w:val="3"/>
            <w:noWrap w:val="0"/>
            <w:tcMar>
              <w:top w:w="15" w:type="dxa"/>
              <w:left w:w="15" w:type="dxa"/>
              <w:right w:w="15"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不包括二次PM</w:t>
            </w:r>
            <w:r>
              <w:rPr>
                <w:rFonts w:hint="default" w:ascii="Times New Roman" w:hAnsi="Times New Roman" w:eastAsia="宋体" w:cs="Times New Roman"/>
                <w:i w:val="0"/>
                <w:color w:val="auto"/>
                <w:kern w:val="0"/>
                <w:sz w:val="21"/>
                <w:szCs w:val="21"/>
                <w:u w:val="none"/>
                <w:vertAlign w:val="subscript"/>
                <w:lang w:val="en-US" w:eastAsia="zh-CN" w:bidi="ar"/>
              </w:rPr>
              <w:t>2.5</w:t>
            </w:r>
            <w:r>
              <w:rPr>
                <w:rFonts w:hint="default" w:ascii="Times New Roman" w:hAnsi="Times New Roman" w:eastAsia="Wingdings 2" w:cs="Times New Roman"/>
                <w:i w:val="0"/>
                <w:color w:val="auto"/>
                <w:kern w:val="0"/>
                <w:sz w:val="21"/>
                <w:szCs w:val="21"/>
                <w:u w:val="none"/>
                <w:lang w:val="en-US" w:eastAsia="zh-CN" w:bidi="ar"/>
              </w:rPr>
              <w:t>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评价标准</w:t>
            </w: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评价标准</w:t>
            </w: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国家标准</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1281"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地方标准□</w:t>
            </w:r>
          </w:p>
        </w:tc>
        <w:tc>
          <w:tcPr>
            <w:tcW w:w="694"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附录D</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现状评价</w:t>
            </w: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评价功能区</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一类区□</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二类区</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评价基准年</w:t>
            </w:r>
          </w:p>
        </w:tc>
        <w:tc>
          <w:tcPr>
            <w:tcW w:w="4114" w:type="pct"/>
            <w:gridSpan w:val="8"/>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r>
              <w:rPr>
                <w:rFonts w:hint="default" w:ascii="Times New Roman" w:hAnsi="Times New Roman" w:cs="Times New Roman"/>
                <w:i w:val="0"/>
                <w:color w:val="auto"/>
                <w:kern w:val="0"/>
                <w:sz w:val="21"/>
                <w:szCs w:val="21"/>
                <w:u w:val="none"/>
                <w:lang w:val="en-US" w:eastAsia="zh-CN" w:bidi="ar"/>
              </w:rPr>
              <w:t>2</w:t>
            </w:r>
            <w:r>
              <w:rPr>
                <w:rFonts w:hint="eastAsia" w:cs="Times New Roman"/>
                <w:i w:val="0"/>
                <w:color w:val="auto"/>
                <w:kern w:val="0"/>
                <w:sz w:val="21"/>
                <w:szCs w:val="21"/>
                <w:u w:val="none"/>
                <w:lang w:val="en-US" w:eastAsia="zh-CN" w:bidi="ar"/>
              </w:rPr>
              <w:t>1</w:t>
            </w:r>
            <w:r>
              <w:rPr>
                <w:rFonts w:hint="default" w:ascii="Times New Roman" w:hAnsi="Times New Roman" w:eastAsia="宋体" w:cs="Times New Roman"/>
                <w:i w:val="0"/>
                <w:color w:val="auto"/>
                <w:kern w:val="0"/>
                <w:sz w:val="21"/>
                <w:szCs w:val="21"/>
                <w:u w:val="none"/>
                <w:lang w:val="en-US" w:eastAsia="zh-CN" w:bidi="ar"/>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环境空气质量现状调查数据来源</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长期例行监测数据□</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主管部门发布的数据</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现状补充检测</w:t>
            </w:r>
            <w:r>
              <w:rPr>
                <w:rFonts w:hint="default" w:ascii="Times New Roman" w:hAnsi="Times New Roman" w:eastAsia="宋体"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现状评价</w:t>
            </w: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达标区</w:t>
            </w:r>
            <w:r>
              <w:rPr>
                <w:rFonts w:hint="default" w:ascii="Times New Roman" w:hAnsi="Times New Roman" w:eastAsia="宋体" w:cs="Times New Roman"/>
                <w:i w:val="0"/>
                <w:color w:val="auto"/>
                <w:kern w:val="0"/>
                <w:sz w:val="21"/>
                <w:szCs w:val="21"/>
                <w:u w:val="none"/>
                <w:lang w:val="en-US" w:eastAsia="zh-CN" w:bidi="ar"/>
              </w:rPr>
              <w:sym w:font="Wingdings 2" w:char="0052"/>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不达标区</w:t>
            </w:r>
            <w:r>
              <w:rPr>
                <w:rFonts w:hint="default" w:ascii="Times New Roman" w:hAnsi="Times New Roman" w:eastAsia="Wingdings 2" w:cs="Times New Roman"/>
                <w:i w:val="0"/>
                <w:color w:val="auto"/>
                <w:kern w:val="0"/>
                <w:sz w:val="21"/>
                <w:szCs w:val="21"/>
                <w:u w:val="none"/>
                <w:lang w:val="en-US" w:eastAsia="zh-CN" w:bidi="ar"/>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污染源调查</w:t>
            </w: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调查内容</w:t>
            </w: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本项目正常排放源</w:t>
            </w:r>
            <w:r>
              <w:rPr>
                <w:rFonts w:hint="default" w:ascii="Times New Roman" w:hAnsi="Times New Roman" w:eastAsia="宋体" w:cs="Times New Roman"/>
                <w:i w:val="0"/>
                <w:color w:val="auto"/>
                <w:kern w:val="0"/>
                <w:sz w:val="21"/>
                <w:szCs w:val="21"/>
                <w:u w:val="none"/>
                <w:lang w:val="en-US" w:eastAsia="zh-CN" w:bidi="ar"/>
              </w:rPr>
              <w:sym w:font="Wingdings 2" w:char="0052"/>
            </w:r>
          </w:p>
        </w:tc>
        <w:tc>
          <w:tcPr>
            <w:tcW w:w="1281" w:type="pct"/>
            <w:gridSpan w:val="2"/>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拟替代的污染源</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694"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其他在建、拟建项目污染源□</w:t>
            </w:r>
          </w:p>
        </w:tc>
        <w:tc>
          <w:tcPr>
            <w:tcW w:w="703" w:type="pct"/>
            <w:gridSpan w:val="2"/>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本项目非正常排放源□</w:t>
            </w:r>
          </w:p>
        </w:tc>
        <w:tc>
          <w:tcPr>
            <w:tcW w:w="1281"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694"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03"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现有污染源</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1281"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694"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03"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大气环境影响预测与评价</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预测模型</w:t>
            </w:r>
          </w:p>
        </w:tc>
        <w:tc>
          <w:tcPr>
            <w:tcW w:w="46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AERMOD</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505"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ADMS□</w:t>
            </w:r>
          </w:p>
        </w:tc>
        <w:tc>
          <w:tcPr>
            <w:tcW w:w="888"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AUSTAL2000□</w:t>
            </w:r>
          </w:p>
        </w:tc>
        <w:tc>
          <w:tcPr>
            <w:tcW w:w="860"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EDMS/AEDT□</w:t>
            </w:r>
          </w:p>
        </w:tc>
        <w:tc>
          <w:tcPr>
            <w:tcW w:w="694"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CALPUFF□</w:t>
            </w:r>
          </w:p>
        </w:tc>
        <w:tc>
          <w:tcPr>
            <w:tcW w:w="35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网格模型□</w:t>
            </w:r>
          </w:p>
        </w:tc>
        <w:tc>
          <w:tcPr>
            <w:tcW w:w="349"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其他</w:t>
            </w:r>
            <w:r>
              <w:rPr>
                <w:rFonts w:hint="default" w:ascii="Times New Roman" w:hAnsi="Times New Roman" w:eastAsia="宋体" w:cs="Times New Roman"/>
                <w:i w:val="0"/>
                <w:color w:val="auto"/>
                <w:kern w:val="0"/>
                <w:sz w:val="21"/>
                <w:szCs w:val="21"/>
                <w:u w:val="none"/>
                <w:lang w:val="en-US" w:eastAsia="zh-CN" w:bidi="ar"/>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预测范围</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边长≥50km□</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边长5~50km□</w:t>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边长=5km</w:t>
            </w:r>
            <w:r>
              <w:rPr>
                <w:rFonts w:hint="default" w:ascii="Times New Roman" w:hAnsi="Times New Roman" w:eastAsia="宋体"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预测因子</w:t>
            </w:r>
          </w:p>
        </w:tc>
        <w:tc>
          <w:tcPr>
            <w:tcW w:w="2716" w:type="pct"/>
            <w:gridSpan w:val="5"/>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预测因子（</w:t>
            </w:r>
            <w:r>
              <w:rPr>
                <w:rFonts w:hint="default" w:ascii="Times New Roman" w:hAnsi="Times New Roman" w:cs="Times New Roman"/>
                <w:i w:val="0"/>
                <w:color w:val="auto"/>
                <w:kern w:val="0"/>
                <w:sz w:val="21"/>
                <w:szCs w:val="21"/>
                <w:u w:val="none"/>
                <w:lang w:val="en-US" w:eastAsia="zh-CN" w:bidi="ar"/>
              </w:rPr>
              <w:t>SO</w:t>
            </w:r>
            <w:r>
              <w:rPr>
                <w:rFonts w:hint="default" w:ascii="Times New Roman" w:hAnsi="Times New Roman" w:cs="Times New Roman"/>
                <w:i w:val="0"/>
                <w:color w:val="auto"/>
                <w:kern w:val="0"/>
                <w:sz w:val="21"/>
                <w:szCs w:val="21"/>
                <w:u w:val="none"/>
                <w:vertAlign w:val="subscript"/>
                <w:lang w:val="en-US" w:eastAsia="zh-CN" w:bidi="ar"/>
              </w:rPr>
              <w:t>2</w:t>
            </w:r>
            <w:r>
              <w:rPr>
                <w:rFonts w:hint="default" w:ascii="Times New Roman" w:hAnsi="Times New Roman" w:cs="Times New Roman"/>
                <w:i w:val="0"/>
                <w:color w:val="auto"/>
                <w:kern w:val="0"/>
                <w:sz w:val="21"/>
                <w:szCs w:val="21"/>
                <w:u w:val="none"/>
                <w:lang w:val="en-US" w:eastAsia="zh-CN" w:bidi="ar"/>
              </w:rPr>
              <w:t>、NO</w:t>
            </w:r>
            <w:r>
              <w:rPr>
                <w:rFonts w:hint="default" w:ascii="Times New Roman" w:hAnsi="Times New Roman" w:cs="Times New Roman"/>
                <w:i w:val="0"/>
                <w:color w:val="auto"/>
                <w:kern w:val="0"/>
                <w:sz w:val="21"/>
                <w:szCs w:val="21"/>
                <w:u w:val="none"/>
                <w:vertAlign w:val="subscript"/>
                <w:lang w:val="en-US" w:eastAsia="zh-CN" w:bidi="ar"/>
              </w:rPr>
              <w:t>X</w:t>
            </w:r>
            <w:r>
              <w:rPr>
                <w:rFonts w:hint="default" w:ascii="Times New Roman" w:hAnsi="Times New Roman" w:cs="Times New Roman"/>
                <w:i w:val="0"/>
                <w:color w:val="auto"/>
                <w:kern w:val="0"/>
                <w:sz w:val="21"/>
                <w:szCs w:val="21"/>
                <w:u w:val="none"/>
                <w:lang w:val="en-US" w:eastAsia="zh-CN" w:bidi="ar"/>
              </w:rPr>
              <w:t>、PM</w:t>
            </w:r>
            <w:r>
              <w:rPr>
                <w:rFonts w:hint="default" w:ascii="Times New Roman" w:hAnsi="Times New Roman" w:cs="Times New Roman"/>
                <w:i w:val="0"/>
                <w:color w:val="auto"/>
                <w:kern w:val="0"/>
                <w:sz w:val="21"/>
                <w:szCs w:val="21"/>
                <w:u w:val="none"/>
                <w:vertAlign w:val="subscript"/>
                <w:lang w:val="en-US" w:eastAsia="zh-CN" w:bidi="ar"/>
              </w:rPr>
              <w:t>10</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w:t>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包括二次PM</w:t>
            </w:r>
            <w:r>
              <w:rPr>
                <w:rFonts w:hint="default" w:ascii="Times New Roman" w:hAnsi="Times New Roman" w:eastAsia="宋体" w:cs="Times New Roman"/>
                <w:i w:val="0"/>
                <w:color w:val="auto"/>
                <w:kern w:val="0"/>
                <w:sz w:val="21"/>
                <w:szCs w:val="21"/>
                <w:u w:val="none"/>
                <w:vertAlign w:val="subscript"/>
                <w:lang w:val="en-US" w:eastAsia="zh-CN" w:bidi="ar"/>
              </w:rPr>
              <w:t>2.5</w:t>
            </w: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2716" w:type="pct"/>
            <w:gridSpan w:val="5"/>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不包括二次PM</w:t>
            </w:r>
            <w:r>
              <w:rPr>
                <w:rFonts w:hint="default" w:ascii="Times New Roman" w:hAnsi="Times New Roman" w:eastAsia="宋体" w:cs="Times New Roman"/>
                <w:i w:val="0"/>
                <w:color w:val="auto"/>
                <w:kern w:val="0"/>
                <w:sz w:val="21"/>
                <w:szCs w:val="21"/>
                <w:u w:val="none"/>
                <w:vertAlign w:val="subscript"/>
                <w:lang w:val="en-US" w:eastAsia="zh-CN" w:bidi="ar"/>
              </w:rPr>
              <w:t>2.5</w:t>
            </w:r>
            <w:r>
              <w:rPr>
                <w:rFonts w:hint="default" w:ascii="Times New Roman" w:hAnsi="Times New Roman" w:eastAsia="宋体" w:cs="Times New Roman"/>
                <w:i w:val="0"/>
                <w:color w:val="auto"/>
                <w:kern w:val="0"/>
                <w:sz w:val="21"/>
                <w:szCs w:val="21"/>
                <w:u w:val="none"/>
                <w:lang w:val="en-US" w:eastAsia="zh-CN" w:bidi="ar"/>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正常排放短期浓度贡献值</w:t>
            </w: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C本项目最大占标率≤100%</w:t>
            </w:r>
            <w:r>
              <w:rPr>
                <w:rFonts w:hint="default" w:ascii="Times New Roman" w:hAnsi="Times New Roman" w:eastAsia="宋体" w:cs="Times New Roman"/>
                <w:i w:val="0"/>
                <w:color w:val="auto"/>
                <w:kern w:val="0"/>
                <w:sz w:val="21"/>
                <w:szCs w:val="21"/>
                <w:u w:val="none"/>
                <w:lang w:val="en-US" w:eastAsia="zh-CN" w:bidi="ar"/>
              </w:rPr>
              <w:sym w:font="Wingdings 2" w:char="0052"/>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C本项目最大占标率&gt;100%□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正常排放年均浓度贡献值</w:t>
            </w:r>
          </w:p>
        </w:tc>
        <w:tc>
          <w:tcPr>
            <w:tcW w:w="968"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一类区</w:t>
            </w:r>
          </w:p>
        </w:tc>
        <w:tc>
          <w:tcPr>
            <w:tcW w:w="1748"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本项目</w:t>
            </w:r>
            <w:r>
              <w:rPr>
                <w:rFonts w:hint="default" w:ascii="Times New Roman" w:hAnsi="Times New Roman" w:eastAsia="宋体" w:cs="Times New Roman"/>
                <w:i w:val="0"/>
                <w:color w:val="auto"/>
                <w:kern w:val="0"/>
                <w:sz w:val="21"/>
                <w:szCs w:val="21"/>
                <w:u w:val="none"/>
                <w:lang w:val="en-US" w:eastAsia="zh-CN" w:bidi="ar"/>
              </w:rPr>
              <w:t>最大占标率≤10%□</w:t>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本项目</w:t>
            </w:r>
            <w:r>
              <w:rPr>
                <w:rFonts w:hint="default" w:ascii="Times New Roman" w:hAnsi="Times New Roman" w:eastAsia="宋体" w:cs="Times New Roman"/>
                <w:i w:val="0"/>
                <w:color w:val="auto"/>
                <w:kern w:val="0"/>
                <w:sz w:val="21"/>
                <w:szCs w:val="21"/>
                <w:u w:val="none"/>
                <w:lang w:val="en-US" w:eastAsia="zh-CN" w:bidi="ar"/>
              </w:rPr>
              <w:t>最大占标率&gt;10%□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968"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二类区</w:t>
            </w:r>
          </w:p>
        </w:tc>
        <w:tc>
          <w:tcPr>
            <w:tcW w:w="1748"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本项目</w:t>
            </w:r>
            <w:r>
              <w:rPr>
                <w:rFonts w:hint="default" w:ascii="Times New Roman" w:hAnsi="Times New Roman" w:eastAsia="宋体" w:cs="Times New Roman"/>
                <w:i w:val="0"/>
                <w:color w:val="auto"/>
                <w:kern w:val="0"/>
                <w:sz w:val="21"/>
                <w:szCs w:val="21"/>
                <w:u w:val="none"/>
                <w:lang w:val="en-US" w:eastAsia="zh-CN" w:bidi="ar"/>
              </w:rPr>
              <w:t>最大占标率≤30%</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本项目</w:t>
            </w:r>
            <w:r>
              <w:rPr>
                <w:rFonts w:hint="default" w:ascii="Times New Roman" w:hAnsi="Times New Roman" w:eastAsia="宋体" w:cs="Times New Roman"/>
                <w:i w:val="0"/>
                <w:color w:val="auto"/>
                <w:kern w:val="0"/>
                <w:sz w:val="21"/>
                <w:szCs w:val="21"/>
                <w:u w:val="none"/>
                <w:lang w:val="en-US" w:eastAsia="zh-CN" w:bidi="ar"/>
              </w:rPr>
              <w:t>最大占标率&gt;30%□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非正常1h浓度贡献值</w:t>
            </w: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非正常持续时长</w:t>
            </w:r>
          </w:p>
        </w:tc>
        <w:tc>
          <w:tcPr>
            <w:tcW w:w="1975" w:type="pct"/>
            <w:gridSpan w:val="3"/>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非正常</w:t>
            </w:r>
            <w:r>
              <w:rPr>
                <w:rFonts w:hint="default" w:ascii="Times New Roman" w:hAnsi="Times New Roman" w:eastAsia="宋体" w:cs="Times New Roman"/>
                <w:i w:val="0"/>
                <w:color w:val="auto"/>
                <w:kern w:val="0"/>
                <w:sz w:val="21"/>
                <w:szCs w:val="21"/>
                <w:u w:val="none"/>
                <w:lang w:val="en-US" w:eastAsia="zh-CN" w:bidi="ar"/>
              </w:rPr>
              <w:t>占标率≤100%□</w:t>
            </w:r>
          </w:p>
        </w:tc>
        <w:tc>
          <w:tcPr>
            <w:tcW w:w="703" w:type="pct"/>
            <w:gridSpan w:val="2"/>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w:t>
            </w:r>
            <w:r>
              <w:rPr>
                <w:rFonts w:hint="default" w:ascii="Times New Roman" w:hAnsi="Times New Roman" w:eastAsia="宋体" w:cs="Times New Roman"/>
                <w:i w:val="0"/>
                <w:color w:val="auto"/>
                <w:kern w:val="0"/>
                <w:sz w:val="21"/>
                <w:szCs w:val="21"/>
                <w:u w:val="none"/>
                <w:vertAlign w:val="subscript"/>
                <w:lang w:val="en-US" w:eastAsia="zh-CN" w:bidi="ar"/>
              </w:rPr>
              <w:t>非正常</w:t>
            </w:r>
            <w:r>
              <w:rPr>
                <w:rFonts w:hint="default" w:ascii="Times New Roman" w:hAnsi="Times New Roman" w:eastAsia="宋体" w:cs="Times New Roman"/>
                <w:i w:val="0"/>
                <w:color w:val="auto"/>
                <w:kern w:val="0"/>
                <w:sz w:val="21"/>
                <w:szCs w:val="21"/>
                <w:u w:val="none"/>
                <w:lang w:val="en-US" w:eastAsia="zh-CN" w:bidi="ar"/>
              </w:rPr>
              <w:t>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（）h</w:t>
            </w:r>
          </w:p>
        </w:tc>
        <w:tc>
          <w:tcPr>
            <w:tcW w:w="1975" w:type="pct"/>
            <w:gridSpan w:val="3"/>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03"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保证率日平均浓度和年平均浓度叠加值</w:t>
            </w: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C叠加达标</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C叠加不达标□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区域环境质量的整体变化情况</w:t>
            </w:r>
          </w:p>
        </w:tc>
        <w:tc>
          <w:tcPr>
            <w:tcW w:w="2716" w:type="pct"/>
            <w:gridSpan w:val="5"/>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k≤-20%</w:t>
            </w:r>
            <w:r>
              <w:rPr>
                <w:rFonts w:hint="default" w:ascii="Times New Roman" w:hAnsi="Times New Roman" w:eastAsia="宋体" w:cs="Times New Roman"/>
                <w:i w:val="0"/>
                <w:color w:val="auto"/>
                <w:kern w:val="0"/>
                <w:sz w:val="21"/>
                <w:szCs w:val="21"/>
                <w:u w:val="none"/>
                <w:lang w:val="en-US" w:eastAsia="zh-CN" w:bidi="ar"/>
              </w:rPr>
              <w:sym w:font="Wingdings 2" w:char="00A3"/>
            </w:r>
          </w:p>
        </w:tc>
        <w:tc>
          <w:tcPr>
            <w:tcW w:w="1397"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k&gt;-20%□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环境监测计划</w:t>
            </w:r>
          </w:p>
        </w:tc>
        <w:tc>
          <w:tcPr>
            <w:tcW w:w="593"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污染源监测</w:t>
            </w:r>
          </w:p>
        </w:tc>
        <w:tc>
          <w:tcPr>
            <w:tcW w:w="1856" w:type="pct"/>
            <w:gridSpan w:val="4"/>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监测因子：（</w:t>
            </w:r>
            <w:r>
              <w:rPr>
                <w:rFonts w:hint="default" w:ascii="Times New Roman" w:hAnsi="Times New Roman" w:cs="Times New Roman"/>
                <w:i w:val="0"/>
                <w:color w:val="auto"/>
                <w:kern w:val="0"/>
                <w:sz w:val="21"/>
                <w:szCs w:val="21"/>
                <w:u w:val="none"/>
                <w:lang w:val="en-US" w:eastAsia="zh-CN" w:bidi="ar"/>
              </w:rPr>
              <w:t>SO</w:t>
            </w:r>
            <w:r>
              <w:rPr>
                <w:rFonts w:hint="default" w:ascii="Times New Roman" w:hAnsi="Times New Roman" w:cs="Times New Roman"/>
                <w:i w:val="0"/>
                <w:color w:val="auto"/>
                <w:kern w:val="0"/>
                <w:sz w:val="21"/>
                <w:szCs w:val="21"/>
                <w:u w:val="none"/>
                <w:vertAlign w:val="subscript"/>
                <w:lang w:val="en-US" w:eastAsia="zh-CN" w:bidi="ar"/>
              </w:rPr>
              <w:t>2</w:t>
            </w:r>
            <w:r>
              <w:rPr>
                <w:rFonts w:hint="default" w:ascii="Times New Roman" w:hAnsi="Times New Roman" w:cs="Times New Roman"/>
                <w:i w:val="0"/>
                <w:color w:val="auto"/>
                <w:kern w:val="0"/>
                <w:sz w:val="21"/>
                <w:szCs w:val="21"/>
                <w:u w:val="none"/>
                <w:lang w:val="en-US" w:eastAsia="zh-CN" w:bidi="ar"/>
              </w:rPr>
              <w:t>、NO</w:t>
            </w:r>
            <w:r>
              <w:rPr>
                <w:rFonts w:hint="default" w:ascii="Times New Roman" w:hAnsi="Times New Roman" w:cs="Times New Roman"/>
                <w:i w:val="0"/>
                <w:color w:val="auto"/>
                <w:kern w:val="0"/>
                <w:sz w:val="21"/>
                <w:szCs w:val="21"/>
                <w:u w:val="none"/>
                <w:vertAlign w:val="subscript"/>
                <w:lang w:val="en-US" w:eastAsia="zh-CN" w:bidi="ar"/>
              </w:rPr>
              <w:t>X</w:t>
            </w:r>
            <w:r>
              <w:rPr>
                <w:rFonts w:hint="default" w:ascii="Times New Roman" w:hAnsi="Times New Roman" w:cs="Times New Roman"/>
                <w:i w:val="0"/>
                <w:color w:val="auto"/>
                <w:kern w:val="0"/>
                <w:sz w:val="21"/>
                <w:szCs w:val="21"/>
                <w:u w:val="none"/>
                <w:lang w:val="en-US" w:eastAsia="zh-CN" w:bidi="ar"/>
              </w:rPr>
              <w:t>、PM</w:t>
            </w:r>
            <w:r>
              <w:rPr>
                <w:rFonts w:hint="default" w:ascii="Times New Roman" w:hAnsi="Times New Roman" w:cs="Times New Roman"/>
                <w:i w:val="0"/>
                <w:color w:val="auto"/>
                <w:kern w:val="0"/>
                <w:sz w:val="21"/>
                <w:szCs w:val="21"/>
                <w:u w:val="none"/>
                <w:vertAlign w:val="subscript"/>
                <w:lang w:val="en-US" w:eastAsia="zh-CN" w:bidi="ar"/>
              </w:rPr>
              <w:t>10</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有组织废气监测</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703" w:type="pct"/>
            <w:gridSpan w:val="2"/>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856" w:type="pct"/>
            <w:gridSpan w:val="4"/>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无组织废气监测</w:t>
            </w:r>
            <w:r>
              <w:rPr>
                <w:rFonts w:hint="default" w:ascii="Times New Roman" w:hAnsi="Times New Roman" w:eastAsia="Wingdings 2" w:cs="Times New Roman"/>
                <w:i w:val="0"/>
                <w:color w:val="auto"/>
                <w:kern w:val="0"/>
                <w:sz w:val="21"/>
                <w:szCs w:val="21"/>
                <w:u w:val="none"/>
                <w:lang w:val="en-US" w:eastAsia="zh-CN" w:bidi="ar"/>
              </w:rPr>
              <w:sym w:font="Wingdings 2" w:char="0052"/>
            </w:r>
          </w:p>
        </w:tc>
        <w:tc>
          <w:tcPr>
            <w:tcW w:w="703" w:type="pct"/>
            <w:gridSpan w:val="2"/>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环境质量监测</w:t>
            </w:r>
          </w:p>
        </w:tc>
        <w:tc>
          <w:tcPr>
            <w:tcW w:w="1856" w:type="pct"/>
            <w:gridSpan w:val="4"/>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监测因子：（   ）</w:t>
            </w:r>
          </w:p>
        </w:tc>
        <w:tc>
          <w:tcPr>
            <w:tcW w:w="1554"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监测点位数（  ）</w:t>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无监测</w:t>
            </w:r>
            <w:r>
              <w:rPr>
                <w:rFonts w:hint="default" w:ascii="Times New Roman" w:hAnsi="Times New Roman" w:eastAsia="宋体" w:cs="Times New Roman"/>
                <w:i w:val="0"/>
                <w:color w:val="auto"/>
                <w:kern w:val="0"/>
                <w:sz w:val="21"/>
                <w:szCs w:val="21"/>
                <w:u w:val="none"/>
                <w:lang w:val="en-US" w:eastAsia="zh-CN" w:bidi="a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restar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评价结论</w:t>
            </w: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环境影响</w:t>
            </w:r>
          </w:p>
        </w:tc>
        <w:tc>
          <w:tcPr>
            <w:tcW w:w="4114" w:type="pct"/>
            <w:gridSpan w:val="8"/>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可以接受 </w:t>
            </w:r>
            <w:r>
              <w:rPr>
                <w:rFonts w:hint="default" w:ascii="Times New Roman" w:hAnsi="Times New Roman" w:eastAsia="宋体" w:cs="Times New Roman"/>
                <w:i w:val="0"/>
                <w:color w:val="auto"/>
                <w:kern w:val="0"/>
                <w:sz w:val="21"/>
                <w:szCs w:val="21"/>
                <w:u w:val="none"/>
                <w:lang w:val="en-US" w:eastAsia="zh-CN" w:bidi="ar"/>
              </w:rPr>
              <w:sym w:font="Wingdings 2" w:char="0052"/>
            </w:r>
            <w:r>
              <w:rPr>
                <w:rFonts w:hint="default" w:ascii="Times New Roman" w:hAnsi="Times New Roman" w:eastAsia="宋体" w:cs="Times New Roman"/>
                <w:i w:val="0"/>
                <w:color w:val="auto"/>
                <w:kern w:val="0"/>
                <w:sz w:val="21"/>
                <w:szCs w:val="21"/>
                <w:u w:val="none"/>
                <w:lang w:val="en-US" w:eastAsia="zh-CN" w:bidi="ar"/>
              </w:rPr>
              <w:t xml:space="preserve">            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大气环境防护距离</w:t>
            </w:r>
          </w:p>
        </w:tc>
        <w:tc>
          <w:tcPr>
            <w:tcW w:w="4114" w:type="pct"/>
            <w:gridSpan w:val="8"/>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距（    )厂界最远（  </w:t>
            </w:r>
            <w:r>
              <w:rPr>
                <w:rFonts w:hint="eastAsia" w:ascii="Times New Roman" w:hAnsi="Times New Roman" w:cs="Times New Roman"/>
                <w:i w:val="0"/>
                <w:color w:val="auto"/>
                <w:kern w:val="0"/>
                <w:sz w:val="21"/>
                <w:szCs w:val="21"/>
                <w:u w:val="none"/>
                <w:lang w:val="en-US" w:eastAsia="zh-CN" w:bidi="ar"/>
              </w:rPr>
              <w:t>0</w:t>
            </w:r>
            <w:r>
              <w:rPr>
                <w:rFonts w:hint="default" w:ascii="Times New Roman" w:hAnsi="Times New Roman" w:eastAsia="宋体" w:cs="Times New Roman"/>
                <w:i w:val="0"/>
                <w:color w:val="auto"/>
                <w:kern w:val="0"/>
                <w:sz w:val="21"/>
                <w:szCs w:val="21"/>
                <w:u w:val="none"/>
                <w:lang w:val="en-US" w:eastAsia="zh-CN" w:bidi="ar"/>
              </w:rPr>
              <w:t xml:space="preserve">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2" w:type="pct"/>
            <w:vMerge w:val="continue"/>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593"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污染源年排放量</w:t>
            </w:r>
          </w:p>
        </w:tc>
        <w:tc>
          <w:tcPr>
            <w:tcW w:w="1435" w:type="pct"/>
            <w:gridSpan w:val="3"/>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SO</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cs="Times New Roman"/>
                <w:i w:val="0"/>
                <w:color w:val="auto"/>
                <w:kern w:val="0"/>
                <w:sz w:val="21"/>
                <w:szCs w:val="21"/>
                <w:u w:val="none"/>
                <w:lang w:val="en-US" w:eastAsia="zh-CN" w:bidi="ar"/>
              </w:rPr>
              <w:t>0.8)</w:t>
            </w:r>
            <w:r>
              <w:rPr>
                <w:rFonts w:hint="default" w:ascii="Times New Roman" w:hAnsi="Times New Roman" w:eastAsia="宋体" w:cs="Times New Roman"/>
                <w:i w:val="0"/>
                <w:color w:val="auto"/>
                <w:kern w:val="0"/>
                <w:sz w:val="21"/>
                <w:szCs w:val="21"/>
                <w:u w:val="none"/>
                <w:lang w:val="en-US" w:eastAsia="zh-CN" w:bidi="ar"/>
              </w:rPr>
              <w:t>t/a</w:t>
            </w:r>
          </w:p>
        </w:tc>
        <w:tc>
          <w:tcPr>
            <w:tcW w:w="1281"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NOx:(</w:t>
            </w:r>
            <w:r>
              <w:rPr>
                <w:rFonts w:hint="eastAsia" w:ascii="Times New Roman" w:hAnsi="Times New Roman" w:cs="Times New Roman"/>
                <w:i w:val="0"/>
                <w:color w:val="auto"/>
                <w:kern w:val="0"/>
                <w:sz w:val="21"/>
                <w:szCs w:val="21"/>
                <w:u w:val="none"/>
                <w:lang w:val="en-US" w:eastAsia="zh-CN" w:bidi="ar"/>
              </w:rPr>
              <w:t>2.788</w:t>
            </w:r>
            <w:r>
              <w:rPr>
                <w:rFonts w:hint="default" w:ascii="Times New Roman" w:hAnsi="Times New Roman" w:eastAsia="宋体" w:cs="Times New Roman"/>
                <w:i w:val="0"/>
                <w:color w:val="auto"/>
                <w:kern w:val="0"/>
                <w:sz w:val="21"/>
                <w:szCs w:val="21"/>
                <w:u w:val="none"/>
                <w:lang w:val="en-US" w:eastAsia="zh-CN" w:bidi="ar"/>
              </w:rPr>
              <w:t>)t/a</w:t>
            </w:r>
          </w:p>
        </w:tc>
        <w:tc>
          <w:tcPr>
            <w:tcW w:w="694"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颗粒物:</w:t>
            </w:r>
            <w:r>
              <w:rPr>
                <w:rFonts w:hint="default" w:ascii="Times New Roman" w:hAnsi="Times New Roman" w:cs="Times New Roman"/>
                <w:i w:val="0"/>
                <w:color w:val="auto"/>
                <w:kern w:val="0"/>
                <w:sz w:val="21"/>
                <w:szCs w:val="21"/>
                <w:u w:val="none"/>
                <w:lang w:val="en-US" w:eastAsia="zh-CN" w:bidi="ar"/>
              </w:rPr>
              <w:t>（</w:t>
            </w:r>
            <w:r>
              <w:rPr>
                <w:rFonts w:hint="eastAsia" w:ascii="Times New Roman" w:hAnsi="Times New Roman" w:cs="Times New Roman"/>
                <w:i w:val="0"/>
                <w:color w:val="auto"/>
                <w:kern w:val="0"/>
                <w:sz w:val="21"/>
                <w:szCs w:val="21"/>
                <w:u w:val="none"/>
                <w:lang w:val="en-US" w:eastAsia="zh-CN" w:bidi="ar"/>
              </w:rPr>
              <w:t>1.144</w:t>
            </w:r>
            <w:r>
              <w:rPr>
                <w:rFonts w:hint="default" w:ascii="Times New Roman" w:hAnsi="Times New Roman" w:eastAsia="宋体" w:cs="Times New Roman"/>
                <w:i w:val="0"/>
                <w:color w:val="auto"/>
                <w:kern w:val="0"/>
                <w:sz w:val="21"/>
                <w:szCs w:val="21"/>
                <w:u w:val="none"/>
                <w:lang w:val="en-US" w:eastAsia="zh-CN" w:bidi="ar"/>
              </w:rPr>
              <w:t>)t/a</w:t>
            </w:r>
          </w:p>
        </w:tc>
        <w:tc>
          <w:tcPr>
            <w:tcW w:w="703" w:type="pct"/>
            <w:gridSpan w:val="2"/>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VOCs:(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000" w:type="pct"/>
            <w:gridSpan w:val="10"/>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注：</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，填</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  ）</w:t>
            </w:r>
            <w:r>
              <w:rPr>
                <w:rFonts w:hint="default" w:ascii="Times New Roman" w:hAnsi="Times New Roman"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为内容填写项</w:t>
            </w:r>
          </w:p>
        </w:tc>
      </w:tr>
    </w:tbl>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color w:val="auto"/>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eastAsia"/>
          <w:color w:val="auto"/>
        </w:rPr>
      </w:pPr>
      <w:r>
        <w:rPr>
          <w:rFonts w:hint="eastAsia"/>
          <w:color w:val="auto"/>
          <w:lang w:val="en-US" w:eastAsia="zh-CN"/>
        </w:rPr>
        <w:t>5.2.2</w:t>
      </w:r>
      <w:r>
        <w:rPr>
          <w:rFonts w:hint="eastAsia"/>
          <w:color w:val="auto"/>
        </w:rPr>
        <w:t>水环境影响评价</w:t>
      </w:r>
    </w:p>
    <w:p>
      <w:pPr>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eastAsia"/>
          <w:color w:val="auto"/>
          <w:highlight w:val="none"/>
        </w:rPr>
      </w:pPr>
      <w:r>
        <w:rPr>
          <w:color w:val="auto"/>
          <w:sz w:val="24"/>
          <w:highlight w:val="none"/>
        </w:rPr>
        <w:t>项目排水采用雨、污分流制，</w:t>
      </w:r>
      <w:r>
        <w:rPr>
          <w:rFonts w:hint="eastAsia"/>
          <w:color w:val="auto"/>
          <w:sz w:val="24"/>
          <w:highlight w:val="none"/>
          <w:lang w:val="en-US" w:eastAsia="zh-CN"/>
        </w:rPr>
        <w:t>雨水</w:t>
      </w:r>
      <w:r>
        <w:rPr>
          <w:rFonts w:hint="eastAsia"/>
          <w:color w:val="auto"/>
          <w:sz w:val="24"/>
          <w:highlight w:val="none"/>
        </w:rPr>
        <w:t>就近排入市政雨水管网</w:t>
      </w:r>
      <w:r>
        <w:rPr>
          <w:rFonts w:hint="eastAsia" w:cs="宋体"/>
          <w:color w:val="auto"/>
          <w:sz w:val="24"/>
          <w:highlight w:val="none"/>
          <w:lang w:eastAsia="zh-CN"/>
        </w:rPr>
        <w:t>；</w:t>
      </w:r>
      <w:r>
        <w:rPr>
          <w:rFonts w:hint="eastAsia"/>
          <w:color w:val="auto"/>
          <w:sz w:val="24"/>
          <w:lang w:val="en-US" w:eastAsia="zh-CN"/>
        </w:rPr>
        <w:t>本项目不产生特殊性废水</w:t>
      </w:r>
      <w:r>
        <w:rPr>
          <w:rFonts w:hint="eastAsia" w:cs="Times New Roman"/>
          <w:b w:val="0"/>
          <w:bCs w:val="0"/>
          <w:color w:val="auto"/>
          <w:highlight w:val="none"/>
          <w:lang w:eastAsia="zh-CN"/>
        </w:rPr>
        <w:t>，</w:t>
      </w:r>
      <w:r>
        <w:rPr>
          <w:rFonts w:hint="eastAsia"/>
          <w:color w:val="auto"/>
          <w:sz w:val="24"/>
          <w:lang w:val="en-US" w:eastAsia="zh-CN"/>
        </w:rPr>
        <w:t>感染楼废水经预消毒处理后与其他废水一同排入院区污水处理站进一步处理，污水处理站废水经处理达</w:t>
      </w:r>
      <w:r>
        <w:rPr>
          <w:color w:val="auto"/>
          <w:sz w:val="24"/>
        </w:rPr>
        <w:t>《医疗机构水污染物排放标准》GB18466-2005表</w:t>
      </w:r>
      <w:r>
        <w:rPr>
          <w:rFonts w:hint="eastAsia"/>
          <w:color w:val="auto"/>
          <w:sz w:val="24"/>
          <w:lang w:val="en-US" w:eastAsia="zh-CN"/>
        </w:rPr>
        <w:t>2</w:t>
      </w:r>
      <w:r>
        <w:rPr>
          <w:color w:val="auto"/>
          <w:sz w:val="24"/>
        </w:rPr>
        <w:t>中</w:t>
      </w:r>
      <w:r>
        <w:rPr>
          <w:rFonts w:hint="eastAsia"/>
          <w:color w:val="auto"/>
          <w:sz w:val="24"/>
        </w:rPr>
        <w:t>预处理</w:t>
      </w:r>
      <w:r>
        <w:rPr>
          <w:color w:val="auto"/>
          <w:sz w:val="24"/>
        </w:rPr>
        <w:t>标准</w:t>
      </w:r>
      <w:r>
        <w:rPr>
          <w:rFonts w:hint="eastAsia"/>
          <w:color w:val="auto"/>
          <w:sz w:val="24"/>
          <w:lang w:eastAsia="zh-CN"/>
        </w:rPr>
        <w:t>及十五里河污水处理厂接管标准</w:t>
      </w:r>
      <w:r>
        <w:rPr>
          <w:color w:val="auto"/>
          <w:sz w:val="24"/>
        </w:rPr>
        <w:t>后</w:t>
      </w:r>
      <w:r>
        <w:rPr>
          <w:rFonts w:hint="eastAsia"/>
          <w:color w:val="auto"/>
          <w:sz w:val="24"/>
          <w:lang w:val="en-US" w:eastAsia="zh-CN"/>
        </w:rPr>
        <w:t>通过医院总排口排出</w:t>
      </w:r>
      <w:r>
        <w:rPr>
          <w:rFonts w:hint="eastAsia" w:cs="宋体"/>
          <w:color w:val="auto"/>
          <w:sz w:val="24"/>
          <w:lang w:val="en-US" w:eastAsia="zh-CN"/>
        </w:rPr>
        <w:t>。</w:t>
      </w:r>
      <w:r>
        <w:rPr>
          <w:rFonts w:hint="eastAsia"/>
          <w:color w:val="auto"/>
          <w:sz w:val="24"/>
          <w:lang w:val="en-US" w:eastAsia="zh-CN"/>
        </w:rPr>
        <w:t>总排口安装在线监测。</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eastAsia"/>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）评价等级判定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hAnsi="宋体"/>
          <w:color w:val="auto"/>
        </w:rPr>
      </w:pPr>
      <w:r>
        <w:rPr>
          <w:rFonts w:hint="eastAsia" w:hAnsi="宋体"/>
          <w:color w:val="auto"/>
        </w:rPr>
        <w:t>依据《环境影响评价技术导则</w:t>
      </w:r>
      <w:r>
        <w:rPr>
          <w:rFonts w:hint="eastAsia" w:hAnsi="宋体" w:eastAsia="宋体"/>
          <w:color w:val="auto"/>
          <w:lang w:val="en-US" w:eastAsia="zh-CN"/>
        </w:rPr>
        <w:t xml:space="preserve"> </w:t>
      </w:r>
      <w:r>
        <w:rPr>
          <w:rFonts w:hint="eastAsia" w:hAnsi="宋体"/>
          <w:color w:val="auto"/>
        </w:rPr>
        <w:t>地表水环境》（HJ2.3-2018）水污染影响型建设项目评价等级判定</w:t>
      </w:r>
      <w:r>
        <w:rPr>
          <w:rFonts w:hint="eastAsia" w:hAnsi="宋体" w:eastAsia="宋体"/>
          <w:color w:val="auto"/>
          <w:lang w:val="en-US" w:eastAsia="zh-CN"/>
        </w:rPr>
        <w:t>如下表所示。</w:t>
      </w:r>
    </w:p>
    <w:p>
      <w:pPr>
        <w:keepNext w:val="0"/>
        <w:keepLines w:val="0"/>
        <w:pageBreakBefore w:val="0"/>
        <w:widowControl w:val="0"/>
        <w:tabs>
          <w:tab w:val="left" w:pos="4379"/>
        </w:tabs>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rPr>
        <w:t>表</w:t>
      </w:r>
      <w:r>
        <w:rPr>
          <w:rFonts w:hint="eastAsia" w:cs="Times New Roman"/>
          <w:b/>
          <w:bCs/>
          <w:color w:val="auto"/>
          <w:kern w:val="2"/>
          <w:sz w:val="21"/>
          <w:szCs w:val="21"/>
          <w:lang w:val="en-US" w:eastAsia="zh-CN"/>
        </w:rPr>
        <w:t>6</w:t>
      </w:r>
      <w:r>
        <w:rPr>
          <w:rFonts w:hint="default" w:ascii="Times New Roman" w:hAnsi="Times New Roman" w:eastAsia="宋体" w:cs="Times New Roman"/>
          <w:b/>
          <w:bCs/>
          <w:color w:val="auto"/>
          <w:kern w:val="2"/>
          <w:sz w:val="21"/>
          <w:szCs w:val="21"/>
          <w:lang w:val="en-US" w:eastAsia="zh-CN"/>
        </w:rPr>
        <w:t>.2</w:t>
      </w:r>
      <w:r>
        <w:rPr>
          <w:rFonts w:hint="eastAsia" w:ascii="Times New Roman" w:hAnsi="Times New Roman" w:eastAsia="宋体" w:cs="Times New Roman"/>
          <w:b/>
          <w:bCs/>
          <w:color w:val="auto"/>
          <w:kern w:val="2"/>
          <w:sz w:val="21"/>
          <w:szCs w:val="21"/>
          <w:lang w:val="en-US" w:eastAsia="zh-CN"/>
        </w:rPr>
        <w:t>-1</w:t>
      </w:r>
      <w:r>
        <w:rPr>
          <w:rFonts w:hint="eastAsia" w:cs="Times New Roman"/>
          <w:b/>
          <w:bCs/>
          <w:color w:val="auto"/>
          <w:kern w:val="2"/>
          <w:sz w:val="21"/>
          <w:szCs w:val="21"/>
          <w:lang w:val="en-US" w:eastAsia="zh-CN"/>
        </w:rPr>
        <w:t xml:space="preserve">6 </w:t>
      </w:r>
      <w:r>
        <w:rPr>
          <w:rFonts w:hint="default" w:ascii="Times New Roman" w:hAnsi="Times New Roman" w:eastAsia="宋体" w:cs="Times New Roman"/>
          <w:b/>
          <w:bCs/>
          <w:color w:val="auto"/>
          <w:kern w:val="2"/>
          <w:sz w:val="21"/>
          <w:szCs w:val="21"/>
          <w:lang w:val="en-US" w:eastAsia="zh-CN"/>
        </w:rPr>
        <w:t xml:space="preserve"> </w:t>
      </w:r>
      <w:r>
        <w:rPr>
          <w:rFonts w:hint="default" w:ascii="Times New Roman" w:hAnsi="Times New Roman" w:eastAsia="宋体" w:cs="Times New Roman"/>
          <w:b/>
          <w:bCs/>
          <w:color w:val="auto"/>
          <w:kern w:val="2"/>
          <w:sz w:val="21"/>
          <w:szCs w:val="21"/>
        </w:rPr>
        <w:t>水污染影响型建设项目评价等级判定</w:t>
      </w:r>
    </w:p>
    <w:tbl>
      <w:tblPr>
        <w:tblStyle w:val="48"/>
        <w:tblW w:w="0" w:type="auto"/>
        <w:tblInd w:w="0" w:type="dxa"/>
        <w:tblLayout w:type="fixed"/>
        <w:tblCellMar>
          <w:top w:w="0" w:type="dxa"/>
          <w:left w:w="0" w:type="dxa"/>
          <w:bottom w:w="0" w:type="dxa"/>
          <w:right w:w="0" w:type="dxa"/>
        </w:tblCellMar>
      </w:tblPr>
      <w:tblGrid>
        <w:gridCol w:w="2496"/>
        <w:gridCol w:w="2774"/>
        <w:gridCol w:w="3072"/>
      </w:tblGrid>
      <w:tr>
        <w:tblPrEx>
          <w:tblCellMar>
            <w:top w:w="0" w:type="dxa"/>
            <w:left w:w="0" w:type="dxa"/>
            <w:bottom w:w="0" w:type="dxa"/>
            <w:right w:w="0" w:type="dxa"/>
          </w:tblCellMar>
        </w:tblPrEx>
        <w:trPr>
          <w:trHeight w:val="397" w:hRule="atLeast"/>
        </w:trPr>
        <w:tc>
          <w:tcPr>
            <w:tcW w:w="2496"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评价等级</w:t>
            </w:r>
          </w:p>
        </w:tc>
        <w:tc>
          <w:tcPr>
            <w:tcW w:w="5846" w:type="dxa"/>
            <w:gridSpan w:val="2"/>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判定依据</w:t>
            </w:r>
          </w:p>
        </w:tc>
      </w:tr>
      <w:tr>
        <w:tblPrEx>
          <w:tblCellMar>
            <w:top w:w="0" w:type="dxa"/>
            <w:left w:w="0" w:type="dxa"/>
            <w:bottom w:w="0" w:type="dxa"/>
            <w:right w:w="0" w:type="dxa"/>
          </w:tblCellMar>
        </w:tblPrEx>
        <w:trPr>
          <w:trHeight w:val="397" w:hRule="atLeast"/>
        </w:trPr>
        <w:tc>
          <w:tcPr>
            <w:tcW w:w="249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277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排放方式</w:t>
            </w: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废水排放量</w:t>
            </w:r>
            <w:r>
              <w:rPr>
                <w:rFonts w:hint="default" w:ascii="Times New Roman" w:hAnsi="Times New Roman" w:eastAsia="宋体" w:cs="Times New Roman"/>
                <w:i/>
                <w:color w:val="auto"/>
                <w:kern w:val="0"/>
                <w:sz w:val="21"/>
                <w:szCs w:val="21"/>
                <w:u w:val="none"/>
                <w:lang w:val="en-US" w:eastAsia="zh-CN" w:bidi="ar"/>
              </w:rPr>
              <w:t>Q</w:t>
            </w: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/d）;</w:t>
            </w:r>
          </w:p>
        </w:tc>
      </w:tr>
      <w:tr>
        <w:tblPrEx>
          <w:tblCellMar>
            <w:top w:w="0" w:type="dxa"/>
            <w:left w:w="0" w:type="dxa"/>
            <w:bottom w:w="0" w:type="dxa"/>
            <w:right w:w="0" w:type="dxa"/>
          </w:tblCellMar>
        </w:tblPrEx>
        <w:trPr>
          <w:trHeight w:val="397" w:hRule="atLeast"/>
        </w:trPr>
        <w:tc>
          <w:tcPr>
            <w:tcW w:w="2496"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277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水污染物当量数</w:t>
            </w:r>
            <w:r>
              <w:rPr>
                <w:rFonts w:hint="default" w:ascii="Times New Roman" w:hAnsi="Times New Roman" w:eastAsia="宋体" w:cs="Times New Roman"/>
                <w:i/>
                <w:color w:val="auto"/>
                <w:kern w:val="0"/>
                <w:sz w:val="21"/>
                <w:szCs w:val="21"/>
                <w:u w:val="none"/>
                <w:lang w:val="en-US" w:eastAsia="zh-CN" w:bidi="ar"/>
              </w:rPr>
              <w:t>W</w:t>
            </w:r>
            <w:r>
              <w:rPr>
                <w:rFonts w:hint="default" w:ascii="Times New Roman" w:hAnsi="Times New Roman" w:eastAsia="宋体" w:cs="Times New Roman"/>
                <w:i w:val="0"/>
                <w:color w:val="auto"/>
                <w:kern w:val="0"/>
                <w:sz w:val="21"/>
                <w:szCs w:val="21"/>
                <w:u w:val="none"/>
                <w:lang w:val="en-US" w:eastAsia="zh-CN" w:bidi="ar"/>
              </w:rPr>
              <w:t>/（无量纲）</w:t>
            </w:r>
          </w:p>
        </w:tc>
      </w:tr>
      <w:tr>
        <w:tblPrEx>
          <w:tblCellMar>
            <w:top w:w="0" w:type="dxa"/>
            <w:left w:w="0" w:type="dxa"/>
            <w:bottom w:w="0" w:type="dxa"/>
            <w:right w:w="0" w:type="dxa"/>
          </w:tblCellMar>
        </w:tblPrEx>
        <w:trPr>
          <w:trHeight w:val="397" w:hRule="atLeast"/>
        </w:trPr>
        <w:tc>
          <w:tcPr>
            <w:tcW w:w="24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一级</w:t>
            </w:r>
          </w:p>
        </w:tc>
        <w:tc>
          <w:tcPr>
            <w:tcW w:w="277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直接排放</w:t>
            </w: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color w:val="auto"/>
                <w:sz w:val="21"/>
                <w:szCs w:val="21"/>
                <w:u w:val="none"/>
              </w:rPr>
            </w:pPr>
            <w:r>
              <w:rPr>
                <w:rFonts w:hint="default" w:ascii="Times New Roman" w:hAnsi="Times New Roman" w:eastAsia="宋体" w:cs="Times New Roman"/>
                <w:i/>
                <w:color w:val="auto"/>
                <w:kern w:val="0"/>
                <w:sz w:val="21"/>
                <w:szCs w:val="21"/>
                <w:u w:val="none"/>
                <w:lang w:val="en-US" w:eastAsia="zh-CN" w:bidi="ar"/>
              </w:rPr>
              <w:t>Q</w:t>
            </w:r>
            <w:r>
              <w:rPr>
                <w:rFonts w:hint="default" w:ascii="Times New Roman" w:hAnsi="Times New Roman" w:eastAsia="宋体" w:cs="Times New Roman"/>
                <w:i w:val="0"/>
                <w:color w:val="auto"/>
                <w:kern w:val="0"/>
                <w:sz w:val="21"/>
                <w:szCs w:val="21"/>
                <w:u w:val="none"/>
                <w:lang w:val="en-US" w:eastAsia="zh-CN" w:bidi="ar"/>
              </w:rPr>
              <w:t>≥20000或</w:t>
            </w:r>
            <w:r>
              <w:rPr>
                <w:rFonts w:hint="default" w:ascii="Times New Roman" w:hAnsi="Times New Roman" w:eastAsia="宋体" w:cs="Times New Roman"/>
                <w:i/>
                <w:color w:val="auto"/>
                <w:kern w:val="0"/>
                <w:sz w:val="21"/>
                <w:szCs w:val="21"/>
                <w:u w:val="none"/>
                <w:lang w:val="en-US" w:eastAsia="zh-CN" w:bidi="ar"/>
              </w:rPr>
              <w:t>W</w:t>
            </w:r>
            <w:r>
              <w:rPr>
                <w:rFonts w:hint="default" w:ascii="Times New Roman" w:hAnsi="Times New Roman" w:eastAsia="宋体" w:cs="Times New Roman"/>
                <w:i w:val="0"/>
                <w:color w:val="auto"/>
                <w:kern w:val="0"/>
                <w:sz w:val="21"/>
                <w:szCs w:val="21"/>
                <w:u w:val="none"/>
                <w:lang w:val="en-US" w:eastAsia="zh-CN" w:bidi="ar"/>
              </w:rPr>
              <w:t>≥600000</w:t>
            </w:r>
          </w:p>
        </w:tc>
      </w:tr>
      <w:tr>
        <w:tblPrEx>
          <w:tblCellMar>
            <w:top w:w="0" w:type="dxa"/>
            <w:left w:w="0" w:type="dxa"/>
            <w:bottom w:w="0" w:type="dxa"/>
            <w:right w:w="0" w:type="dxa"/>
          </w:tblCellMar>
        </w:tblPrEx>
        <w:trPr>
          <w:trHeight w:val="397" w:hRule="atLeast"/>
        </w:trPr>
        <w:tc>
          <w:tcPr>
            <w:tcW w:w="24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二级</w:t>
            </w:r>
          </w:p>
        </w:tc>
        <w:tc>
          <w:tcPr>
            <w:tcW w:w="277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直接排放</w:t>
            </w: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其他</w:t>
            </w:r>
          </w:p>
        </w:tc>
      </w:tr>
      <w:tr>
        <w:tblPrEx>
          <w:tblCellMar>
            <w:top w:w="0" w:type="dxa"/>
            <w:left w:w="0" w:type="dxa"/>
            <w:bottom w:w="0" w:type="dxa"/>
            <w:right w:w="0" w:type="dxa"/>
          </w:tblCellMar>
        </w:tblPrEx>
        <w:trPr>
          <w:trHeight w:val="397" w:hRule="atLeast"/>
        </w:trPr>
        <w:tc>
          <w:tcPr>
            <w:tcW w:w="24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三级A</w:t>
            </w:r>
          </w:p>
        </w:tc>
        <w:tc>
          <w:tcPr>
            <w:tcW w:w="277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直接排放</w:t>
            </w: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color w:val="auto"/>
                <w:sz w:val="21"/>
                <w:szCs w:val="21"/>
                <w:u w:val="none"/>
              </w:rPr>
            </w:pPr>
            <w:r>
              <w:rPr>
                <w:rFonts w:hint="default" w:ascii="Times New Roman" w:hAnsi="Times New Roman" w:eastAsia="宋体" w:cs="Times New Roman"/>
                <w:i/>
                <w:color w:val="auto"/>
                <w:kern w:val="0"/>
                <w:sz w:val="21"/>
                <w:szCs w:val="21"/>
                <w:u w:val="none"/>
                <w:lang w:val="en-US" w:eastAsia="zh-CN" w:bidi="ar"/>
              </w:rPr>
              <w:t>Q</w:t>
            </w:r>
            <w:r>
              <w:rPr>
                <w:rFonts w:hint="default" w:ascii="Times New Roman" w:hAnsi="Times New Roman" w:eastAsia="宋体" w:cs="Times New Roman"/>
                <w:i w:val="0"/>
                <w:color w:val="auto"/>
                <w:kern w:val="0"/>
                <w:sz w:val="21"/>
                <w:szCs w:val="21"/>
                <w:u w:val="none"/>
                <w:lang w:val="en-US" w:eastAsia="zh-CN" w:bidi="ar"/>
              </w:rPr>
              <w:t>＜200且</w:t>
            </w:r>
            <w:r>
              <w:rPr>
                <w:rFonts w:hint="default" w:ascii="Times New Roman" w:hAnsi="Times New Roman" w:eastAsia="宋体" w:cs="Times New Roman"/>
                <w:i/>
                <w:color w:val="auto"/>
                <w:kern w:val="0"/>
                <w:sz w:val="21"/>
                <w:szCs w:val="21"/>
                <w:u w:val="none"/>
                <w:lang w:val="en-US" w:eastAsia="zh-CN" w:bidi="ar"/>
              </w:rPr>
              <w:t>W</w:t>
            </w:r>
            <w:r>
              <w:rPr>
                <w:rFonts w:hint="default" w:ascii="Times New Roman" w:hAnsi="Times New Roman" w:eastAsia="宋体" w:cs="Times New Roman"/>
                <w:i w:val="0"/>
                <w:color w:val="auto"/>
                <w:kern w:val="0"/>
                <w:sz w:val="21"/>
                <w:szCs w:val="21"/>
                <w:u w:val="none"/>
                <w:lang w:val="en-US" w:eastAsia="zh-CN" w:bidi="ar"/>
              </w:rPr>
              <w:t>＜6000</w:t>
            </w:r>
          </w:p>
        </w:tc>
      </w:tr>
      <w:tr>
        <w:tblPrEx>
          <w:tblCellMar>
            <w:top w:w="0" w:type="dxa"/>
            <w:left w:w="0" w:type="dxa"/>
            <w:bottom w:w="0" w:type="dxa"/>
            <w:right w:w="0" w:type="dxa"/>
          </w:tblCellMar>
        </w:tblPrEx>
        <w:trPr>
          <w:trHeight w:val="397" w:hRule="atLeast"/>
        </w:trPr>
        <w:tc>
          <w:tcPr>
            <w:tcW w:w="24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三级B</w:t>
            </w:r>
          </w:p>
        </w:tc>
        <w:tc>
          <w:tcPr>
            <w:tcW w:w="277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间接排放</w:t>
            </w:r>
          </w:p>
        </w:tc>
        <w:tc>
          <w:tcPr>
            <w:tcW w:w="307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b/>
          <w:bCs/>
          <w:color w:val="auto"/>
        </w:rPr>
      </w:pPr>
      <w:r>
        <w:rPr>
          <w:rFonts w:hint="eastAsia" w:hAnsi="宋体" w:eastAsia="宋体"/>
          <w:color w:val="auto"/>
          <w:lang w:val="en-US" w:eastAsia="zh-CN"/>
        </w:rPr>
        <w:t>本项目污水经院内污水站处理后排入</w:t>
      </w:r>
      <w:r>
        <w:rPr>
          <w:rFonts w:hint="eastAsia" w:hAnsi="宋体"/>
          <w:color w:val="auto"/>
          <w:lang w:val="en-US" w:eastAsia="zh-CN"/>
        </w:rPr>
        <w:t>十五里河污水处理厂</w:t>
      </w:r>
      <w:r>
        <w:rPr>
          <w:rFonts w:hint="eastAsia" w:hAnsi="宋体" w:eastAsia="宋体"/>
          <w:color w:val="auto"/>
          <w:lang w:val="en-US" w:eastAsia="zh-CN"/>
        </w:rPr>
        <w:t>，</w:t>
      </w:r>
      <w:r>
        <w:rPr>
          <w:rFonts w:hint="eastAsia" w:hAnsi="宋体"/>
          <w:color w:val="auto"/>
        </w:rPr>
        <w:t>项目</w:t>
      </w:r>
      <w:r>
        <w:rPr>
          <w:rFonts w:hint="eastAsia" w:hAnsi="宋体" w:eastAsia="宋体"/>
          <w:color w:val="auto"/>
          <w:lang w:val="en-US" w:eastAsia="zh-CN"/>
        </w:rPr>
        <w:t>废水</w:t>
      </w:r>
      <w:r>
        <w:rPr>
          <w:rFonts w:hint="eastAsia" w:hAnsi="宋体"/>
          <w:color w:val="auto"/>
        </w:rPr>
        <w:t>为间接排放，确定地表水环境影响评价等级为三级B。</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b w:val="0"/>
          <w:bCs w:val="0"/>
          <w:color w:val="auto"/>
        </w:rPr>
      </w:pPr>
      <w:r>
        <w:rPr>
          <w:rFonts w:hint="eastAsia"/>
          <w:b w:val="0"/>
          <w:bCs w:val="0"/>
          <w:color w:val="auto"/>
        </w:rPr>
        <w:t>（</w:t>
      </w:r>
      <w:r>
        <w:rPr>
          <w:rFonts w:hint="eastAsia"/>
          <w:b w:val="0"/>
          <w:bCs w:val="0"/>
          <w:color w:val="auto"/>
          <w:lang w:val="en-US" w:eastAsia="zh-CN"/>
        </w:rPr>
        <w:t>2</w:t>
      </w:r>
      <w:r>
        <w:rPr>
          <w:rFonts w:hint="eastAsia"/>
          <w:b w:val="0"/>
          <w:bCs w:val="0"/>
          <w:color w:val="auto"/>
        </w:rPr>
        <w:t>）达标排放可行性分析</w:t>
      </w:r>
    </w:p>
    <w:p>
      <w:pPr>
        <w:pageBreakBefore w:val="0"/>
        <w:widowControl w:val="0"/>
        <w:kinsoku/>
        <w:wordWrap/>
        <w:overflowPunct/>
        <w:topLinePunct w:val="0"/>
        <w:bidi w:val="0"/>
        <w:adjustRightInd/>
        <w:snapToGrid/>
        <w:spacing w:line="360" w:lineRule="auto"/>
        <w:ind w:right="0" w:rightChars="0"/>
        <w:textAlignment w:val="auto"/>
        <w:rPr>
          <w:rFonts w:hint="eastAsia" w:cs="Times New Roman"/>
          <w:b/>
          <w:bCs/>
          <w:color w:val="auto"/>
          <w:highlight w:val="none"/>
          <w:lang w:eastAsia="zh-CN"/>
        </w:rPr>
      </w:pPr>
      <w:r>
        <w:rPr>
          <w:rFonts w:hint="eastAsia" w:cs="Times New Roman"/>
          <w:b/>
          <w:bCs/>
          <w:color w:val="auto"/>
          <w:highlight w:val="none"/>
          <w:lang w:eastAsia="zh-CN"/>
        </w:rPr>
        <w:t>污水处理站规模可行性</w:t>
      </w:r>
    </w:p>
    <w:p>
      <w:pPr>
        <w:pageBreakBefore w:val="0"/>
        <w:widowControl w:val="0"/>
        <w:kinsoku/>
        <w:wordWrap/>
        <w:overflowPunct/>
        <w:topLinePunct w:val="0"/>
        <w:bidi w:val="0"/>
        <w:adjustRightInd/>
        <w:snapToGrid/>
        <w:spacing w:line="360" w:lineRule="auto"/>
        <w:ind w:right="0" w:rightChars="0"/>
        <w:textAlignment w:val="auto"/>
        <w:rPr>
          <w:rFonts w:hint="default" w:cs="Times New Roman"/>
          <w:b w:val="0"/>
          <w:bCs w:val="0"/>
          <w:color w:val="auto"/>
          <w:highlight w:val="none"/>
          <w:lang w:val="en-US" w:eastAsia="zh-CN"/>
        </w:rPr>
      </w:pPr>
      <w:r>
        <w:rPr>
          <w:rFonts w:hint="eastAsia" w:cs="Times New Roman"/>
          <w:b w:val="0"/>
          <w:bCs w:val="0"/>
          <w:color w:val="auto"/>
          <w:highlight w:val="none"/>
          <w:lang w:eastAsia="zh-CN"/>
        </w:rPr>
        <w:t>医院拟建</w:t>
      </w:r>
      <w:r>
        <w:rPr>
          <w:rFonts w:hint="eastAsia" w:cs="Times New Roman"/>
          <w:b w:val="0"/>
          <w:bCs w:val="0"/>
          <w:color w:val="auto"/>
          <w:highlight w:val="none"/>
          <w:lang w:val="en-US" w:eastAsia="zh-CN"/>
        </w:rPr>
        <w:t>一个2000</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的</w:t>
      </w:r>
      <w:r>
        <w:rPr>
          <w:rFonts w:hint="eastAsia" w:cs="Times New Roman"/>
          <w:b w:val="0"/>
          <w:bCs w:val="0"/>
          <w:color w:val="auto"/>
          <w:highlight w:val="none"/>
          <w:lang w:val="en-US" w:eastAsia="zh-CN"/>
        </w:rPr>
        <w:t>综合污水处理站。根据前文分析可知，项目建成后预计进入污水处理站的总废水量为936.5</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，因此项目污水处理站规模均能够满足要求。</w:t>
      </w:r>
    </w:p>
    <w:p>
      <w:pPr>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rPr>
          <w:rFonts w:hint="eastAsia"/>
          <w:b/>
          <w:bCs/>
          <w:color w:val="auto"/>
          <w:highlight w:val="none"/>
          <w:lang w:eastAsia="zh-CN"/>
        </w:rPr>
      </w:pPr>
      <w:r>
        <w:rPr>
          <w:rFonts w:hint="eastAsia"/>
          <w:b/>
          <w:bCs/>
          <w:color w:val="auto"/>
          <w:highlight w:val="none"/>
          <w:lang w:eastAsia="zh-CN"/>
        </w:rPr>
        <w:t>污水处理工艺可行性</w:t>
      </w:r>
    </w:p>
    <w:p>
      <w:pPr>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eastAsia" w:eastAsia="宋体"/>
          <w:color w:val="auto"/>
          <w:lang w:eastAsia="zh-CN"/>
        </w:rPr>
      </w:pPr>
      <w:r>
        <w:rPr>
          <w:rFonts w:hint="eastAsia"/>
          <w:color w:val="auto"/>
          <w:highlight w:val="none"/>
          <w:lang w:eastAsia="zh-CN"/>
        </w:rPr>
        <w:t>项目污水处理站</w:t>
      </w:r>
      <w:r>
        <w:rPr>
          <w:rFonts w:hint="eastAsia"/>
          <w:color w:val="auto"/>
        </w:rPr>
        <w:t>处理工艺采用的是《</w:t>
      </w:r>
      <w:r>
        <w:rPr>
          <w:rFonts w:hint="eastAsia"/>
          <w:color w:val="auto"/>
          <w:lang w:val="en-US" w:eastAsia="zh-CN"/>
        </w:rPr>
        <w:t>医院污水处理工程技术规范</w:t>
      </w:r>
      <w:r>
        <w:rPr>
          <w:rFonts w:hint="eastAsia"/>
          <w:color w:val="auto"/>
        </w:rPr>
        <w:t>》（</w:t>
      </w:r>
      <w:r>
        <w:rPr>
          <w:rFonts w:hint="eastAsia"/>
          <w:color w:val="auto"/>
          <w:lang w:val="en-US" w:eastAsia="zh-CN"/>
        </w:rPr>
        <w:t>HJ2029-2013</w:t>
      </w:r>
      <w:r>
        <w:rPr>
          <w:rFonts w:hint="eastAsia"/>
          <w:color w:val="auto"/>
        </w:rPr>
        <w:t>）中推荐的</w:t>
      </w:r>
      <w:r>
        <w:rPr>
          <w:rFonts w:hint="eastAsia" w:cs="宋体"/>
          <w:color w:val="auto"/>
          <w:lang w:eastAsia="zh-CN"/>
        </w:rPr>
        <w:t>“</w:t>
      </w:r>
      <w:r>
        <w:rPr>
          <w:rFonts w:hint="eastAsia"/>
          <w:color w:val="auto"/>
          <w:lang w:val="en-US" w:eastAsia="zh-CN"/>
        </w:rPr>
        <w:t>二级处理</w:t>
      </w:r>
      <w:r>
        <w:rPr>
          <w:rFonts w:hint="eastAsia"/>
          <w:color w:val="auto"/>
        </w:rPr>
        <w:t>+消毒</w:t>
      </w:r>
      <w:r>
        <w:rPr>
          <w:rFonts w:hint="eastAsia" w:cs="宋体"/>
          <w:color w:val="auto"/>
          <w:lang w:eastAsia="zh-CN"/>
        </w:rPr>
        <w:t>”</w:t>
      </w:r>
      <w:r>
        <w:rPr>
          <w:rFonts w:hint="eastAsia"/>
          <w:color w:val="auto"/>
        </w:rPr>
        <w:t>工艺，具体工艺流程为</w:t>
      </w:r>
      <w:r>
        <w:rPr>
          <w:rFonts w:hint="eastAsia" w:cs="宋体"/>
          <w:color w:val="auto"/>
          <w:lang w:eastAsia="zh-CN"/>
        </w:rPr>
        <w:t>“</w:t>
      </w:r>
      <w:r>
        <w:rPr>
          <w:rFonts w:hint="eastAsia"/>
          <w:color w:val="auto"/>
          <w:highlight w:val="none"/>
          <w:lang w:val="en-US" w:eastAsia="zh-CN"/>
        </w:rPr>
        <w:t>格栅+调节+水解酸化+生物接触氧化+沉淀+消毒</w:t>
      </w:r>
      <w:r>
        <w:rPr>
          <w:rFonts w:hint="eastAsia" w:cs="宋体"/>
          <w:color w:val="auto"/>
          <w:lang w:eastAsia="zh-CN"/>
        </w:rPr>
        <w:t>”；</w:t>
      </w:r>
      <w:r>
        <w:rPr>
          <w:rFonts w:hint="eastAsia"/>
          <w:color w:val="auto"/>
          <w:lang w:eastAsia="zh-CN"/>
        </w:rPr>
        <w:t>本项目传染性废水单独收集并设置一个消毒池预处理（位于特殊门诊楼下方，设计规模为</w:t>
      </w:r>
      <w:r>
        <w:rPr>
          <w:rFonts w:hint="eastAsia"/>
          <w:color w:val="auto"/>
          <w:lang w:val="en-US" w:eastAsia="zh-CN"/>
        </w:rPr>
        <w:t>10</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w:t>
      </w:r>
      <w:r>
        <w:rPr>
          <w:rFonts w:hint="eastAsia" w:ascii="Times New Roman" w:hAnsi="Times New Roman" w:eastAsia="宋体" w:cs="Times New Roman"/>
          <w:b w:val="0"/>
          <w:bCs w:val="0"/>
          <w:color w:val="auto"/>
          <w:highlight w:val="none"/>
          <w:lang w:val="en-US" w:eastAsia="zh-CN"/>
        </w:rPr>
        <w:t>h</w:t>
      </w:r>
      <w:r>
        <w:rPr>
          <w:rFonts w:hint="eastAsia"/>
          <w:color w:val="auto"/>
          <w:lang w:eastAsia="zh-CN"/>
        </w:rPr>
        <w:t>）</w:t>
      </w:r>
      <w:r>
        <w:rPr>
          <w:rFonts w:hint="eastAsia" w:ascii="Times New Roman" w:hAnsi="Times New Roman" w:eastAsia="宋体" w:cs="Times New Roman"/>
          <w:b w:val="0"/>
          <w:bCs w:val="0"/>
          <w:color w:val="auto"/>
          <w:highlight w:val="none"/>
          <w:lang w:val="en-US" w:eastAsia="zh-CN"/>
        </w:rPr>
        <w:t>，</w:t>
      </w:r>
      <w:r>
        <w:rPr>
          <w:rFonts w:hint="eastAsia" w:ascii="Times New Roman" w:hAnsi="Times New Roman" w:eastAsia="宋体" w:cs="Times New Roman"/>
          <w:b w:val="0"/>
          <w:bCs w:val="0"/>
          <w:color w:val="auto"/>
          <w:highlight w:val="none"/>
          <w:lang w:val="en-US" w:eastAsia="zh-CN"/>
        </w:rPr>
        <w:t>消毒工艺采用臭氧消毒+单过硫酸氢钾复合盐消毒粉。根据工程分析，项目的传染性废水水量约99.47</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，占总水量的很小部分，且通过预消毒处理后粪大肠菌群已达到正常水平</w:t>
      </w:r>
      <w:r>
        <w:rPr>
          <w:rFonts w:hint="eastAsia"/>
          <w:color w:val="auto"/>
          <w:lang w:eastAsia="zh-CN"/>
        </w:rPr>
        <w:t>。本项目建成后</w:t>
      </w:r>
      <w:r>
        <w:rPr>
          <w:rFonts w:hint="eastAsia"/>
          <w:color w:val="auto"/>
        </w:rPr>
        <w:t>出水</w:t>
      </w:r>
      <w:r>
        <w:rPr>
          <w:rFonts w:hint="eastAsia"/>
          <w:color w:val="auto"/>
          <w:lang w:eastAsia="zh-CN"/>
        </w:rPr>
        <w:t>水质</w:t>
      </w:r>
      <w:r>
        <w:rPr>
          <w:rFonts w:hint="eastAsia"/>
          <w:color w:val="auto"/>
        </w:rPr>
        <w:t>能满足《医疗机构水污染物排放标准》（GB18466-2005）</w:t>
      </w:r>
      <w:r>
        <w:rPr>
          <w:rFonts w:hint="eastAsia"/>
          <w:color w:val="auto"/>
          <w:lang w:eastAsia="zh-CN"/>
        </w:rPr>
        <w:t>表</w:t>
      </w:r>
      <w:r>
        <w:rPr>
          <w:rFonts w:hint="eastAsia"/>
          <w:color w:val="auto"/>
          <w:lang w:val="en-US" w:eastAsia="zh-CN"/>
        </w:rPr>
        <w:t>2</w:t>
      </w:r>
      <w:r>
        <w:rPr>
          <w:rFonts w:hint="eastAsia"/>
          <w:color w:val="auto"/>
        </w:rPr>
        <w:t>中的预处理标准</w:t>
      </w:r>
      <w:r>
        <w:rPr>
          <w:rFonts w:hint="eastAsia"/>
          <w:color w:val="auto"/>
          <w:lang w:eastAsia="zh-CN"/>
        </w:rPr>
        <w:t>及十五里河污水处理厂接管标准</w:t>
      </w:r>
      <w:r>
        <w:rPr>
          <w:rFonts w:hint="eastAsia"/>
          <w:color w:val="auto"/>
        </w:rPr>
        <w:t>。</w:t>
      </w:r>
      <w:r>
        <w:rPr>
          <w:rFonts w:hint="eastAsia"/>
          <w:color w:val="auto"/>
          <w:lang w:eastAsia="zh-CN"/>
        </w:rPr>
        <w:t>因此，本项目污水处理站采取的治理工艺可行。</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color w:val="auto"/>
          <w:sz w:val="24"/>
          <w:highlight w:val="none"/>
          <w:lang w:eastAsia="zh-CN"/>
        </w:rPr>
      </w:pPr>
      <w:r>
        <w:rPr>
          <w:rFonts w:hint="eastAsia" w:ascii="Times New Roman" w:hAnsi="Times New Roman" w:eastAsia="宋体" w:cs="Times New Roman"/>
          <w:b w:val="0"/>
          <w:bCs w:val="0"/>
          <w:color w:val="auto"/>
          <w:highlight w:val="none"/>
          <w:lang w:val="en-US" w:eastAsia="zh-CN"/>
        </w:rPr>
        <w:t>综上，项目污水处理站</w:t>
      </w:r>
      <w:r>
        <w:rPr>
          <w:rFonts w:hint="eastAsia"/>
          <w:color w:val="auto"/>
          <w:highlight w:val="none"/>
        </w:rPr>
        <w:t>处理工艺</w:t>
      </w:r>
      <w:r>
        <w:rPr>
          <w:rFonts w:hint="eastAsia"/>
          <w:color w:val="auto"/>
          <w:highlight w:val="none"/>
          <w:lang w:eastAsia="zh-CN"/>
        </w:rPr>
        <w:t>满足</w:t>
      </w:r>
      <w:r>
        <w:rPr>
          <w:rFonts w:hint="eastAsia"/>
          <w:color w:val="auto"/>
          <w:highlight w:val="none"/>
        </w:rPr>
        <w:t>《医院污水处理技术指南》中二级处理工艺</w:t>
      </w:r>
      <w:r>
        <w:rPr>
          <w:rFonts w:hint="eastAsia"/>
          <w:color w:val="auto"/>
          <w:highlight w:val="none"/>
          <w:lang w:eastAsia="zh-CN"/>
        </w:rPr>
        <w:t>要求。</w:t>
      </w:r>
      <w:r>
        <w:rPr>
          <w:rFonts w:hint="eastAsia"/>
          <w:color w:val="auto"/>
          <w:highlight w:val="none"/>
        </w:rPr>
        <w:t>医院污水通过化粪池进入调节池，调节池前部设置自动格栅。调节池内设提升水泵，污水经提升后进入水解酸化池分解大分子较难降解的有机物，同时对回流的消化液进行脱氮处理，其出水进入</w:t>
      </w:r>
      <w:r>
        <w:rPr>
          <w:rFonts w:hint="eastAsia"/>
          <w:color w:val="auto"/>
          <w:highlight w:val="none"/>
          <w:lang w:val="en-US" w:eastAsia="zh-CN"/>
        </w:rPr>
        <w:t>生物</w:t>
      </w:r>
      <w:r>
        <w:rPr>
          <w:rFonts w:hint="eastAsia"/>
          <w:color w:val="auto"/>
          <w:highlight w:val="none"/>
        </w:rPr>
        <w:t>接触氧化池，在好氧条件下对废水中的有机物进行最终降解，并且对废水中的氨氮氧化为硝态氮。出水进入</w:t>
      </w:r>
      <w:r>
        <w:rPr>
          <w:rFonts w:hint="eastAsia"/>
          <w:color w:val="auto"/>
          <w:highlight w:val="none"/>
          <w:lang w:val="en-US" w:eastAsia="zh-CN"/>
        </w:rPr>
        <w:t>沉淀</w:t>
      </w:r>
      <w:r>
        <w:rPr>
          <w:rFonts w:hint="eastAsia"/>
          <w:color w:val="auto"/>
          <w:highlight w:val="none"/>
        </w:rPr>
        <w:t>池，采用消毒剂对</w:t>
      </w:r>
      <w:r>
        <w:rPr>
          <w:rFonts w:hint="eastAsia"/>
          <w:color w:val="auto"/>
          <w:highlight w:val="none"/>
          <w:lang w:val="en-US" w:eastAsia="zh-CN"/>
        </w:rPr>
        <w:t>沉淀</w:t>
      </w:r>
      <w:r>
        <w:rPr>
          <w:rFonts w:hint="eastAsia"/>
          <w:color w:val="auto"/>
          <w:highlight w:val="none"/>
        </w:rPr>
        <w:t>池出水进行消毒后</w:t>
      </w:r>
      <w:r>
        <w:rPr>
          <w:color w:val="auto"/>
          <w:sz w:val="24"/>
          <w:highlight w:val="none"/>
        </w:rPr>
        <w:t>达到《医疗机构水污染物排放标准》GB18466-2005表</w:t>
      </w:r>
      <w:r>
        <w:rPr>
          <w:rFonts w:hint="eastAsia"/>
          <w:color w:val="auto"/>
          <w:sz w:val="24"/>
          <w:highlight w:val="none"/>
          <w:lang w:val="en-US" w:eastAsia="zh-CN"/>
        </w:rPr>
        <w:t>2</w:t>
      </w:r>
      <w:r>
        <w:rPr>
          <w:color w:val="auto"/>
          <w:sz w:val="24"/>
          <w:highlight w:val="none"/>
        </w:rPr>
        <w:t>中</w:t>
      </w:r>
      <w:r>
        <w:rPr>
          <w:rFonts w:hint="eastAsia"/>
          <w:color w:val="auto"/>
          <w:sz w:val="24"/>
          <w:highlight w:val="none"/>
        </w:rPr>
        <w:t>预处理</w:t>
      </w:r>
      <w:r>
        <w:rPr>
          <w:color w:val="auto"/>
          <w:sz w:val="24"/>
          <w:highlight w:val="none"/>
        </w:rPr>
        <w:t>标准</w:t>
      </w:r>
      <w:r>
        <w:rPr>
          <w:rFonts w:hint="eastAsia"/>
          <w:color w:val="auto"/>
          <w:sz w:val="24"/>
          <w:highlight w:val="none"/>
          <w:lang w:eastAsia="zh-CN"/>
        </w:rPr>
        <w:t>及十五里河污水处理厂接管标准</w:t>
      </w:r>
      <w:r>
        <w:rPr>
          <w:color w:val="auto"/>
          <w:sz w:val="24"/>
          <w:highlight w:val="none"/>
        </w:rPr>
        <w:t>后排入市政污水管网，</w:t>
      </w:r>
      <w:r>
        <w:rPr>
          <w:rFonts w:hint="eastAsia"/>
          <w:color w:val="auto"/>
          <w:sz w:val="24"/>
          <w:highlight w:val="none"/>
          <w:lang w:eastAsia="zh-CN"/>
        </w:rPr>
        <w:t>经十五里河污水处理厂深度</w:t>
      </w:r>
      <w:r>
        <w:rPr>
          <w:rFonts w:hint="eastAsia"/>
          <w:color w:val="auto"/>
          <w:sz w:val="24"/>
          <w:highlight w:val="none"/>
        </w:rPr>
        <w:t>处理达标后</w:t>
      </w:r>
      <w:r>
        <w:rPr>
          <w:color w:val="auto"/>
          <w:sz w:val="24"/>
          <w:highlight w:val="none"/>
        </w:rPr>
        <w:t>排入</w:t>
      </w:r>
      <w:r>
        <w:rPr>
          <w:rFonts w:hint="eastAsia"/>
          <w:color w:val="auto"/>
          <w:sz w:val="24"/>
          <w:highlight w:val="none"/>
          <w:lang w:eastAsia="zh-CN"/>
        </w:rPr>
        <w:t>十五里河。</w:t>
      </w:r>
    </w:p>
    <w:p>
      <w:pPr>
        <w:numPr>
          <w:ilvl w:val="0"/>
          <w:numId w:val="0"/>
        </w:numPr>
        <w:spacing w:line="360" w:lineRule="auto"/>
        <w:ind w:firstLine="480" w:firstLineChars="200"/>
        <w:rPr>
          <w:rFonts w:hint="eastAsia" w:eastAsia="宋体"/>
          <w:b/>
          <w:color w:val="auto"/>
          <w:szCs w:val="21"/>
          <w:lang w:eastAsia="zh-CN"/>
        </w:rPr>
      </w:pPr>
      <w:r>
        <w:rPr>
          <w:rFonts w:hint="eastAsia"/>
          <w:bCs/>
          <w:color w:val="auto"/>
          <w:lang w:eastAsia="zh-CN"/>
        </w:rPr>
        <w:t>十五里河污水处理厂</w:t>
      </w:r>
      <w:r>
        <w:rPr>
          <w:rFonts w:hint="eastAsia"/>
          <w:bCs/>
          <w:color w:val="auto"/>
        </w:rPr>
        <w:t>处理后的</w:t>
      </w:r>
      <w:r>
        <w:rPr>
          <w:rFonts w:hint="eastAsia"/>
          <w:bCs/>
          <w:color w:val="auto"/>
          <w:szCs w:val="21"/>
        </w:rPr>
        <w:t>尾水</w:t>
      </w:r>
      <w:r>
        <w:rPr>
          <w:rFonts w:hint="eastAsia"/>
          <w:bCs/>
          <w:color w:val="auto"/>
          <w:szCs w:val="21"/>
          <w:lang w:eastAsia="zh-CN"/>
        </w:rPr>
        <w:t>排放达到《城镇污水处理厂污染物排放标准》（GB18918-2002）</w:t>
      </w:r>
      <w:r>
        <w:rPr>
          <w:bCs/>
          <w:color w:val="auto"/>
        </w:rPr>
        <w:t>一级标准的A标准</w:t>
      </w:r>
      <w:r>
        <w:rPr>
          <w:rFonts w:hint="eastAsia"/>
          <w:bCs/>
          <w:color w:val="auto"/>
          <w:szCs w:val="21"/>
          <w:lang w:eastAsia="zh-CN"/>
        </w:rPr>
        <w:t>要求，对地表水影响较小。</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bCs w:val="0"/>
          <w:color w:val="auto"/>
          <w:spacing w:val="6"/>
        </w:rPr>
      </w:pPr>
      <w:r>
        <w:rPr>
          <w:rFonts w:hint="default" w:ascii="Times New Roman" w:hAnsi="Times New Roman" w:cs="Times New Roman"/>
          <w:b/>
          <w:bCs w:val="0"/>
          <w:color w:val="auto"/>
          <w:spacing w:val="6"/>
        </w:rPr>
        <w:t>消毒工艺可行性</w:t>
      </w:r>
    </w:p>
    <w:p>
      <w:pPr>
        <w:pageBreakBefore w:val="0"/>
        <w:widowControl w:val="0"/>
        <w:kinsoku/>
        <w:wordWrap/>
        <w:overflowPunct/>
        <w:topLinePunct w:val="0"/>
        <w:bidi w:val="0"/>
        <w:spacing w:line="360" w:lineRule="auto"/>
        <w:ind w:right="0" w:rightChars="0"/>
        <w:textAlignment w:val="auto"/>
        <w:rPr>
          <w:rFonts w:hint="eastAsia" w:cs="Times New Roman"/>
          <w:b w:val="0"/>
          <w:bCs/>
          <w:color w:val="auto"/>
          <w:spacing w:val="6"/>
          <w:lang w:eastAsia="zh-CN"/>
        </w:rPr>
      </w:pPr>
      <w:r>
        <w:rPr>
          <w:rFonts w:hint="eastAsia" w:cs="Times New Roman"/>
          <w:b w:val="0"/>
          <w:bCs/>
          <w:color w:val="auto"/>
          <w:spacing w:val="6"/>
          <w:lang w:eastAsia="zh-CN"/>
        </w:rPr>
        <w:t>根据《医疗机构水污染物排放标准》（GB 18466-2005）：“4.1.5 带传染病房的综合医疗机构，应将传染病房污水与非传染病房污水分开。传染病房的污水、粪便经过消毒后方可与其他污水合并处理。5.6 综合医疗机构污水排放执行排放标准时，宜采用二级处理+消毒工艺或深度处理+消毒工艺；执行预处理标准时宜采用一级处理或一级强化处理+消毒工艺。”，本项目特殊门诊（感染门诊）产生的传染性废水单独收集，经预消毒池处理后再排入院区污水处理站，最后经市政污水管网排入十五里河污水处理厂；预消毒池采用“臭氧</w:t>
      </w:r>
      <w:r>
        <w:rPr>
          <w:rFonts w:hint="eastAsia" w:cs="Times New Roman"/>
          <w:b w:val="0"/>
          <w:bCs/>
          <w:color w:val="auto"/>
          <w:spacing w:val="6"/>
          <w:lang w:val="en-US" w:eastAsia="zh-CN"/>
        </w:rPr>
        <w:t>+单过硫酸氢钾</w:t>
      </w:r>
      <w:r>
        <w:rPr>
          <w:rFonts w:hint="eastAsia" w:cs="Times New Roman"/>
          <w:b w:val="0"/>
          <w:bCs/>
          <w:color w:val="auto"/>
          <w:spacing w:val="6"/>
          <w:lang w:eastAsia="zh-CN"/>
        </w:rPr>
        <w:t>”消毒工艺，综合污水处理站采用</w:t>
      </w:r>
      <w:r>
        <w:rPr>
          <w:rFonts w:hint="eastAsia" w:cs="宋体"/>
          <w:color w:val="auto"/>
          <w:lang w:eastAsia="zh-CN"/>
        </w:rPr>
        <w:t>“</w:t>
      </w:r>
      <w:r>
        <w:rPr>
          <w:rFonts w:hint="eastAsia"/>
          <w:color w:val="auto"/>
          <w:lang w:val="en-US" w:eastAsia="zh-CN"/>
        </w:rPr>
        <w:t>二级处理</w:t>
      </w:r>
      <w:r>
        <w:rPr>
          <w:rFonts w:hint="eastAsia"/>
          <w:color w:val="auto"/>
        </w:rPr>
        <w:t>+消毒</w:t>
      </w:r>
      <w:r>
        <w:rPr>
          <w:rFonts w:hint="eastAsia" w:cs="宋体"/>
          <w:color w:val="auto"/>
          <w:lang w:eastAsia="zh-CN"/>
        </w:rPr>
        <w:t>”工艺。综上，本项目消毒池的设计满足标准要求。</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val="0"/>
          <w:bCs/>
          <w:color w:val="auto"/>
          <w:spacing w:val="6"/>
        </w:rPr>
      </w:pPr>
      <w:r>
        <w:rPr>
          <w:rFonts w:hint="default" w:ascii="Times New Roman" w:hAnsi="Times New Roman" w:cs="Times New Roman"/>
          <w:b w:val="0"/>
          <w:bCs/>
          <w:color w:val="auto"/>
          <w:spacing w:val="6"/>
        </w:rPr>
        <w:t>根据《医院污水处理工程技术规范》（HJ2029-2013），医院污水消毒可采用的消毒方法有液氯消毒、二氧化氯消毒、次氯酸钠消毒、臭氧消毒和紫外线消毒，各种常用方法的适用性和特点比较见下表。</w:t>
      </w:r>
    </w:p>
    <w:p>
      <w:pPr>
        <w:spacing w:line="240" w:lineRule="auto"/>
        <w:ind w:firstLine="422"/>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 6.2- 5 医院污水常用消毒方法比较</w:t>
      </w:r>
    </w:p>
    <w:tbl>
      <w:tblPr>
        <w:tblStyle w:val="48"/>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64"/>
        <w:gridCol w:w="2753"/>
        <w:gridCol w:w="3179"/>
        <w:gridCol w:w="1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消毒剂</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优点</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缺点</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消毒效果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1"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氯</w:t>
            </w:r>
            <w:r>
              <w:rPr>
                <w:rFonts w:hint="default" w:ascii="Times New Roman" w:hAnsi="Times New Roman" w:eastAsia="宋体" w:cs="Times New Roman"/>
                <w:color w:val="auto"/>
                <w:sz w:val="21"/>
                <w:szCs w:val="21"/>
                <w:lang w:val="en-US" w:eastAsia="en-US"/>
              </w:rPr>
              <w:t>Cl</w:t>
            </w:r>
            <w:r>
              <w:rPr>
                <w:rFonts w:hint="default" w:ascii="Times New Roman" w:hAnsi="Times New Roman" w:eastAsia="宋体" w:cs="Times New Roman"/>
                <w:color w:val="auto"/>
                <w:sz w:val="21"/>
                <w:szCs w:val="21"/>
                <w:vertAlign w:val="subscript"/>
                <w:lang w:val="en-US" w:eastAsia="en-US"/>
              </w:rPr>
              <w:t>2</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具有持续消毒作用；工艺简单，技术成熟；操作简单，投</w:t>
            </w:r>
            <w:r>
              <w:rPr>
                <w:rFonts w:hint="eastAsia" w:ascii="Times New Roman" w:hAnsi="Times New Roman" w:eastAsia="宋体" w:cs="Times New Roman"/>
                <w:color w:val="auto"/>
                <w:sz w:val="21"/>
                <w:szCs w:val="21"/>
                <w:lang w:eastAsia="zh-CN"/>
              </w:rPr>
              <w:t>量</w:t>
            </w:r>
            <w:r>
              <w:rPr>
                <w:rFonts w:hint="eastAsia" w:ascii="Times New Roman" w:hAnsi="Times New Roman" w:eastAsia="宋体" w:cs="Times New Roman"/>
                <w:color w:val="auto"/>
                <w:sz w:val="21"/>
                <w:szCs w:val="21"/>
              </w:rPr>
              <w:t>准确</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产生具致癌、致畸作用的有机氯化物</w:t>
            </w:r>
            <w:r>
              <w:rPr>
                <w:rFonts w:hint="default" w:ascii="Times New Roman" w:hAnsi="Times New Roman" w:eastAsia="宋体" w:cs="Times New Roman"/>
                <w:color w:val="auto"/>
                <w:sz w:val="21"/>
                <w:szCs w:val="21"/>
                <w:lang w:val="en-US" w:eastAsia="en-US"/>
              </w:rPr>
              <w:t>(THMs)</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处理水有氯或氯酚味</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氯气腐蚀性强；运行管理有一定的危险性</w:t>
            </w:r>
          </w:p>
        </w:tc>
        <w:tc>
          <w:tcPr>
            <w:tcW w:w="8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能</w:t>
            </w:r>
            <w:r>
              <w:rPr>
                <w:rFonts w:hint="eastAsia" w:ascii="Times New Roman" w:hAnsi="Times New Roman" w:eastAsia="宋体" w:cs="Times New Roman"/>
                <w:color w:val="auto"/>
                <w:sz w:val="21"/>
                <w:szCs w:val="21"/>
                <w:lang w:eastAsia="zh-CN"/>
              </w:rPr>
              <w:t>有效杀菌</w:t>
            </w:r>
            <w:r>
              <w:rPr>
                <w:rFonts w:hint="eastAsia" w:ascii="Times New Roman" w:hAnsi="Times New Roman" w:eastAsia="宋体" w:cs="Times New Roman"/>
                <w:color w:val="auto"/>
                <w:sz w:val="21"/>
                <w:szCs w:val="21"/>
              </w:rPr>
              <w:t>，但杀灭病毒效果较差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次</w:t>
            </w:r>
            <w:r>
              <w:rPr>
                <w:rFonts w:hint="eastAsia" w:ascii="Times New Roman" w:hAnsi="Times New Roman" w:eastAsia="宋体" w:cs="Times New Roman"/>
                <w:color w:val="auto"/>
                <w:sz w:val="21"/>
                <w:szCs w:val="21"/>
                <w:lang w:eastAsia="zh-CN"/>
              </w:rPr>
              <w:t>氯酸钠</w:t>
            </w:r>
            <w:r>
              <w:rPr>
                <w:rFonts w:hint="default" w:ascii="Times New Roman" w:hAnsi="Times New Roman" w:eastAsia="宋体" w:cs="Times New Roman"/>
                <w:color w:val="auto"/>
                <w:sz w:val="21"/>
                <w:szCs w:val="21"/>
                <w:lang w:val="en-US" w:eastAsia="en-US"/>
              </w:rPr>
              <w:t>NaOCl</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无毒，运行、管理无危险性</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产生具致癌、致畸作用的有机氯化物</w:t>
            </w:r>
            <w:r>
              <w:rPr>
                <w:rFonts w:hint="default" w:ascii="Times New Roman" w:hAnsi="Times New Roman" w:eastAsia="宋体" w:cs="Times New Roman"/>
                <w:color w:val="auto"/>
                <w:sz w:val="21"/>
                <w:szCs w:val="21"/>
                <w:lang w:val="en-US" w:eastAsia="en-US"/>
              </w:rPr>
              <w:t>(THMs)</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使水的</w:t>
            </w:r>
            <w:r>
              <w:rPr>
                <w:rFonts w:hint="eastAsia" w:ascii="Times New Roman" w:hAnsi="Times New Roman" w:eastAsia="宋体" w:cs="Times New Roman"/>
                <w:color w:val="auto"/>
                <w:sz w:val="21"/>
                <w:szCs w:val="21"/>
                <w:lang w:val="en-US" w:eastAsia="zh-CN"/>
              </w:rPr>
              <w:t>p</w:t>
            </w:r>
            <w:r>
              <w:rPr>
                <w:rFonts w:hint="default" w:ascii="Times New Roman" w:hAnsi="Times New Roman" w:eastAsia="宋体" w:cs="Times New Roman"/>
                <w:color w:val="auto"/>
                <w:sz w:val="21"/>
                <w:szCs w:val="21"/>
                <w:lang w:val="en-US" w:eastAsia="en-US"/>
              </w:rPr>
              <w:t>H</w:t>
            </w:r>
            <w:r>
              <w:rPr>
                <w:rFonts w:hint="eastAsia" w:ascii="Times New Roman" w:hAnsi="Times New Roman" w:eastAsia="宋体" w:cs="Times New Roman"/>
                <w:color w:val="auto"/>
                <w:sz w:val="21"/>
                <w:szCs w:val="21"/>
              </w:rPr>
              <w:t>值升高</w:t>
            </w:r>
          </w:p>
        </w:tc>
        <w:tc>
          <w:tcPr>
            <w:tcW w:w="8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2"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二氧化氯</w:t>
            </w:r>
            <w:r>
              <w:rPr>
                <w:rFonts w:hint="default" w:ascii="Times New Roman" w:hAnsi="Times New Roman" w:eastAsia="宋体" w:cs="Times New Roman"/>
                <w:color w:val="auto"/>
                <w:sz w:val="21"/>
                <w:szCs w:val="21"/>
                <w:lang w:val="en-US" w:eastAsia="en-US"/>
              </w:rPr>
              <w:t>ClO</w:t>
            </w:r>
            <w:r>
              <w:rPr>
                <w:rFonts w:hint="default" w:ascii="Times New Roman" w:hAnsi="Times New Roman" w:eastAsia="宋体" w:cs="Times New Roman"/>
                <w:color w:val="auto"/>
                <w:sz w:val="21"/>
                <w:szCs w:val="21"/>
                <w:vertAlign w:val="subscript"/>
                <w:lang w:val="en-US" w:eastAsia="en-US"/>
              </w:rPr>
              <w:t>2</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具有强烈的氧化作用，不产生有机氯化物</w:t>
            </w:r>
            <w:r>
              <w:rPr>
                <w:rFonts w:hint="default" w:ascii="Times New Roman" w:hAnsi="Times New Roman" w:eastAsia="宋体" w:cs="Times New Roman"/>
                <w:color w:val="auto"/>
                <w:sz w:val="21"/>
                <w:szCs w:val="21"/>
                <w:lang w:val="en-US" w:eastAsia="en-US"/>
              </w:rPr>
              <w:t>(THMs)</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投放简单方便；不受</w:t>
            </w:r>
            <w:r>
              <w:rPr>
                <w:rFonts w:hint="default" w:ascii="Times New Roman" w:hAnsi="Times New Roman" w:eastAsia="宋体" w:cs="Times New Roman"/>
                <w:color w:val="auto"/>
                <w:sz w:val="21"/>
                <w:szCs w:val="21"/>
                <w:lang w:val="en-US" w:eastAsia="en-US"/>
              </w:rPr>
              <w:t>pH</w:t>
            </w:r>
            <w:r>
              <w:rPr>
                <w:rFonts w:hint="eastAsia" w:ascii="Times New Roman" w:hAnsi="Times New Roman" w:eastAsia="宋体" w:cs="Times New Roman"/>
                <w:color w:val="auto"/>
                <w:sz w:val="21"/>
                <w:szCs w:val="21"/>
              </w:rPr>
              <w:t>影响</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en-US"/>
              </w:rPr>
              <w:t>ClO</w:t>
            </w:r>
            <w:r>
              <w:rPr>
                <w:rFonts w:hint="default" w:ascii="Times New Roman" w:hAnsi="Times New Roman" w:eastAsia="宋体" w:cs="Times New Roman"/>
                <w:color w:val="auto"/>
                <w:sz w:val="21"/>
                <w:szCs w:val="21"/>
                <w:vertAlign w:val="subscript"/>
                <w:lang w:val="en-US" w:eastAsia="en-US"/>
              </w:rPr>
              <w:t>2</w:t>
            </w:r>
            <w:r>
              <w:rPr>
                <w:rFonts w:hint="eastAsia" w:ascii="Times New Roman" w:hAnsi="Times New Roman" w:eastAsia="宋体" w:cs="Times New Roman"/>
                <w:color w:val="auto"/>
                <w:sz w:val="21"/>
                <w:szCs w:val="21"/>
              </w:rPr>
              <w:t>运行、管理有一定的危险性；只能就地使用；制取设备复杂；操作管理要求高</w:t>
            </w:r>
          </w:p>
        </w:tc>
        <w:tc>
          <w:tcPr>
            <w:tcW w:w="8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8"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臭氧</w:t>
            </w:r>
            <w:r>
              <w:rPr>
                <w:rFonts w:hint="default" w:ascii="Times New Roman" w:hAnsi="Times New Roman" w:eastAsia="宋体" w:cs="Times New Roman"/>
                <w:color w:val="auto"/>
                <w:sz w:val="21"/>
                <w:szCs w:val="21"/>
                <w:lang w:val="en-US" w:eastAsia="en-US"/>
              </w:rPr>
              <w:t>O</w:t>
            </w:r>
            <w:r>
              <w:rPr>
                <w:rFonts w:hint="eastAsia" w:ascii="Times New Roman" w:hAnsi="Times New Roman" w:eastAsia="宋体" w:cs="Times New Roman"/>
                <w:color w:val="auto"/>
                <w:sz w:val="21"/>
                <w:szCs w:val="21"/>
                <w:vertAlign w:val="subscript"/>
              </w:rPr>
              <w:t>3</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有强氧化能力，接触时间短；不产生有机</w:t>
            </w:r>
            <w:r>
              <w:rPr>
                <w:rFonts w:hint="eastAsia" w:ascii="Times New Roman" w:hAnsi="Times New Roman" w:eastAsia="宋体" w:cs="Times New Roman"/>
                <w:color w:val="auto"/>
                <w:sz w:val="21"/>
                <w:szCs w:val="21"/>
                <w:lang w:eastAsia="zh-CN"/>
              </w:rPr>
              <w:t>氯</w:t>
            </w:r>
            <w:r>
              <w:rPr>
                <w:rFonts w:hint="eastAsia" w:ascii="Times New Roman" w:hAnsi="Times New Roman" w:eastAsia="宋体" w:cs="Times New Roman"/>
                <w:color w:val="auto"/>
                <w:sz w:val="21"/>
                <w:szCs w:val="21"/>
              </w:rPr>
              <w:t>化物；不受</w:t>
            </w:r>
            <w:r>
              <w:rPr>
                <w:rFonts w:hint="default" w:ascii="Times New Roman" w:hAnsi="Times New Roman" w:eastAsia="宋体" w:cs="Times New Roman"/>
                <w:color w:val="auto"/>
                <w:sz w:val="21"/>
                <w:szCs w:val="21"/>
                <w:lang w:val="en-US" w:eastAsia="en-US"/>
              </w:rPr>
              <w:t>pH</w:t>
            </w:r>
            <w:r>
              <w:rPr>
                <w:rFonts w:hint="eastAsia" w:ascii="Times New Roman" w:hAnsi="Times New Roman" w:eastAsia="宋体" w:cs="Times New Roman"/>
                <w:color w:val="auto"/>
                <w:sz w:val="21"/>
                <w:szCs w:val="21"/>
              </w:rPr>
              <w:t>影响；能增加水中溶解氧</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臭</w:t>
            </w:r>
            <w:r>
              <w:rPr>
                <w:rFonts w:hint="eastAsia" w:ascii="Times New Roman" w:hAnsi="Times New Roman" w:eastAsia="宋体" w:cs="Times New Roman"/>
                <w:color w:val="auto"/>
                <w:sz w:val="21"/>
                <w:szCs w:val="21"/>
              </w:rPr>
              <w:t>氧运行、管理有一定的危险性；操作复杂；制取</w:t>
            </w:r>
            <w:r>
              <w:rPr>
                <w:rFonts w:hint="eastAsia" w:ascii="Times New Roman" w:hAnsi="Times New Roman" w:eastAsia="宋体" w:cs="Times New Roman"/>
                <w:color w:val="auto"/>
                <w:sz w:val="21"/>
                <w:szCs w:val="21"/>
                <w:lang w:eastAsia="zh-CN"/>
              </w:rPr>
              <w:t>臭</w:t>
            </w:r>
            <w:r>
              <w:rPr>
                <w:rFonts w:hint="eastAsia" w:ascii="Times New Roman" w:hAnsi="Times New Roman" w:eastAsia="宋体" w:cs="Times New Roman"/>
                <w:color w:val="auto"/>
                <w:sz w:val="21"/>
                <w:szCs w:val="21"/>
              </w:rPr>
              <w:t>氧的产率低；电能消耗大；基建投资较大；运行成本高</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杀菌和杀灭病毒的效果均很好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2"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紫外线</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无有害的残余物质；无臭味；操作简单，易实现自动化；运行管理和维修费用低</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电耗大；紫外灯管与石英套管需定期更换；对处理水的水质要求较高；无后续杀菌作用</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效果好，但对悬浮物浓度有要求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5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单过硫酸氢钾</w:t>
            </w:r>
          </w:p>
        </w:tc>
        <w:tc>
          <w:tcPr>
            <w:tcW w:w="16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有强氧化能力，接触时间短；不产生有机氯化物；广谱、安全，能去除氨氮</w:t>
            </w:r>
          </w:p>
        </w:tc>
        <w:tc>
          <w:tcPr>
            <w:tcW w:w="19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运行成本</w:t>
            </w:r>
            <w:r>
              <w:rPr>
                <w:rFonts w:hint="eastAsia" w:ascii="Times New Roman" w:hAnsi="Times New Roman" w:eastAsia="宋体" w:cs="Times New Roman"/>
                <w:color w:val="auto"/>
                <w:sz w:val="21"/>
                <w:szCs w:val="21"/>
                <w:lang w:eastAsia="zh-CN"/>
              </w:rPr>
              <w:t>较</w:t>
            </w:r>
            <w:r>
              <w:rPr>
                <w:rFonts w:hint="eastAsia" w:ascii="Times New Roman" w:hAnsi="Times New Roman" w:eastAsia="宋体" w:cs="Times New Roman"/>
                <w:color w:val="auto"/>
                <w:sz w:val="21"/>
                <w:szCs w:val="21"/>
              </w:rPr>
              <w:t>高</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杀菌和杀灭病毒的效果均很好</w:t>
            </w:r>
          </w:p>
        </w:tc>
      </w:tr>
    </w:tbl>
    <w:p>
      <w:pPr>
        <w:keepNext w:val="0"/>
        <w:keepLines w:val="0"/>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highlight w:val="none"/>
          <w:lang w:eastAsia="zh-CN"/>
        </w:rPr>
        <w:t>对照《医院污水处理工程技术规范》（HJ2029—2013）6.3.1.2 常规预处理工艺“传染病医院污水预消毒宜采用臭氧消毒。消毒时间应不小于30 min”，对照</w:t>
      </w:r>
      <w:r>
        <w:rPr>
          <w:rFonts w:hint="eastAsia" w:cs="Times New Roman"/>
          <w:b w:val="0"/>
          <w:bCs/>
          <w:color w:val="auto"/>
          <w:spacing w:val="6"/>
          <w:lang w:eastAsia="zh-CN"/>
        </w:rPr>
        <w:t>《医疗机构水污染物排放标准》（GB 18466-2005）：“5.7 消毒剂应根据技术经济分析选用，通常使用的有：二氧化氯、次氯酸钠、液氯、紫外线和臭氧等。5.7.2 采用臭氧消毒，污水悬浮物浓度应小于 20 mg/L，臭氧用量应大于 10 mg/L，接触时间应大于 12 min 或由试验确定”，</w:t>
      </w:r>
      <w:r>
        <w:rPr>
          <w:rFonts w:hint="eastAsia" w:ascii="Times New Roman" w:hAnsi="Times New Roman" w:eastAsia="宋体" w:cs="Times New Roman"/>
          <w:color w:val="auto"/>
          <w:highlight w:val="none"/>
          <w:lang w:eastAsia="zh-CN"/>
        </w:rPr>
        <w:t>本项目</w:t>
      </w:r>
      <w:r>
        <w:rPr>
          <w:rFonts w:hint="eastAsia" w:cs="Times New Roman"/>
          <w:color w:val="auto"/>
          <w:highlight w:val="none"/>
          <w:lang w:eastAsia="zh-CN"/>
        </w:rPr>
        <w:t>特殊门诊</w:t>
      </w:r>
      <w:r>
        <w:rPr>
          <w:rFonts w:hint="eastAsia" w:ascii="Times New Roman" w:hAnsi="Times New Roman" w:eastAsia="宋体" w:cs="Times New Roman"/>
          <w:color w:val="auto"/>
          <w:highlight w:val="none"/>
          <w:lang w:eastAsia="zh-CN"/>
        </w:rPr>
        <w:t>预消毒池采用的工艺为“臭氧</w:t>
      </w:r>
      <w:r>
        <w:rPr>
          <w:rFonts w:hint="eastAsia" w:ascii="Times New Roman" w:hAnsi="Times New Roman" w:eastAsia="宋体" w:cs="Times New Roman"/>
          <w:color w:val="auto"/>
          <w:highlight w:val="none"/>
          <w:lang w:val="en-US" w:eastAsia="zh-CN"/>
        </w:rPr>
        <w:t>+单过硫酸氢钾</w:t>
      </w:r>
      <w:r>
        <w:rPr>
          <w:rFonts w:hint="eastAsia" w:ascii="Times New Roman" w:hAnsi="Times New Roman" w:eastAsia="宋体" w:cs="Times New Roman"/>
          <w:color w:val="auto"/>
          <w:highlight w:val="none"/>
          <w:lang w:eastAsia="zh-CN"/>
        </w:rPr>
        <w:t>”组合法，废水在预消毒池的停留时间不低于</w:t>
      </w:r>
      <w:r>
        <w:rPr>
          <w:rFonts w:hint="eastAsia" w:ascii="Times New Roman" w:hAnsi="Times New Roman" w:eastAsia="宋体" w:cs="Times New Roman"/>
          <w:color w:val="auto"/>
          <w:highlight w:val="none"/>
          <w:lang w:val="en-US" w:eastAsia="zh-CN"/>
        </w:rPr>
        <w:t>90min，因此预消毒池采用的消毒工艺符合标准及规范要求。本项目</w:t>
      </w:r>
      <w:r>
        <w:rPr>
          <w:rFonts w:hint="eastAsia" w:ascii="Times New Roman" w:hAnsi="Times New Roman" w:eastAsia="宋体" w:cs="Times New Roman"/>
          <w:color w:val="auto"/>
          <w:highlight w:val="none"/>
          <w:lang w:eastAsia="zh-CN"/>
        </w:rPr>
        <w:t>综合污水处理站采用的消毒工艺为“</w:t>
      </w:r>
      <w:r>
        <w:rPr>
          <w:rFonts w:hint="eastAsia" w:ascii="Times New Roman" w:hAnsi="Times New Roman" w:eastAsia="宋体" w:cs="Times New Roman"/>
          <w:color w:val="auto"/>
          <w:highlight w:val="none"/>
          <w:lang w:val="en-US" w:eastAsia="zh-CN"/>
        </w:rPr>
        <w:t>单过硫酸氢钾</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对照上表可知采用单过硫酸氢钾消毒效果较好。同时，根据《医院废水处理消毒技术及应用综述》（叶剑娜）、《新型医疗机构污水消毒处理新方法新工艺对疾病防控的探讨与实践》（孙剑彬）等论文资料，</w:t>
      </w:r>
      <w:r>
        <w:rPr>
          <w:rFonts w:hint="eastAsia" w:ascii="Times New Roman" w:hAnsi="Times New Roman" w:eastAsia="宋体" w:cs="Times New Roman"/>
          <w:color w:val="auto"/>
          <w:highlight w:val="none"/>
          <w:lang w:eastAsia="zh-CN"/>
        </w:rPr>
        <w:t>目前“</w:t>
      </w:r>
      <w:r>
        <w:rPr>
          <w:rFonts w:hint="eastAsia" w:ascii="Times New Roman" w:hAnsi="Times New Roman" w:eastAsia="宋体" w:cs="Times New Roman"/>
          <w:color w:val="auto"/>
          <w:highlight w:val="none"/>
          <w:lang w:val="en-US" w:eastAsia="zh-CN"/>
        </w:rPr>
        <w:t>单过硫酸氢钾</w:t>
      </w:r>
      <w:r>
        <w:rPr>
          <w:rFonts w:hint="eastAsia" w:ascii="Times New Roman" w:hAnsi="Times New Roman" w:eastAsia="宋体" w:cs="Times New Roman"/>
          <w:color w:val="auto"/>
          <w:highlight w:val="none"/>
          <w:lang w:eastAsia="zh-CN"/>
        </w:rPr>
        <w:t>”消毒方式已被各地医院普遍应用，且研究数据表明该消毒方式的效果明显优于次氯酸钠等其他消毒措施</w:t>
      </w:r>
      <w:r>
        <w:rPr>
          <w:rFonts w:hint="eastAsia" w:ascii="Times New Roman" w:hAnsi="Times New Roman" w:eastAsia="宋体" w:cs="Times New Roman"/>
          <w:color w:val="auto"/>
          <w:highlight w:val="none"/>
          <w:lang w:eastAsia="zh-CN"/>
        </w:rPr>
        <w:t>。参</w:t>
      </w:r>
      <w:r>
        <w:rPr>
          <w:rFonts w:hint="eastAsia" w:ascii="Times New Roman" w:hAnsi="Times New Roman" w:eastAsia="宋体" w:cs="Times New Roman"/>
          <w:color w:val="auto"/>
          <w:highlight w:val="none"/>
          <w:lang w:eastAsia="zh-CN"/>
        </w:rPr>
        <w:t>考</w:t>
      </w:r>
      <w:r>
        <w:rPr>
          <w:rFonts w:hint="default" w:ascii="Times New Roman" w:hAnsi="Times New Roman" w:eastAsia="宋体" w:cs="Times New Roman"/>
          <w:color w:val="auto"/>
          <w:kern w:val="0"/>
          <w:sz w:val="24"/>
          <w:szCs w:val="24"/>
          <w:highlight w:val="none"/>
          <w:lang w:val="en-US" w:eastAsia="zh-CN" w:bidi="ar"/>
        </w:rPr>
        <w:t>安徽医科大学</w:t>
      </w:r>
      <w:r>
        <w:rPr>
          <w:rFonts w:hint="eastAsia"/>
          <w:color w:val="auto"/>
          <w:highlight w:val="none"/>
          <w:lang w:val="en-US" w:eastAsia="zh-CN"/>
        </w:rPr>
        <w:t>第二附属医院</w:t>
      </w:r>
      <w:r>
        <w:rPr>
          <w:rFonts w:hint="eastAsia" w:ascii="Times New Roman" w:hAnsi="Times New Roman" w:eastAsia="宋体" w:cs="Times New Roman"/>
          <w:color w:val="auto"/>
          <w:kern w:val="0"/>
          <w:sz w:val="24"/>
          <w:szCs w:val="24"/>
          <w:highlight w:val="none"/>
          <w:lang w:val="en-US" w:eastAsia="zh-CN" w:bidi="ar"/>
        </w:rPr>
        <w:t>污水处理站单过硫酸氢钾消毒粉使用情况及总排口水质监测报告，</w:t>
      </w:r>
      <w:r>
        <w:rPr>
          <w:rFonts w:hint="eastAsia" w:ascii="Times New Roman" w:hAnsi="Times New Roman" w:eastAsia="宋体" w:cs="Times New Roman"/>
          <w:color w:val="auto"/>
          <w:highlight w:val="none"/>
          <w:lang w:val="en-US" w:eastAsia="zh-CN"/>
        </w:rPr>
        <w:t>单过硫酸氢钾</w:t>
      </w:r>
      <w:r>
        <w:rPr>
          <w:rFonts w:hint="eastAsia" w:ascii="Times New Roman" w:hAnsi="Times New Roman" w:eastAsia="宋体" w:cs="Times New Roman"/>
          <w:color w:val="auto"/>
          <w:highlight w:val="none"/>
          <w:lang w:eastAsia="zh-CN"/>
        </w:rPr>
        <w:t>消毒效果稳定，能够确保废水中粪大肠菌群达标排放。因此，综合污水处理站采用“单过硫酸氢钾”的消毒工</w:t>
      </w:r>
      <w:r>
        <w:rPr>
          <w:rFonts w:hint="eastAsia" w:ascii="Times New Roman" w:hAnsi="Times New Roman" w:eastAsia="宋体" w:cs="Times New Roman"/>
          <w:color w:val="auto"/>
          <w:kern w:val="0"/>
          <w:sz w:val="24"/>
          <w:szCs w:val="24"/>
          <w:highlight w:val="none"/>
          <w:lang w:val="en-US" w:eastAsia="zh-CN" w:bidi="ar"/>
        </w:rPr>
        <w:t>艺合理可行。</w:t>
      </w:r>
    </w:p>
    <w:p>
      <w:pPr>
        <w:keepNext w:val="0"/>
        <w:keepLines w:val="0"/>
        <w:pageBreakBefore w:val="0"/>
        <w:widowControl w:val="0"/>
        <w:kinsoku/>
        <w:wordWrap/>
        <w:overflowPunct/>
        <w:topLinePunct w:val="0"/>
        <w:bidi w:val="0"/>
        <w:adjustRightInd/>
        <w:snapToGrid/>
        <w:spacing w:line="360" w:lineRule="auto"/>
        <w:ind w:right="0" w:rightChars="0"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综上。本项目采取的消毒工艺可行。</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bCs w:val="0"/>
          <w:color w:val="auto"/>
          <w:spacing w:val="6"/>
        </w:rPr>
      </w:pPr>
      <w:r>
        <w:rPr>
          <w:rFonts w:hint="default" w:ascii="Times New Roman" w:hAnsi="Times New Roman" w:cs="Times New Roman"/>
          <w:b/>
          <w:bCs w:val="0"/>
          <w:color w:val="auto"/>
          <w:spacing w:val="6"/>
        </w:rPr>
        <w:t>污泥处置工艺可行性论证</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val="0"/>
          <w:bCs/>
          <w:color w:val="auto"/>
          <w:spacing w:val="6"/>
        </w:rPr>
      </w:pPr>
      <w:r>
        <w:rPr>
          <w:rFonts w:hint="default" w:ascii="Times New Roman" w:hAnsi="Times New Roman" w:cs="Times New Roman"/>
          <w:b w:val="0"/>
          <w:bCs/>
          <w:color w:val="auto"/>
          <w:spacing w:val="6"/>
        </w:rPr>
        <w:t>根据《医院污水处理工程技术规范》（HJ2029-2013），“污泥消毒一般采用化学消毒方式，常用的消毒药剂为石灰和漂白粉。污泥脱水宜采用离心式脱水机，离心分离前的污泥调质一般采用有机或无机药剂进行化学调质，脱水污泥含水率应小于80%。脱水过程必须考虑密封和气体处理，脱水后的污泥应密闭封装、运输。医院污泥应按危险废物处理处置要求，由具有危险废物处理处置资质的单位进行集中处置”。</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val="0"/>
          <w:bCs/>
          <w:color w:val="auto"/>
          <w:spacing w:val="6"/>
        </w:rPr>
      </w:pPr>
      <w:r>
        <w:rPr>
          <w:rFonts w:hint="default" w:ascii="Times New Roman" w:hAnsi="Times New Roman" w:cs="Times New Roman"/>
          <w:b w:val="0"/>
          <w:bCs/>
          <w:color w:val="auto"/>
          <w:spacing w:val="6"/>
        </w:rPr>
        <w:t>本项目污泥处置采用“石灰消毒+化学调质+污泥脱水”，脱水污泥含水率小于80%，污泥处理过程中产生的废气收集后经</w:t>
      </w:r>
      <w:r>
        <w:rPr>
          <w:rFonts w:hint="eastAsia" w:cs="Times New Roman"/>
          <w:b w:val="0"/>
          <w:bCs/>
          <w:color w:val="auto"/>
          <w:spacing w:val="6"/>
          <w:lang w:eastAsia="zh-CN"/>
        </w:rPr>
        <w:t>生物滤池处理</w:t>
      </w:r>
      <w:r>
        <w:rPr>
          <w:rFonts w:hint="default" w:ascii="Times New Roman" w:hAnsi="Times New Roman" w:cs="Times New Roman"/>
          <w:b w:val="0"/>
          <w:bCs/>
          <w:color w:val="auto"/>
          <w:spacing w:val="6"/>
        </w:rPr>
        <w:t>，</w:t>
      </w:r>
      <w:r>
        <w:rPr>
          <w:rFonts w:hint="default" w:ascii="Times New Roman" w:hAnsi="Times New Roman" w:cs="Times New Roman"/>
          <w:b w:val="0"/>
          <w:bCs/>
          <w:color w:val="auto"/>
          <w:spacing w:val="6"/>
        </w:rPr>
        <w:t>污泥危险废物处理处置要求，由具有危险废物处理处置资质的单位进行集中处置，可以满足《医院污水处理工程技术规范》（HJ2029-2013）</w:t>
      </w:r>
      <w:r>
        <w:rPr>
          <w:rFonts w:hint="eastAsia" w:cs="Times New Roman"/>
          <w:b w:val="0"/>
          <w:bCs/>
          <w:color w:val="auto"/>
          <w:spacing w:val="6"/>
          <w:lang w:eastAsia="zh-CN"/>
        </w:rPr>
        <w:t>要求</w:t>
      </w:r>
      <w:r>
        <w:rPr>
          <w:rFonts w:hint="default" w:ascii="Times New Roman" w:hAnsi="Times New Roman" w:cs="Times New Roman"/>
          <w:b w:val="0"/>
          <w:bCs/>
          <w:color w:val="auto"/>
          <w:spacing w:val="6"/>
        </w:rPr>
        <w:t>。</w:t>
      </w:r>
    </w:p>
    <w:p>
      <w:pPr>
        <w:pageBreakBefore w:val="0"/>
        <w:widowControl w:val="0"/>
        <w:kinsoku/>
        <w:wordWrap/>
        <w:overflowPunct/>
        <w:topLinePunct w:val="0"/>
        <w:bidi w:val="0"/>
        <w:spacing w:line="360" w:lineRule="auto"/>
        <w:ind w:right="0" w:rightChars="0"/>
        <w:textAlignment w:val="auto"/>
        <w:rPr>
          <w:rFonts w:hint="eastAsia" w:cs="Times New Roman"/>
          <w:b w:val="0"/>
          <w:bCs/>
          <w:color w:val="auto"/>
          <w:spacing w:val="6"/>
          <w:lang w:eastAsia="zh-CN"/>
        </w:rPr>
      </w:pPr>
      <w:r>
        <w:rPr>
          <w:rFonts w:hint="eastAsia" w:cs="Times New Roman"/>
          <w:b w:val="0"/>
          <w:bCs/>
          <w:color w:val="auto"/>
          <w:spacing w:val="6"/>
          <w:lang w:eastAsia="zh-CN"/>
        </w:rPr>
        <w:t>综上，本项目废水经处理后能够达标排放。</w:t>
      </w:r>
    </w:p>
    <w:p>
      <w:pPr>
        <w:pageBreakBefore w:val="0"/>
        <w:widowControl w:val="0"/>
        <w:kinsoku/>
        <w:wordWrap/>
        <w:overflowPunct/>
        <w:topLinePunct w:val="0"/>
        <w:bidi w:val="0"/>
        <w:spacing w:line="360" w:lineRule="auto"/>
        <w:ind w:right="0" w:rightChars="0"/>
        <w:textAlignment w:val="auto"/>
        <w:rPr>
          <w:rFonts w:hint="default" w:ascii="Times New Roman" w:hAnsi="Times New Roman" w:cs="Times New Roman"/>
          <w:b w:val="0"/>
          <w:bCs/>
          <w:color w:val="auto"/>
          <w:spacing w:val="6"/>
        </w:rPr>
      </w:pPr>
      <w:r>
        <w:rPr>
          <w:rFonts w:hint="default" w:ascii="Times New Roman" w:hAnsi="Times New Roman" w:cs="Times New Roman"/>
          <w:b w:val="0"/>
          <w:bCs/>
          <w:color w:val="auto"/>
          <w:spacing w:val="6"/>
        </w:rPr>
        <w:t>（</w:t>
      </w:r>
      <w:r>
        <w:rPr>
          <w:rFonts w:hint="eastAsia" w:ascii="Times New Roman" w:hAnsi="Times New Roman" w:cs="Times New Roman"/>
          <w:b w:val="0"/>
          <w:bCs/>
          <w:color w:val="auto"/>
          <w:spacing w:val="6"/>
          <w:lang w:val="en-US" w:eastAsia="zh-CN"/>
        </w:rPr>
        <w:t>3</w:t>
      </w:r>
      <w:r>
        <w:rPr>
          <w:rFonts w:hint="default" w:ascii="Times New Roman" w:hAnsi="Times New Roman" w:cs="Times New Roman"/>
          <w:b w:val="0"/>
          <w:bCs/>
          <w:color w:val="auto"/>
          <w:spacing w:val="6"/>
        </w:rPr>
        <w:t>）对</w:t>
      </w:r>
      <w:r>
        <w:rPr>
          <w:rFonts w:hint="eastAsia" w:cs="Times New Roman"/>
          <w:b w:val="0"/>
          <w:bCs/>
          <w:color w:val="auto"/>
          <w:spacing w:val="6"/>
          <w:lang w:eastAsia="zh-CN"/>
        </w:rPr>
        <w:t>十五里河污水处理厂</w:t>
      </w:r>
      <w:r>
        <w:rPr>
          <w:rFonts w:hint="default" w:ascii="Times New Roman" w:hAnsi="Times New Roman" w:cs="Times New Roman"/>
          <w:b w:val="0"/>
          <w:bCs/>
          <w:color w:val="auto"/>
          <w:spacing w:val="6"/>
        </w:rPr>
        <w:t>的环境影响分析</w:t>
      </w:r>
    </w:p>
    <w:p>
      <w:pPr>
        <w:keepNext w:val="0"/>
        <w:keepLines w:val="0"/>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ascii="宋体" w:hAnsi="宋体"/>
          <w:bCs/>
          <w:color w:val="auto"/>
          <w:spacing w:val="6"/>
          <w:sz w:val="24"/>
          <w:szCs w:val="24"/>
        </w:rPr>
      </w:pPr>
      <w:r>
        <w:rPr>
          <w:rFonts w:hint="eastAsia" w:cs="Times New Roman"/>
          <w:color w:val="auto"/>
          <w:sz w:val="24"/>
          <w:szCs w:val="24"/>
          <w:highlight w:val="none"/>
          <w:lang w:eastAsia="zh-CN"/>
        </w:rPr>
        <w:t>十五里河污水处理厂</w:t>
      </w:r>
      <w:r>
        <w:rPr>
          <w:rFonts w:hint="eastAsia"/>
          <w:color w:val="auto"/>
          <w:sz w:val="24"/>
          <w:szCs w:val="24"/>
          <w:highlight w:val="none"/>
          <w:lang w:eastAsia="zh-CN"/>
        </w:rPr>
        <w:t>日处理污水</w:t>
      </w:r>
      <w:r>
        <w:rPr>
          <w:rFonts w:hint="eastAsia"/>
          <w:color w:val="auto"/>
          <w:sz w:val="24"/>
          <w:szCs w:val="24"/>
          <w:highlight w:val="none"/>
          <w:lang w:val="en-US" w:eastAsia="zh-CN"/>
        </w:rPr>
        <w:t>30</w:t>
      </w:r>
      <w:r>
        <w:rPr>
          <w:rFonts w:hint="eastAsia"/>
          <w:color w:val="auto"/>
          <w:sz w:val="24"/>
          <w:szCs w:val="24"/>
          <w:highlight w:val="none"/>
          <w:lang w:eastAsia="zh-CN"/>
        </w:rPr>
        <w:t>万吨，</w:t>
      </w:r>
      <w:r>
        <w:rPr>
          <w:rFonts w:hint="eastAsia"/>
          <w:color w:val="auto"/>
          <w:sz w:val="24"/>
          <w:szCs w:val="24"/>
          <w:highlight w:val="none"/>
          <w:lang w:val="en-US" w:eastAsia="zh-CN"/>
        </w:rPr>
        <w:t>目前余量充足。</w:t>
      </w:r>
      <w:r>
        <w:rPr>
          <w:rFonts w:hint="eastAsia" w:ascii="宋体" w:hAnsi="宋体"/>
          <w:bCs/>
          <w:color w:val="auto"/>
          <w:spacing w:val="6"/>
          <w:sz w:val="24"/>
          <w:szCs w:val="24"/>
        </w:rPr>
        <w:t>项目</w:t>
      </w:r>
      <w:r>
        <w:rPr>
          <w:rFonts w:hint="eastAsia" w:ascii="宋体" w:hAnsi="宋体"/>
          <w:bCs/>
          <w:color w:val="auto"/>
          <w:spacing w:val="6"/>
          <w:sz w:val="24"/>
          <w:szCs w:val="24"/>
          <w:lang w:eastAsia="zh-CN"/>
        </w:rPr>
        <w:t>建成后新增废水排放量</w:t>
      </w:r>
      <w:r>
        <w:rPr>
          <w:rFonts w:hint="default" w:ascii="Times New Roman" w:hAnsi="Times New Roman" w:cs="Times New Roman"/>
          <w:bCs/>
          <w:color w:val="auto"/>
          <w:spacing w:val="6"/>
          <w:sz w:val="24"/>
          <w:szCs w:val="24"/>
          <w:lang w:eastAsia="zh-CN"/>
        </w:rPr>
        <w:t>约</w:t>
      </w:r>
      <w:r>
        <w:rPr>
          <w:rFonts w:hint="default" w:ascii="Times New Roman" w:hAnsi="Times New Roman" w:cs="Times New Roman"/>
          <w:bCs/>
          <w:color w:val="auto"/>
          <w:spacing w:val="6"/>
          <w:sz w:val="24"/>
          <w:szCs w:val="24"/>
          <w:lang w:val="en-US" w:eastAsia="zh-CN"/>
        </w:rPr>
        <w:t>9</w:t>
      </w:r>
      <w:r>
        <w:rPr>
          <w:rFonts w:hint="eastAsia" w:ascii="Times New Roman" w:hAnsi="Times New Roman" w:cs="Times New Roman"/>
          <w:bCs/>
          <w:color w:val="auto"/>
          <w:spacing w:val="6"/>
          <w:sz w:val="24"/>
          <w:szCs w:val="24"/>
          <w:lang w:val="en-US" w:eastAsia="zh-CN"/>
        </w:rPr>
        <w:t>60</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/d，</w:t>
      </w:r>
      <w:r>
        <w:rPr>
          <w:rFonts w:hint="eastAsia" w:ascii="Times New Roman" w:hAnsi="Times New Roman" w:eastAsia="宋体" w:cs="Times New Roman"/>
          <w:b w:val="0"/>
          <w:bCs w:val="0"/>
          <w:color w:val="auto"/>
          <w:sz w:val="24"/>
          <w:szCs w:val="24"/>
          <w:highlight w:val="none"/>
          <w:lang w:val="en-US" w:eastAsia="zh-CN"/>
        </w:rPr>
        <w:t>占总处理水量的比例很小，</w:t>
      </w:r>
      <w:r>
        <w:rPr>
          <w:rFonts w:hint="eastAsia"/>
          <w:color w:val="auto"/>
          <w:sz w:val="24"/>
          <w:szCs w:val="24"/>
          <w:highlight w:val="none"/>
          <w:lang w:eastAsia="zh-CN"/>
        </w:rPr>
        <w:t>项目废水</w:t>
      </w:r>
      <w:r>
        <w:rPr>
          <w:rFonts w:hint="eastAsia" w:ascii="宋体" w:hAnsi="宋体"/>
          <w:bCs/>
          <w:color w:val="auto"/>
          <w:spacing w:val="6"/>
          <w:sz w:val="24"/>
          <w:szCs w:val="24"/>
        </w:rPr>
        <w:t>与</w:t>
      </w:r>
      <w:r>
        <w:rPr>
          <w:rFonts w:hint="eastAsia" w:ascii="宋体" w:hAnsi="宋体"/>
          <w:bCs/>
          <w:color w:val="auto"/>
          <w:spacing w:val="6"/>
          <w:sz w:val="24"/>
          <w:szCs w:val="24"/>
          <w:lang w:eastAsia="zh-CN"/>
        </w:rPr>
        <w:t>十五里河污水处理厂</w:t>
      </w:r>
      <w:r>
        <w:rPr>
          <w:rFonts w:hint="eastAsia" w:ascii="宋体" w:hAnsi="宋体"/>
          <w:bCs/>
          <w:color w:val="auto"/>
          <w:spacing w:val="6"/>
          <w:sz w:val="24"/>
          <w:szCs w:val="24"/>
        </w:rPr>
        <w:t>混合后水质浓度基本无变化，不</w:t>
      </w:r>
      <w:r>
        <w:rPr>
          <w:rFonts w:hint="eastAsia" w:ascii="宋体" w:hAnsi="宋体"/>
          <w:bCs/>
          <w:color w:val="auto"/>
          <w:spacing w:val="6"/>
          <w:sz w:val="24"/>
          <w:szCs w:val="24"/>
          <w:lang w:eastAsia="zh-CN"/>
        </w:rPr>
        <w:t>会</w:t>
      </w:r>
      <w:r>
        <w:rPr>
          <w:rFonts w:hint="eastAsia" w:ascii="宋体" w:hAnsi="宋体"/>
          <w:bCs/>
          <w:color w:val="auto"/>
          <w:spacing w:val="6"/>
          <w:sz w:val="24"/>
          <w:szCs w:val="24"/>
        </w:rPr>
        <w:t>改变</w:t>
      </w:r>
      <w:r>
        <w:rPr>
          <w:rFonts w:hint="eastAsia" w:ascii="宋体" w:hAnsi="宋体"/>
          <w:bCs/>
          <w:color w:val="auto"/>
          <w:spacing w:val="6"/>
          <w:sz w:val="24"/>
          <w:szCs w:val="24"/>
          <w:lang w:eastAsia="zh-CN"/>
        </w:rPr>
        <w:t>十五里河污水处理厂</w:t>
      </w:r>
      <w:r>
        <w:rPr>
          <w:rFonts w:hint="eastAsia" w:ascii="宋体" w:hAnsi="宋体"/>
          <w:bCs/>
          <w:color w:val="auto"/>
          <w:spacing w:val="6"/>
          <w:sz w:val="24"/>
          <w:szCs w:val="24"/>
        </w:rPr>
        <w:t>环境功能现状。</w:t>
      </w:r>
      <w:r>
        <w:rPr>
          <w:rFonts w:hint="eastAsia" w:ascii="宋体" w:hAnsi="宋体"/>
          <w:bCs/>
          <w:color w:val="auto"/>
          <w:spacing w:val="6"/>
          <w:sz w:val="24"/>
          <w:szCs w:val="24"/>
          <w:lang w:eastAsia="zh-CN"/>
        </w:rPr>
        <w:t>综上分析</w:t>
      </w:r>
      <w:r>
        <w:rPr>
          <w:rFonts w:hint="eastAsia" w:ascii="宋体" w:hAnsi="宋体"/>
          <w:bCs/>
          <w:color w:val="auto"/>
          <w:spacing w:val="6"/>
          <w:sz w:val="24"/>
          <w:szCs w:val="24"/>
        </w:rPr>
        <w:t>，拟建项目排放的废水对</w:t>
      </w:r>
      <w:r>
        <w:rPr>
          <w:rFonts w:hint="eastAsia" w:ascii="宋体" w:hAnsi="宋体"/>
          <w:bCs/>
          <w:color w:val="auto"/>
          <w:spacing w:val="6"/>
          <w:sz w:val="24"/>
          <w:szCs w:val="24"/>
          <w:lang w:eastAsia="zh-CN"/>
        </w:rPr>
        <w:t>十五里河污水处理厂</w:t>
      </w:r>
      <w:r>
        <w:rPr>
          <w:rFonts w:hint="eastAsia" w:ascii="宋体" w:hAnsi="宋体"/>
          <w:bCs/>
          <w:color w:val="auto"/>
          <w:spacing w:val="6"/>
          <w:sz w:val="24"/>
          <w:szCs w:val="24"/>
        </w:rPr>
        <w:t>的影响</w:t>
      </w:r>
      <w:r>
        <w:rPr>
          <w:rFonts w:hint="eastAsia" w:ascii="宋体" w:hAnsi="宋体"/>
          <w:bCs/>
          <w:color w:val="auto"/>
          <w:spacing w:val="6"/>
          <w:sz w:val="24"/>
          <w:szCs w:val="24"/>
          <w:lang w:val="en-US" w:eastAsia="zh-CN"/>
        </w:rPr>
        <w:t>较小</w:t>
      </w:r>
      <w:r>
        <w:rPr>
          <w:rFonts w:hint="eastAsia" w:ascii="宋体" w:hAnsi="宋体"/>
          <w:bCs/>
          <w:color w:val="auto"/>
          <w:spacing w:val="6"/>
          <w:sz w:val="24"/>
          <w:szCs w:val="24"/>
        </w:rPr>
        <w:t>。</w:t>
      </w:r>
    </w:p>
    <w:p>
      <w:pPr>
        <w:bidi w:val="0"/>
        <w:jc w:val="center"/>
        <w:rPr>
          <w:rFonts w:hint="eastAsia"/>
          <w:b/>
          <w:bCs/>
          <w:color w:val="auto"/>
          <w:sz w:val="21"/>
          <w:szCs w:val="21"/>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bidi w:val="0"/>
        <w:jc w:val="center"/>
        <w:rPr>
          <w:rFonts w:hint="default"/>
          <w:b/>
          <w:bCs/>
          <w:color w:val="auto"/>
          <w:lang w:val="en-US" w:eastAsia="zh-CN"/>
        </w:rPr>
      </w:pPr>
      <w:r>
        <w:rPr>
          <w:rFonts w:hint="eastAsia"/>
          <w:b/>
          <w:bCs/>
          <w:color w:val="auto"/>
          <w:sz w:val="21"/>
          <w:szCs w:val="21"/>
          <w:lang w:val="en-US" w:eastAsia="zh-CN"/>
        </w:rPr>
        <w:t>表6.2-17  废水类别、污染物及治理设施信息表</w:t>
      </w:r>
    </w:p>
    <w:tbl>
      <w:tblPr>
        <w:tblStyle w:val="48"/>
        <w:tblW w:w="4997"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951"/>
        <w:gridCol w:w="1133"/>
        <w:gridCol w:w="1721"/>
        <w:gridCol w:w="1270"/>
        <w:gridCol w:w="1270"/>
        <w:gridCol w:w="1270"/>
        <w:gridCol w:w="1270"/>
        <w:gridCol w:w="1282"/>
        <w:gridCol w:w="733"/>
        <w:gridCol w:w="989"/>
        <w:gridCol w:w="2091"/>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trPr>
        <w:tc>
          <w:tcPr>
            <w:tcW w:w="340" w:type="pct"/>
            <w:vMerge w:val="restart"/>
            <w:tcBorders>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序号</w:t>
            </w:r>
          </w:p>
        </w:tc>
        <w:tc>
          <w:tcPr>
            <w:tcW w:w="405" w:type="pct"/>
            <w:vMerge w:val="restart"/>
            <w:tcBorders>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废水类别</w:t>
            </w:r>
          </w:p>
        </w:tc>
        <w:tc>
          <w:tcPr>
            <w:tcW w:w="615" w:type="pct"/>
            <w:vMerge w:val="restart"/>
            <w:tcBorders>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污染物种类</w:t>
            </w:r>
          </w:p>
        </w:tc>
        <w:tc>
          <w:tcPr>
            <w:tcW w:w="454" w:type="pct"/>
            <w:vMerge w:val="restart"/>
            <w:tcBorders>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排放去向</w:t>
            </w:r>
          </w:p>
        </w:tc>
        <w:tc>
          <w:tcPr>
            <w:tcW w:w="454" w:type="pct"/>
            <w:vMerge w:val="restart"/>
            <w:tcBorders>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排放规律</w:t>
            </w:r>
          </w:p>
        </w:tc>
        <w:tc>
          <w:tcPr>
            <w:tcW w:w="1366" w:type="pct"/>
            <w:gridSpan w:val="3"/>
            <w:tcBorders>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污染治理设施</w:t>
            </w:r>
          </w:p>
        </w:tc>
        <w:tc>
          <w:tcPr>
            <w:tcW w:w="262" w:type="pct"/>
            <w:vMerge w:val="restart"/>
            <w:tcBorders>
              <w:left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排放口编号</w:t>
            </w:r>
          </w:p>
        </w:tc>
        <w:tc>
          <w:tcPr>
            <w:tcW w:w="353" w:type="pct"/>
            <w:vMerge w:val="restart"/>
            <w:tcBorders>
              <w:left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排放口设置是否符合要求</w:t>
            </w:r>
          </w:p>
        </w:tc>
        <w:tc>
          <w:tcPr>
            <w:tcW w:w="747" w:type="pct"/>
            <w:vMerge w:val="restart"/>
            <w:tcBorders>
              <w:lef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排放口类型</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7" w:hRule="atLeast"/>
        </w:trPr>
        <w:tc>
          <w:tcPr>
            <w:tcW w:w="340"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405"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615"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454"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454"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45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污染治理设施编号</w:t>
            </w:r>
          </w:p>
        </w:tc>
        <w:tc>
          <w:tcPr>
            <w:tcW w:w="45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污染治理设施名称</w:t>
            </w:r>
          </w:p>
        </w:tc>
        <w:tc>
          <w:tcPr>
            <w:tcW w:w="45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污染治理设施工艺</w:t>
            </w:r>
          </w:p>
        </w:tc>
        <w:tc>
          <w:tcPr>
            <w:tcW w:w="262" w:type="pct"/>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353" w:type="pct"/>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747" w:type="pct"/>
            <w:vMerge w:val="continue"/>
            <w:tcBorders>
              <w:left w:val="single" w:color="000000" w:sz="4" w:space="0"/>
              <w:bottom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7" w:hRule="atLeast"/>
        </w:trPr>
        <w:tc>
          <w:tcPr>
            <w:tcW w:w="340" w:type="pct"/>
            <w:tcBorders>
              <w:top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1</w:t>
            </w:r>
          </w:p>
        </w:tc>
        <w:tc>
          <w:tcPr>
            <w:tcW w:w="405"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传染性废水</w:t>
            </w:r>
          </w:p>
        </w:tc>
        <w:tc>
          <w:tcPr>
            <w:tcW w:w="615"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粪大肠菌群</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院内污水处理站</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连续排放、流量不稳定</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TW002</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预消毒池</w:t>
            </w:r>
          </w:p>
        </w:tc>
        <w:tc>
          <w:tcPr>
            <w:tcW w:w="458"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sz w:val="21"/>
                <w:szCs w:val="21"/>
                <w:u w:val="none"/>
                <w:lang w:eastAsia="zh-CN"/>
              </w:rPr>
            </w:pPr>
            <w:r>
              <w:rPr>
                <w:rFonts w:hint="eastAsia" w:cs="Times New Roman"/>
                <w:i w:val="0"/>
                <w:color w:val="auto"/>
                <w:sz w:val="21"/>
                <w:szCs w:val="21"/>
                <w:u w:val="none"/>
                <w:lang w:eastAsia="zh-CN"/>
              </w:rPr>
              <w:t>臭氧</w:t>
            </w:r>
            <w:r>
              <w:rPr>
                <w:rFonts w:hint="eastAsia" w:cs="Times New Roman"/>
                <w:i w:val="0"/>
                <w:color w:val="auto"/>
                <w:sz w:val="21"/>
                <w:szCs w:val="21"/>
                <w:u w:val="none"/>
                <w:lang w:val="en-US" w:eastAsia="zh-CN"/>
              </w:rPr>
              <w:t>+</w:t>
            </w:r>
            <w:r>
              <w:rPr>
                <w:rFonts w:hint="eastAsia" w:cs="Times New Roman"/>
                <w:i w:val="0"/>
                <w:color w:val="auto"/>
                <w:sz w:val="21"/>
                <w:szCs w:val="21"/>
                <w:u w:val="none"/>
                <w:lang w:eastAsia="zh-CN"/>
              </w:rPr>
              <w:t>单过硫酸氢钾</w:t>
            </w:r>
          </w:p>
        </w:tc>
        <w:tc>
          <w:tcPr>
            <w:tcW w:w="262"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w:t>
            </w:r>
          </w:p>
        </w:tc>
        <w:tc>
          <w:tcPr>
            <w:tcW w:w="353"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sym w:font="Wingdings 2" w:char="0052"/>
            </w:r>
            <w:r>
              <w:rPr>
                <w:rFonts w:hint="eastAsia"/>
                <w:color w:val="auto"/>
                <w:sz w:val="21"/>
                <w:szCs w:val="21"/>
                <w:lang w:val="en-US" w:eastAsia="zh-CN"/>
              </w:rPr>
              <w:t>是</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color w:val="auto"/>
                <w:kern w:val="2"/>
                <w:sz w:val="21"/>
                <w:szCs w:val="21"/>
                <w:u w:val="none"/>
                <w:lang w:val="en-US" w:eastAsia="zh-CN" w:bidi="ar-SA"/>
              </w:rPr>
            </w:pPr>
            <w:r>
              <w:rPr>
                <w:rFonts w:hint="eastAsia" w:ascii="宋体" w:hAnsi="宋体" w:eastAsia="宋体" w:cs="宋体"/>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否</w:t>
            </w:r>
          </w:p>
        </w:tc>
        <w:tc>
          <w:tcPr>
            <w:tcW w:w="747" w:type="pct"/>
            <w:tcBorders>
              <w:top w:val="single" w:color="000000" w:sz="4" w:space="0"/>
              <w:lef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sym w:font="Wingdings 2" w:char="00A3"/>
            </w:r>
            <w:r>
              <w:rPr>
                <w:rFonts w:hint="default"/>
                <w:color w:val="auto"/>
                <w:sz w:val="21"/>
                <w:szCs w:val="21"/>
                <w:lang w:val="en-US" w:eastAsia="zh-CN"/>
              </w:rPr>
              <w:t>企业总排</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w:t>
            </w:r>
            <w:r>
              <w:rPr>
                <w:rFonts w:hint="default"/>
                <w:color w:val="auto"/>
                <w:sz w:val="21"/>
                <w:szCs w:val="21"/>
                <w:lang w:val="en-US" w:eastAsia="zh-CN"/>
              </w:rPr>
              <w:t>雨水排放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w:t>
            </w:r>
            <w:r>
              <w:rPr>
                <w:rFonts w:hint="default"/>
                <w:color w:val="auto"/>
                <w:sz w:val="21"/>
                <w:szCs w:val="21"/>
                <w:lang w:val="en-US" w:eastAsia="zh-CN"/>
              </w:rPr>
              <w:t>清净下水排放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sym w:font="Wingdings 2" w:char="00A3"/>
            </w:r>
            <w:r>
              <w:rPr>
                <w:rFonts w:hint="default"/>
                <w:color w:val="auto"/>
                <w:sz w:val="21"/>
                <w:szCs w:val="21"/>
                <w:lang w:val="en-US" w:eastAsia="zh-CN"/>
              </w:rPr>
              <w:t>温排水排放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olor w:val="auto"/>
                <w:kern w:val="2"/>
                <w:sz w:val="21"/>
                <w:szCs w:val="21"/>
                <w:lang w:val="en-US" w:eastAsia="zh-CN" w:bidi="ar-SA"/>
              </w:rPr>
            </w:pPr>
            <w:r>
              <w:rPr>
                <w:rFonts w:hint="eastAsia" w:ascii="宋体" w:hAnsi="宋体" w:eastAsia="宋体" w:cs="宋体"/>
                <w:i w:val="0"/>
                <w:color w:val="auto"/>
                <w:kern w:val="0"/>
                <w:sz w:val="21"/>
                <w:szCs w:val="21"/>
                <w:u w:val="none"/>
                <w:lang w:val="en-US" w:eastAsia="zh-CN" w:bidi="ar"/>
              </w:rPr>
              <w:sym w:font="Wingdings 2" w:char="0052"/>
            </w:r>
            <w:r>
              <w:rPr>
                <w:rFonts w:hint="default" w:ascii="Times New Roman" w:hAnsi="Times New Roman" w:eastAsia="宋体" w:cs="Times New Roman"/>
                <w:i w:val="0"/>
                <w:color w:val="auto"/>
                <w:kern w:val="0"/>
                <w:sz w:val="21"/>
                <w:szCs w:val="21"/>
                <w:u w:val="none"/>
                <w:lang w:val="en-US" w:eastAsia="zh-CN" w:bidi="ar"/>
              </w:rPr>
              <w:t>车间或车间处理设施排放</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7" w:hRule="atLeast"/>
        </w:trPr>
        <w:tc>
          <w:tcPr>
            <w:tcW w:w="340" w:type="pct"/>
            <w:tcBorders>
              <w:top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2</w:t>
            </w:r>
          </w:p>
        </w:tc>
        <w:tc>
          <w:tcPr>
            <w:tcW w:w="405"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综合废水</w:t>
            </w:r>
          </w:p>
        </w:tc>
        <w:tc>
          <w:tcPr>
            <w:tcW w:w="615"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COD、BOD、SS、氨氮、粪大肠杆菌</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经院内污水处理站处理排入市政污水管网</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连续排放、流量不稳定</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TW001</w:t>
            </w:r>
          </w:p>
        </w:tc>
        <w:tc>
          <w:tcPr>
            <w:tcW w:w="454"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污水处理站</w:t>
            </w:r>
          </w:p>
        </w:tc>
        <w:tc>
          <w:tcPr>
            <w:tcW w:w="458"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sz w:val="21"/>
                <w:szCs w:val="21"/>
                <w:u w:val="none"/>
              </w:rPr>
              <w:t>调节池</w:t>
            </w:r>
            <w:r>
              <w:rPr>
                <w:rFonts w:hint="eastAsia" w:ascii="Times New Roman" w:hAnsi="Times New Roman" w:eastAsia="宋体" w:cs="Times New Roman"/>
                <w:i w:val="0"/>
                <w:color w:val="auto"/>
                <w:sz w:val="21"/>
                <w:szCs w:val="21"/>
                <w:u w:val="none"/>
                <w:lang w:val="en-US" w:eastAsia="zh-CN"/>
              </w:rPr>
              <w:t>+</w:t>
            </w:r>
            <w:r>
              <w:rPr>
                <w:rFonts w:hint="default" w:ascii="Times New Roman" w:hAnsi="Times New Roman" w:eastAsia="宋体" w:cs="Times New Roman"/>
                <w:i w:val="0"/>
                <w:color w:val="auto"/>
                <w:sz w:val="21"/>
                <w:szCs w:val="21"/>
                <w:u w:val="none"/>
              </w:rPr>
              <w:t>水解酸化</w:t>
            </w:r>
            <w:r>
              <w:rPr>
                <w:rFonts w:hint="eastAsia" w:ascii="Times New Roman" w:hAnsi="Times New Roman" w:eastAsia="宋体" w:cs="Times New Roman"/>
                <w:i w:val="0"/>
                <w:color w:val="auto"/>
                <w:sz w:val="21"/>
                <w:szCs w:val="21"/>
                <w:u w:val="none"/>
                <w:lang w:val="en-US" w:eastAsia="zh-CN"/>
              </w:rPr>
              <w:t>+</w:t>
            </w:r>
            <w:r>
              <w:rPr>
                <w:rFonts w:hint="default" w:ascii="Times New Roman" w:hAnsi="Times New Roman" w:eastAsia="宋体" w:cs="Times New Roman"/>
                <w:i w:val="0"/>
                <w:color w:val="auto"/>
                <w:sz w:val="21"/>
                <w:szCs w:val="21"/>
                <w:u w:val="none"/>
              </w:rPr>
              <w:t>接触氧化</w:t>
            </w:r>
            <w:r>
              <w:rPr>
                <w:rFonts w:hint="eastAsia" w:ascii="Times New Roman" w:hAnsi="Times New Roman" w:eastAsia="宋体" w:cs="Times New Roman"/>
                <w:i w:val="0"/>
                <w:color w:val="auto"/>
                <w:sz w:val="21"/>
                <w:szCs w:val="21"/>
                <w:u w:val="none"/>
                <w:lang w:val="en-US" w:eastAsia="zh-CN"/>
              </w:rPr>
              <w:t>+</w:t>
            </w:r>
            <w:r>
              <w:rPr>
                <w:rFonts w:hint="eastAsia" w:cs="Times New Roman"/>
                <w:i w:val="0"/>
                <w:color w:val="auto"/>
                <w:sz w:val="21"/>
                <w:szCs w:val="21"/>
                <w:u w:val="none"/>
                <w:lang w:eastAsia="zh-CN"/>
              </w:rPr>
              <w:t>沉淀</w:t>
            </w:r>
            <w:r>
              <w:rPr>
                <w:rFonts w:hint="eastAsia" w:cs="Times New Roman"/>
                <w:i w:val="0"/>
                <w:color w:val="auto"/>
                <w:sz w:val="21"/>
                <w:szCs w:val="21"/>
                <w:u w:val="none"/>
                <w:lang w:val="en-US" w:eastAsia="zh-CN"/>
              </w:rPr>
              <w:t>+</w:t>
            </w:r>
            <w:r>
              <w:rPr>
                <w:rFonts w:hint="default" w:ascii="Times New Roman" w:hAnsi="Times New Roman" w:eastAsia="宋体" w:cs="Times New Roman"/>
                <w:i w:val="0"/>
                <w:color w:val="auto"/>
                <w:sz w:val="21"/>
                <w:szCs w:val="21"/>
                <w:u w:val="none"/>
              </w:rPr>
              <w:t>消毒</w:t>
            </w:r>
          </w:p>
        </w:tc>
        <w:tc>
          <w:tcPr>
            <w:tcW w:w="262"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DW001</w:t>
            </w:r>
          </w:p>
        </w:tc>
        <w:tc>
          <w:tcPr>
            <w:tcW w:w="353" w:type="pct"/>
            <w:tcBorders>
              <w:top w:val="single" w:color="000000" w:sz="4" w:space="0"/>
              <w:left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sym w:font="Wingdings 2" w:char="0052"/>
            </w:r>
            <w:r>
              <w:rPr>
                <w:rFonts w:hint="eastAsia"/>
                <w:color w:val="auto"/>
                <w:sz w:val="21"/>
                <w:szCs w:val="21"/>
                <w:lang w:val="en-US" w:eastAsia="zh-CN"/>
              </w:rPr>
              <w:t>是</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否</w:t>
            </w:r>
          </w:p>
        </w:tc>
        <w:tc>
          <w:tcPr>
            <w:tcW w:w="747" w:type="pct"/>
            <w:tcBorders>
              <w:top w:val="single" w:color="000000" w:sz="4" w:space="0"/>
              <w:lef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sym w:font="Wingdings 2" w:char="0052"/>
            </w:r>
            <w:r>
              <w:rPr>
                <w:rFonts w:hint="default"/>
                <w:color w:val="auto"/>
                <w:sz w:val="21"/>
                <w:szCs w:val="21"/>
                <w:lang w:val="en-US" w:eastAsia="zh-CN"/>
              </w:rPr>
              <w:t>企业总排</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w:t>
            </w:r>
            <w:r>
              <w:rPr>
                <w:rFonts w:hint="default"/>
                <w:color w:val="auto"/>
                <w:sz w:val="21"/>
                <w:szCs w:val="21"/>
                <w:lang w:val="en-US" w:eastAsia="zh-CN"/>
              </w:rPr>
              <w:t>雨水排放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w:t>
            </w:r>
            <w:r>
              <w:rPr>
                <w:rFonts w:hint="default"/>
                <w:color w:val="auto"/>
                <w:sz w:val="21"/>
                <w:szCs w:val="21"/>
                <w:lang w:val="en-US" w:eastAsia="zh-CN"/>
              </w:rPr>
              <w:t>清净下水排放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w:t>
            </w:r>
            <w:r>
              <w:rPr>
                <w:rFonts w:hint="default"/>
                <w:color w:val="auto"/>
                <w:sz w:val="21"/>
                <w:szCs w:val="21"/>
                <w:lang w:val="en-US" w:eastAsia="zh-CN"/>
              </w:rPr>
              <w:t>温排水排放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sz w:val="21"/>
                <w:szCs w:val="21"/>
                <w:lang w:val="en-US"/>
              </w:rPr>
            </w:pPr>
            <w:r>
              <w:rPr>
                <w:rFonts w:hint="eastAsia" w:ascii="宋体" w:hAnsi="宋体" w:eastAsia="宋体" w:cs="宋体"/>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车间或车间处理设施排放</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lang w:val="en-US" w:eastAsia="zh-CN"/>
        </w:rPr>
      </w:pPr>
      <w:r>
        <w:rPr>
          <w:rFonts w:hint="default"/>
          <w:b/>
          <w:bCs/>
          <w:color w:val="auto"/>
          <w:sz w:val="21"/>
          <w:szCs w:val="21"/>
          <w:lang w:val="en-US" w:eastAsia="zh-CN"/>
        </w:rPr>
        <w:t>表</w:t>
      </w:r>
      <w:r>
        <w:rPr>
          <w:rFonts w:hint="eastAsia"/>
          <w:b/>
          <w:bCs/>
          <w:color w:val="auto"/>
          <w:sz w:val="21"/>
          <w:szCs w:val="21"/>
          <w:lang w:val="en-US" w:eastAsia="zh-CN"/>
        </w:rPr>
        <w:t>6</w:t>
      </w:r>
      <w:r>
        <w:rPr>
          <w:rFonts w:hint="default"/>
          <w:b/>
          <w:bCs/>
          <w:color w:val="auto"/>
          <w:sz w:val="21"/>
          <w:szCs w:val="21"/>
          <w:lang w:val="en-US" w:eastAsia="zh-CN"/>
        </w:rPr>
        <w:t>.2-1</w:t>
      </w:r>
      <w:r>
        <w:rPr>
          <w:rFonts w:hint="eastAsia"/>
          <w:b/>
          <w:bCs/>
          <w:color w:val="auto"/>
          <w:sz w:val="21"/>
          <w:szCs w:val="21"/>
          <w:lang w:val="en-US" w:eastAsia="zh-CN"/>
        </w:rPr>
        <w:t xml:space="preserve">8  </w:t>
      </w:r>
      <w:r>
        <w:rPr>
          <w:rFonts w:hint="default"/>
          <w:b/>
          <w:bCs/>
          <w:color w:val="auto"/>
          <w:sz w:val="21"/>
          <w:szCs w:val="21"/>
          <w:lang w:val="en-US" w:eastAsia="zh-CN"/>
        </w:rPr>
        <w:t>废水间接排放口基本表</w:t>
      </w:r>
    </w:p>
    <w:tbl>
      <w:tblPr>
        <w:tblStyle w:val="48"/>
        <w:tblW w:w="4997" w:type="pct"/>
        <w:tblInd w:w="0" w:type="dxa"/>
        <w:tblLayout w:type="fixed"/>
        <w:tblCellMar>
          <w:top w:w="0" w:type="dxa"/>
          <w:left w:w="0" w:type="dxa"/>
          <w:bottom w:w="0" w:type="dxa"/>
          <w:right w:w="0" w:type="dxa"/>
        </w:tblCellMar>
      </w:tblPr>
      <w:tblGrid>
        <w:gridCol w:w="735"/>
        <w:gridCol w:w="1363"/>
        <w:gridCol w:w="1481"/>
        <w:gridCol w:w="1348"/>
        <w:gridCol w:w="1259"/>
        <w:gridCol w:w="1231"/>
        <w:gridCol w:w="848"/>
        <w:gridCol w:w="1226"/>
        <w:gridCol w:w="1086"/>
        <w:gridCol w:w="1135"/>
        <w:gridCol w:w="2268"/>
      </w:tblGrid>
      <w:tr>
        <w:tblPrEx>
          <w:tblCellMar>
            <w:top w:w="0" w:type="dxa"/>
            <w:left w:w="0" w:type="dxa"/>
            <w:bottom w:w="0" w:type="dxa"/>
            <w:right w:w="0" w:type="dxa"/>
          </w:tblCellMar>
        </w:tblPrEx>
        <w:trPr>
          <w:trHeight w:val="180" w:hRule="atLeast"/>
        </w:trPr>
        <w:tc>
          <w:tcPr>
            <w:tcW w:w="262"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序号</w:t>
            </w:r>
          </w:p>
        </w:tc>
        <w:tc>
          <w:tcPr>
            <w:tcW w:w="487"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排放口编号</w:t>
            </w:r>
          </w:p>
        </w:tc>
        <w:tc>
          <w:tcPr>
            <w:tcW w:w="1011" w:type="pct"/>
            <w:gridSpan w:val="2"/>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排放口地理坐标</w:t>
            </w:r>
          </w:p>
        </w:tc>
        <w:tc>
          <w:tcPr>
            <w:tcW w:w="450"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废水排放量/（万 t/a）</w:t>
            </w:r>
          </w:p>
        </w:tc>
        <w:tc>
          <w:tcPr>
            <w:tcW w:w="440"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排放去向</w:t>
            </w:r>
          </w:p>
        </w:tc>
        <w:tc>
          <w:tcPr>
            <w:tcW w:w="303"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排放规律</w:t>
            </w:r>
          </w:p>
        </w:tc>
        <w:tc>
          <w:tcPr>
            <w:tcW w:w="438"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间歇排放时段</w:t>
            </w:r>
          </w:p>
        </w:tc>
        <w:tc>
          <w:tcPr>
            <w:tcW w:w="1605" w:type="pct"/>
            <w:gridSpan w:val="3"/>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受纳污水处理厂信息</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经度</w:t>
            </w:r>
          </w:p>
        </w:tc>
        <w:tc>
          <w:tcPr>
            <w:tcW w:w="48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纬度</w:t>
            </w: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名</w:t>
            </w: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污染物种类</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国家或地方污染物排放标准浓度限值/(mg/L)</w:t>
            </w:r>
          </w:p>
        </w:tc>
      </w:tr>
      <w:tr>
        <w:tblPrEx>
          <w:tblCellMar>
            <w:top w:w="0" w:type="dxa"/>
            <w:left w:w="0" w:type="dxa"/>
            <w:bottom w:w="0" w:type="dxa"/>
            <w:right w:w="0" w:type="dxa"/>
          </w:tblCellMar>
        </w:tblPrEx>
        <w:trPr>
          <w:trHeight w:val="340" w:hRule="atLeast"/>
        </w:trPr>
        <w:tc>
          <w:tcPr>
            <w:tcW w:w="262"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487"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DW001</w:t>
            </w:r>
          </w:p>
        </w:tc>
        <w:tc>
          <w:tcPr>
            <w:tcW w:w="529"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sz w:val="21"/>
                <w:szCs w:val="21"/>
                <w:highlight w:val="none"/>
                <w:u w:val="none"/>
              </w:rPr>
              <w:t>115°53′48.48339″</w:t>
            </w:r>
          </w:p>
        </w:tc>
        <w:tc>
          <w:tcPr>
            <w:tcW w:w="482"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sz w:val="21"/>
                <w:szCs w:val="21"/>
                <w:highlight w:val="none"/>
                <w:u w:val="none"/>
              </w:rPr>
              <w:t>32°48′50.20027″</w:t>
            </w:r>
          </w:p>
        </w:tc>
        <w:tc>
          <w:tcPr>
            <w:tcW w:w="450"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57.99</w:t>
            </w:r>
          </w:p>
        </w:tc>
        <w:tc>
          <w:tcPr>
            <w:tcW w:w="440"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经院内污水处理站处理排入市政污水管网</w:t>
            </w:r>
          </w:p>
        </w:tc>
        <w:tc>
          <w:tcPr>
            <w:tcW w:w="303"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连续排放</w:t>
            </w:r>
          </w:p>
        </w:tc>
        <w:tc>
          <w:tcPr>
            <w:tcW w:w="438"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388"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cs="Times New Roman"/>
                <w:i w:val="0"/>
                <w:color w:val="auto"/>
                <w:kern w:val="0"/>
                <w:sz w:val="21"/>
                <w:szCs w:val="21"/>
                <w:highlight w:val="none"/>
                <w:u w:val="none"/>
                <w:lang w:val="en-US" w:eastAsia="zh-CN" w:bidi="ar"/>
              </w:rPr>
              <w:t>十五里河污水处理厂</w:t>
            </w: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COD</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ascii="Times New Roman" w:hAnsi="Times New Roman" w:cs="Times New Roman"/>
                <w:i w:val="0"/>
                <w:color w:val="auto"/>
                <w:kern w:val="0"/>
                <w:sz w:val="21"/>
                <w:szCs w:val="21"/>
                <w:highlight w:val="none"/>
                <w:u w:val="none"/>
                <w:lang w:val="en-US" w:eastAsia="zh-CN" w:bidi="ar"/>
              </w:rPr>
              <w:t>50</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BOD</w:t>
            </w:r>
            <w:r>
              <w:rPr>
                <w:rFonts w:hint="eastAsia" w:ascii="Times New Roman" w:hAnsi="Times New Roman" w:cs="Times New Roman"/>
                <w:i w:val="0"/>
                <w:color w:val="auto"/>
                <w:kern w:val="0"/>
                <w:sz w:val="21"/>
                <w:szCs w:val="21"/>
                <w:highlight w:val="none"/>
                <w:u w:val="none"/>
                <w:vertAlign w:val="subscript"/>
                <w:lang w:val="en-US" w:eastAsia="zh-CN" w:bidi="ar"/>
              </w:rPr>
              <w:t>5</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SS</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氨氮</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eastAsia" w:ascii="Times New Roman" w:hAnsi="Times New Roman" w:cs="Times New Roman"/>
                <w:i w:val="0"/>
                <w:color w:val="auto"/>
                <w:kern w:val="0"/>
                <w:sz w:val="21"/>
                <w:szCs w:val="21"/>
                <w:highlight w:val="none"/>
                <w:u w:val="none"/>
                <w:lang w:val="en-US" w:eastAsia="zh-CN" w:bidi="ar"/>
              </w:rPr>
              <w:t>5</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动植物油</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w:t>
            </w:r>
          </w:p>
        </w:tc>
      </w:tr>
      <w:tr>
        <w:tblPrEx>
          <w:tblCellMar>
            <w:top w:w="0" w:type="dxa"/>
            <w:left w:w="0" w:type="dxa"/>
            <w:bottom w:w="0" w:type="dxa"/>
            <w:right w:w="0" w:type="dxa"/>
          </w:tblCellMar>
        </w:tblPrEx>
        <w:trPr>
          <w:trHeight w:val="340" w:hRule="atLeast"/>
        </w:trPr>
        <w:tc>
          <w:tcPr>
            <w:tcW w:w="262"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82"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5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0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highlight w:val="none"/>
                <w:u w:val="none"/>
              </w:rPr>
            </w:pPr>
          </w:p>
        </w:tc>
        <w:tc>
          <w:tcPr>
            <w:tcW w:w="40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粪大肠菌群</w:t>
            </w:r>
          </w:p>
        </w:tc>
        <w:tc>
          <w:tcPr>
            <w:tcW w:w="81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1000（MPN/L）</w:t>
            </w:r>
          </w:p>
        </w:tc>
      </w:tr>
    </w:tbl>
    <w:p>
      <w:pPr>
        <w:ind w:firstLine="422" w:firstLineChars="200"/>
        <w:jc w:val="center"/>
        <w:rPr>
          <w:b/>
          <w:bCs/>
          <w:color w:val="auto"/>
          <w:sz w:val="21"/>
          <w:szCs w:val="21"/>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ind w:firstLine="422" w:firstLineChars="200"/>
        <w:jc w:val="center"/>
        <w:rPr>
          <w:b/>
          <w:bCs/>
          <w:color w:val="auto"/>
          <w:sz w:val="21"/>
          <w:szCs w:val="21"/>
        </w:rPr>
      </w:pPr>
      <w:r>
        <w:rPr>
          <w:b/>
          <w:bCs/>
          <w:color w:val="auto"/>
          <w:sz w:val="21"/>
          <w:szCs w:val="21"/>
        </w:rPr>
        <w:t>表</w:t>
      </w:r>
      <w:r>
        <w:rPr>
          <w:rFonts w:hint="eastAsia"/>
          <w:b/>
          <w:bCs/>
          <w:color w:val="auto"/>
          <w:sz w:val="21"/>
          <w:szCs w:val="21"/>
        </w:rPr>
        <w:t>6.2-1</w:t>
      </w:r>
      <w:r>
        <w:rPr>
          <w:rFonts w:hint="eastAsia"/>
          <w:b/>
          <w:bCs/>
          <w:color w:val="auto"/>
          <w:sz w:val="21"/>
          <w:szCs w:val="21"/>
          <w:lang w:val="en-US" w:eastAsia="zh-CN"/>
        </w:rPr>
        <w:t>9</w:t>
      </w:r>
      <w:r>
        <w:rPr>
          <w:b/>
          <w:bCs/>
          <w:color w:val="auto"/>
          <w:sz w:val="21"/>
          <w:szCs w:val="21"/>
        </w:rPr>
        <w:t xml:space="preserve">  废水污染物排放执行标准</w:t>
      </w:r>
    </w:p>
    <w:tbl>
      <w:tblPr>
        <w:tblStyle w:val="4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940"/>
        <w:gridCol w:w="1337"/>
        <w:gridCol w:w="3793"/>
        <w:gridCol w:w="1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序号</w:t>
            </w:r>
          </w:p>
        </w:tc>
        <w:tc>
          <w:tcPr>
            <w:tcW w:w="55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排放口编号</w:t>
            </w:r>
          </w:p>
        </w:tc>
        <w:tc>
          <w:tcPr>
            <w:tcW w:w="78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污染物种类</w:t>
            </w:r>
          </w:p>
        </w:tc>
        <w:tc>
          <w:tcPr>
            <w:tcW w:w="3218"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p>
        </w:tc>
        <w:tc>
          <w:tcPr>
            <w:tcW w:w="78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p>
        </w:tc>
        <w:tc>
          <w:tcPr>
            <w:tcW w:w="22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名称</w:t>
            </w: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1</w:t>
            </w:r>
          </w:p>
        </w:tc>
        <w:tc>
          <w:tcPr>
            <w:tcW w:w="55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DW001</w:t>
            </w: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sz w:val="21"/>
                <w:szCs w:val="21"/>
              </w:rPr>
            </w:pPr>
            <w:r>
              <w:rPr>
                <w:b w:val="0"/>
                <w:bCs w:val="0"/>
                <w:color w:val="auto"/>
                <w:sz w:val="21"/>
                <w:szCs w:val="21"/>
              </w:rPr>
              <w:t>COD</w:t>
            </w:r>
          </w:p>
        </w:tc>
        <w:tc>
          <w:tcPr>
            <w:tcW w:w="222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lang w:val="en-US" w:eastAsia="zh-CN"/>
              </w:rPr>
            </w:pPr>
            <w:r>
              <w:rPr>
                <w:rFonts w:hint="eastAsia"/>
                <w:b w:val="0"/>
                <w:bCs w:val="0"/>
                <w:color w:val="auto"/>
                <w:sz w:val="21"/>
                <w:szCs w:val="21"/>
              </w:rPr>
              <w:t>《医疗机构水污染物排放标准》（GB18466-2005）表</w:t>
            </w:r>
            <w:r>
              <w:rPr>
                <w:rFonts w:hint="eastAsia"/>
                <w:b w:val="0"/>
                <w:bCs w:val="0"/>
                <w:color w:val="auto"/>
                <w:sz w:val="21"/>
                <w:szCs w:val="21"/>
                <w:lang w:val="en-US" w:eastAsia="zh-CN"/>
              </w:rPr>
              <w:t>2</w:t>
            </w:r>
            <w:r>
              <w:rPr>
                <w:rFonts w:hint="eastAsia"/>
                <w:b w:val="0"/>
                <w:bCs w:val="0"/>
                <w:color w:val="auto"/>
                <w:sz w:val="21"/>
                <w:szCs w:val="21"/>
              </w:rPr>
              <w:t>预处理标准</w:t>
            </w:r>
            <w:r>
              <w:rPr>
                <w:rFonts w:hint="eastAsia"/>
                <w:b w:val="0"/>
                <w:bCs w:val="0"/>
                <w:color w:val="auto"/>
                <w:sz w:val="21"/>
                <w:szCs w:val="21"/>
                <w:lang w:val="en-US" w:eastAsia="zh-CN"/>
              </w:rPr>
              <w:t>及十五里河污水处理厂接管标准</w:t>
            </w: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lang w:val="en-US" w:eastAsia="zh-CN"/>
              </w:rPr>
            </w:pPr>
            <w:r>
              <w:rPr>
                <w:rFonts w:hint="eastAsia"/>
                <w:b w:val="0"/>
                <w:bCs w:val="0"/>
                <w:color w:val="auto"/>
                <w:sz w:val="21"/>
                <w:szCs w:val="21"/>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olor w:val="auto"/>
                <w:kern w:val="2"/>
                <w:sz w:val="21"/>
                <w:szCs w:val="21"/>
                <w:lang w:val="en-US" w:eastAsia="zh-CN" w:bidi="ar-SA"/>
              </w:rPr>
            </w:pPr>
            <w:r>
              <w:rPr>
                <w:color w:val="auto"/>
                <w:sz w:val="21"/>
                <w:szCs w:val="21"/>
              </w:rPr>
              <w:t>2</w:t>
            </w: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lang w:val="en-US" w:eastAsia="zh-CN"/>
              </w:rPr>
              <w:t>BOD</w:t>
            </w:r>
            <w:r>
              <w:rPr>
                <w:rFonts w:hint="eastAsia"/>
                <w:color w:val="auto"/>
                <w:sz w:val="21"/>
                <w:szCs w:val="21"/>
                <w:vertAlign w:val="subscript"/>
                <w:lang w:val="en-US" w:eastAsia="zh-CN"/>
              </w:rPr>
              <w:t>5</w:t>
            </w:r>
          </w:p>
        </w:tc>
        <w:tc>
          <w:tcPr>
            <w:tcW w:w="22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olor w:val="auto"/>
                <w:kern w:val="2"/>
                <w:sz w:val="21"/>
                <w:szCs w:val="21"/>
                <w:lang w:val="en-US" w:eastAsia="zh-CN" w:bidi="ar-SA"/>
              </w:rPr>
            </w:pPr>
            <w:r>
              <w:rPr>
                <w:color w:val="auto"/>
                <w:sz w:val="21"/>
                <w:szCs w:val="21"/>
              </w:rPr>
              <w:t>3</w:t>
            </w: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SS</w:t>
            </w:r>
          </w:p>
        </w:tc>
        <w:tc>
          <w:tcPr>
            <w:tcW w:w="22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olor w:val="auto"/>
                <w:kern w:val="2"/>
                <w:sz w:val="21"/>
                <w:szCs w:val="21"/>
                <w:lang w:val="en-US" w:eastAsia="zh-CN" w:bidi="ar-SA"/>
              </w:rPr>
            </w:pPr>
            <w:r>
              <w:rPr>
                <w:color w:val="auto"/>
                <w:sz w:val="21"/>
                <w:szCs w:val="21"/>
              </w:rPr>
              <w:t>4</w:t>
            </w: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NH</w:t>
            </w:r>
            <w:r>
              <w:rPr>
                <w:rFonts w:hint="eastAsia"/>
                <w:color w:val="auto"/>
                <w:sz w:val="21"/>
                <w:szCs w:val="21"/>
                <w:vertAlign w:val="subscript"/>
                <w:lang w:val="en-US" w:eastAsia="zh-CN"/>
              </w:rPr>
              <w:t>3</w:t>
            </w:r>
            <w:r>
              <w:rPr>
                <w:rFonts w:hint="eastAsia"/>
                <w:color w:val="auto"/>
                <w:sz w:val="21"/>
                <w:szCs w:val="21"/>
                <w:lang w:val="en-US" w:eastAsia="zh-CN"/>
              </w:rPr>
              <w:t>-N</w:t>
            </w:r>
          </w:p>
        </w:tc>
        <w:tc>
          <w:tcPr>
            <w:tcW w:w="22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lang w:val="en-US" w:eastAsia="zh-CN"/>
              </w:rPr>
              <w:t>5</w:t>
            </w: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r>
              <w:rPr>
                <w:rFonts w:hint="eastAsia" w:cs="Times New Roman"/>
                <w:i w:val="0"/>
                <w:color w:val="auto"/>
                <w:kern w:val="0"/>
                <w:sz w:val="21"/>
                <w:szCs w:val="21"/>
                <w:highlight w:val="none"/>
                <w:u w:val="none"/>
                <w:lang w:val="en-US" w:eastAsia="zh-CN" w:bidi="ar"/>
              </w:rPr>
              <w:t>动植物油</w:t>
            </w:r>
          </w:p>
        </w:tc>
        <w:tc>
          <w:tcPr>
            <w:tcW w:w="22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w:t>
            </w:r>
          </w:p>
        </w:tc>
        <w:tc>
          <w:tcPr>
            <w:tcW w:w="55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8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粪大肠菌群</w:t>
            </w:r>
          </w:p>
        </w:tc>
        <w:tc>
          <w:tcPr>
            <w:tcW w:w="22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99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s="Times New Roman"/>
                <w:i w:val="0"/>
                <w:color w:val="auto"/>
                <w:kern w:val="0"/>
                <w:sz w:val="21"/>
                <w:szCs w:val="21"/>
                <w:u w:val="none"/>
                <w:lang w:val="en-US" w:eastAsia="zh-CN" w:bidi="ar"/>
              </w:rPr>
              <w:t>5000</w:t>
            </w:r>
            <w:r>
              <w:rPr>
                <w:rFonts w:hint="default" w:ascii="Times New Roman" w:hAnsi="Times New Roman" w:eastAsia="宋体" w:cs="Times New Roman"/>
                <w:i w:val="0"/>
                <w:color w:val="auto"/>
                <w:kern w:val="0"/>
                <w:sz w:val="21"/>
                <w:szCs w:val="21"/>
                <w:u w:val="none"/>
                <w:lang w:val="en-US" w:eastAsia="zh-CN" w:bidi="ar"/>
              </w:rPr>
              <w:t>（MPN/L）</w:t>
            </w:r>
          </w:p>
        </w:tc>
      </w:tr>
    </w:tbl>
    <w:p>
      <w:pPr>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rPr>
        <w:t>6.2</w:t>
      </w:r>
      <w:r>
        <w:rPr>
          <w:b/>
          <w:bCs/>
          <w:color w:val="auto"/>
          <w:sz w:val="21"/>
          <w:szCs w:val="21"/>
          <w:highlight w:val="none"/>
        </w:rPr>
        <w:t>-</w:t>
      </w:r>
      <w:r>
        <w:rPr>
          <w:rFonts w:hint="eastAsia"/>
          <w:b/>
          <w:bCs/>
          <w:color w:val="auto"/>
          <w:sz w:val="21"/>
          <w:szCs w:val="21"/>
          <w:highlight w:val="none"/>
          <w:lang w:val="en-US" w:eastAsia="zh-CN"/>
        </w:rPr>
        <w:t>20</w:t>
      </w:r>
      <w:r>
        <w:rPr>
          <w:b/>
          <w:bCs/>
          <w:color w:val="auto"/>
          <w:sz w:val="21"/>
          <w:szCs w:val="21"/>
          <w:highlight w:val="none"/>
        </w:rPr>
        <w:t xml:space="preserve">  废水污染物排放信息表（扩建项目）</w:t>
      </w:r>
    </w:p>
    <w:tbl>
      <w:tblPr>
        <w:tblStyle w:val="4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881"/>
        <w:gridCol w:w="950"/>
        <w:gridCol w:w="1091"/>
        <w:gridCol w:w="1264"/>
        <w:gridCol w:w="1276"/>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序号</w:t>
            </w:r>
          </w:p>
        </w:tc>
        <w:tc>
          <w:tcPr>
            <w:tcW w:w="5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排放口编号</w:t>
            </w: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污染物种类</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排放浓度/（mg/L）</w:t>
            </w:r>
          </w:p>
        </w:tc>
        <w:tc>
          <w:tcPr>
            <w:tcW w:w="7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auto"/>
                <w:sz w:val="21"/>
                <w:szCs w:val="21"/>
              </w:rPr>
            </w:pPr>
            <w:r>
              <w:rPr>
                <w:rFonts w:hint="eastAsia"/>
                <w:color w:val="auto"/>
                <w:sz w:val="21"/>
                <w:szCs w:val="21"/>
              </w:rPr>
              <w:t>新增日排放量</w:t>
            </w:r>
            <w:r>
              <w:rPr>
                <w:color w:val="auto"/>
                <w:sz w:val="21"/>
                <w:szCs w:val="21"/>
              </w:rPr>
              <w:t>（t/d）</w:t>
            </w:r>
          </w:p>
        </w:tc>
        <w:tc>
          <w:tcPr>
            <w:tcW w:w="74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全</w:t>
            </w:r>
            <w:r>
              <w:rPr>
                <w:rFonts w:hint="eastAsia"/>
                <w:color w:val="auto"/>
                <w:sz w:val="21"/>
                <w:szCs w:val="21"/>
                <w:lang w:eastAsia="zh-CN"/>
              </w:rPr>
              <w:t>院</w:t>
            </w:r>
            <w:r>
              <w:rPr>
                <w:color w:val="auto"/>
                <w:sz w:val="21"/>
                <w:szCs w:val="21"/>
              </w:rPr>
              <w:t>日排放量（t/d）</w:t>
            </w:r>
          </w:p>
        </w:tc>
        <w:tc>
          <w:tcPr>
            <w:tcW w:w="74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新增年排放量</w:t>
            </w:r>
            <w:r>
              <w:rPr>
                <w:color w:val="auto"/>
                <w:sz w:val="21"/>
                <w:szCs w:val="21"/>
              </w:rPr>
              <w:t>（t/a）</w:t>
            </w:r>
          </w:p>
        </w:tc>
        <w:tc>
          <w:tcPr>
            <w:tcW w:w="74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全</w:t>
            </w:r>
            <w:r>
              <w:rPr>
                <w:rFonts w:hint="eastAsia"/>
                <w:color w:val="auto"/>
                <w:sz w:val="21"/>
                <w:szCs w:val="21"/>
                <w:lang w:eastAsia="zh-CN"/>
              </w:rPr>
              <w:t>院</w:t>
            </w:r>
            <w:r>
              <w:rPr>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w:t>
            </w:r>
          </w:p>
        </w:tc>
        <w:tc>
          <w:tcPr>
            <w:tcW w:w="51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DW001</w:t>
            </w: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bCs/>
                <w:color w:val="auto"/>
                <w:sz w:val="21"/>
                <w:szCs w:val="21"/>
              </w:rPr>
              <w:t>COD</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45</w:t>
            </w:r>
          </w:p>
        </w:tc>
        <w:tc>
          <w:tcPr>
            <w:tcW w:w="126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0.0432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0.0819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15.76</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r>
              <w:rPr>
                <w:rFonts w:hint="eastAsia" w:ascii="Times New Roman" w:hAnsi="Times New Roman" w:eastAsia="宋体" w:cs="Times New Roman"/>
                <w:i w:val="0"/>
                <w:color w:val="auto"/>
                <w:kern w:val="0"/>
                <w:sz w:val="21"/>
                <w:szCs w:val="21"/>
                <w:u w:val="none"/>
                <w:lang w:val="en-US" w:eastAsia="zh-CN" w:bidi="ar"/>
              </w:rPr>
              <w:t>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2</w:t>
            </w:r>
          </w:p>
        </w:tc>
        <w:tc>
          <w:tcPr>
            <w:tcW w:w="5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BOD</w:t>
            </w:r>
            <w:r>
              <w:rPr>
                <w:rFonts w:hint="eastAsia"/>
                <w:color w:val="auto"/>
                <w:sz w:val="21"/>
                <w:szCs w:val="21"/>
                <w:vertAlign w:val="subscript"/>
              </w:rPr>
              <w:t>5</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8</w:t>
            </w:r>
          </w:p>
        </w:tc>
        <w:tc>
          <w:tcPr>
            <w:tcW w:w="126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0.0077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0.0145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2.8</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3</w:t>
            </w:r>
          </w:p>
        </w:tc>
        <w:tc>
          <w:tcPr>
            <w:tcW w:w="5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bCs/>
                <w:color w:val="auto"/>
                <w:sz w:val="21"/>
                <w:szCs w:val="21"/>
              </w:rPr>
              <w:t>SS</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10</w:t>
            </w:r>
          </w:p>
        </w:tc>
        <w:tc>
          <w:tcPr>
            <w:tcW w:w="126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0.0096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0.0182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3.50</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6.64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4</w:t>
            </w:r>
          </w:p>
        </w:tc>
        <w:tc>
          <w:tcPr>
            <w:tcW w:w="5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r>
              <w:rPr>
                <w:rFonts w:hint="eastAsia"/>
                <w:color w:val="auto"/>
                <w:sz w:val="21"/>
                <w:szCs w:val="21"/>
                <w:lang w:val="en-US" w:eastAsia="zh-CN"/>
              </w:rPr>
              <w:t>5</w:t>
            </w:r>
          </w:p>
        </w:tc>
        <w:tc>
          <w:tcPr>
            <w:tcW w:w="126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0.0048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0.0091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1.75</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5</w:t>
            </w:r>
          </w:p>
        </w:tc>
        <w:tc>
          <w:tcPr>
            <w:tcW w:w="5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5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i w:val="0"/>
                <w:color w:val="auto"/>
                <w:kern w:val="0"/>
                <w:sz w:val="21"/>
                <w:szCs w:val="21"/>
                <w:highlight w:val="none"/>
                <w:u w:val="none"/>
                <w:lang w:val="en-US" w:eastAsia="zh-CN" w:bidi="ar"/>
              </w:rPr>
              <w:t>动植物油</w:t>
            </w:r>
          </w:p>
        </w:tc>
        <w:tc>
          <w:tcPr>
            <w:tcW w:w="6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0.34</w:t>
            </w:r>
          </w:p>
        </w:tc>
        <w:tc>
          <w:tcPr>
            <w:tcW w:w="126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0.0003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0.0006 </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0.12</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0.2</w:t>
            </w:r>
            <w:r>
              <w:rPr>
                <w:rFonts w:hint="eastAsia" w:ascii="Times New Roman" w:hAnsi="Times New Roman" w:eastAsia="宋体" w:cs="Times New Roman"/>
                <w:i w:val="0"/>
                <w:color w:val="auto"/>
                <w:kern w:val="0"/>
                <w:sz w:val="21"/>
                <w:szCs w:val="21"/>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全</w:t>
            </w:r>
            <w:r>
              <w:rPr>
                <w:rFonts w:hint="eastAsia"/>
                <w:color w:val="auto"/>
                <w:sz w:val="21"/>
                <w:szCs w:val="21"/>
                <w:lang w:eastAsia="zh-CN"/>
              </w:rPr>
              <w:t>院</w:t>
            </w:r>
            <w:r>
              <w:rPr>
                <w:color w:val="auto"/>
                <w:sz w:val="21"/>
                <w:szCs w:val="21"/>
              </w:rPr>
              <w:t>排放口合计</w:t>
            </w:r>
          </w:p>
        </w:tc>
        <w:tc>
          <w:tcPr>
            <w:tcW w:w="268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bCs/>
                <w:color w:val="auto"/>
                <w:sz w:val="21"/>
                <w:szCs w:val="21"/>
              </w:rPr>
              <w:t>COD</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Calibri"/>
                <w:color w:val="auto"/>
                <w:kern w:val="2"/>
                <w:sz w:val="21"/>
                <w:szCs w:val="21"/>
                <w:highlight w:val="none"/>
                <w:lang w:val="en-US" w:eastAsia="zh-CN" w:bidi="ar-SA"/>
              </w:rPr>
            </w:pPr>
            <w:r>
              <w:rPr>
                <w:rFonts w:hint="eastAsia" w:ascii="Times New Roman" w:hAnsi="Times New Roman" w:eastAsia="宋体" w:cs="Times New Roman"/>
                <w:i w:val="0"/>
                <w:color w:val="auto"/>
                <w:kern w:val="0"/>
                <w:sz w:val="21"/>
                <w:szCs w:val="21"/>
                <w:u w:val="none"/>
                <w:lang w:val="en-US" w:eastAsia="zh-CN" w:bidi="ar"/>
              </w:rPr>
              <w:t>15.76</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r>
              <w:rPr>
                <w:rFonts w:hint="eastAsia" w:ascii="Times New Roman" w:hAnsi="Times New Roman" w:eastAsia="宋体" w:cs="Times New Roman"/>
                <w:i w:val="0"/>
                <w:color w:val="auto"/>
                <w:kern w:val="0"/>
                <w:sz w:val="21"/>
                <w:szCs w:val="21"/>
                <w:u w:val="none"/>
                <w:lang w:val="en-US" w:eastAsia="zh-CN" w:bidi="ar"/>
              </w:rPr>
              <w:t>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268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BOD</w:t>
            </w:r>
            <w:r>
              <w:rPr>
                <w:rFonts w:hint="eastAsia"/>
                <w:color w:val="auto"/>
                <w:sz w:val="21"/>
                <w:szCs w:val="21"/>
                <w:vertAlign w:val="subscript"/>
              </w:rPr>
              <w:t>5</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Calibri"/>
                <w:color w:val="auto"/>
                <w:kern w:val="2"/>
                <w:sz w:val="21"/>
                <w:szCs w:val="21"/>
                <w:highlight w:val="none"/>
                <w:lang w:val="en-US" w:eastAsia="zh-CN" w:bidi="ar-SA"/>
              </w:rPr>
            </w:pPr>
            <w:r>
              <w:rPr>
                <w:rFonts w:hint="eastAsia" w:ascii="Times New Roman" w:hAnsi="Times New Roman" w:eastAsia="宋体" w:cs="Times New Roman"/>
                <w:i w:val="0"/>
                <w:color w:val="auto"/>
                <w:kern w:val="0"/>
                <w:sz w:val="21"/>
                <w:szCs w:val="21"/>
                <w:u w:val="none"/>
                <w:lang w:val="en-US" w:eastAsia="zh-CN" w:bidi="ar"/>
              </w:rPr>
              <w:t>2.8</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s="Times New Roman"/>
                <w:i w:val="0"/>
                <w:color w:val="auto"/>
                <w:kern w:val="0"/>
                <w:sz w:val="21"/>
                <w:szCs w:val="21"/>
                <w:u w:val="none"/>
                <w:lang w:val="en-US" w:eastAsia="zh-CN" w:bidi="ar"/>
              </w:rPr>
              <w:t>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268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bCs/>
                <w:color w:val="auto"/>
                <w:sz w:val="21"/>
                <w:szCs w:val="21"/>
              </w:rPr>
              <w:t>SS</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Calibri"/>
                <w:color w:val="auto"/>
                <w:kern w:val="2"/>
                <w:sz w:val="21"/>
                <w:szCs w:val="21"/>
                <w:highlight w:val="none"/>
                <w:lang w:val="en-US" w:eastAsia="zh-CN" w:bidi="ar-SA"/>
              </w:rPr>
            </w:pPr>
            <w:r>
              <w:rPr>
                <w:rFonts w:hint="eastAsia" w:ascii="Times New Roman" w:hAnsi="Times New Roman" w:eastAsia="宋体" w:cs="Times New Roman"/>
                <w:i w:val="0"/>
                <w:color w:val="auto"/>
                <w:kern w:val="0"/>
                <w:sz w:val="21"/>
                <w:szCs w:val="21"/>
                <w:u w:val="none"/>
                <w:lang w:val="en-US" w:eastAsia="zh-CN" w:bidi="ar"/>
              </w:rPr>
              <w:t>3.50</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s="Times New Roman"/>
                <w:i w:val="0"/>
                <w:color w:val="auto"/>
                <w:kern w:val="0"/>
                <w:sz w:val="21"/>
                <w:szCs w:val="21"/>
                <w:u w:val="none"/>
                <w:lang w:val="en-US" w:eastAsia="zh-CN" w:bidi="ar"/>
              </w:rPr>
              <w:t>6.64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268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u w:val="none"/>
                <w:lang w:val="en-US" w:eastAsia="zh-CN" w:bidi="ar"/>
              </w:rPr>
              <w:t>1.75</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u w:val="none"/>
                <w:lang w:val="en-US" w:eastAsia="zh-CN" w:bidi="ar"/>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268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i w:val="0"/>
                <w:color w:val="auto"/>
                <w:kern w:val="0"/>
                <w:sz w:val="21"/>
                <w:szCs w:val="21"/>
                <w:highlight w:val="none"/>
                <w:u w:val="none"/>
                <w:lang w:val="en-US" w:eastAsia="zh-CN" w:bidi="ar"/>
              </w:rPr>
              <w:t>动植物油</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Calibri"/>
                <w:color w:val="auto"/>
                <w:kern w:val="2"/>
                <w:sz w:val="21"/>
                <w:szCs w:val="21"/>
                <w:highlight w:val="none"/>
                <w:lang w:val="en-US" w:eastAsia="zh-CN" w:bidi="ar-SA"/>
              </w:rPr>
            </w:pPr>
            <w:r>
              <w:rPr>
                <w:rFonts w:hint="eastAsia" w:ascii="Times New Roman" w:hAnsi="Times New Roman" w:eastAsia="宋体" w:cs="Times New Roman"/>
                <w:i w:val="0"/>
                <w:color w:val="auto"/>
                <w:kern w:val="0"/>
                <w:sz w:val="21"/>
                <w:szCs w:val="21"/>
                <w:u w:val="none"/>
                <w:lang w:val="en-US" w:eastAsia="zh-CN" w:bidi="ar"/>
              </w:rPr>
              <w:t>0.12</w:t>
            </w:r>
          </w:p>
        </w:tc>
        <w:tc>
          <w:tcPr>
            <w:tcW w:w="12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0.2</w:t>
            </w:r>
            <w:r>
              <w:rPr>
                <w:rFonts w:hint="eastAsia" w:ascii="Times New Roman" w:hAnsi="Times New Roman" w:eastAsia="宋体" w:cs="Times New Roman"/>
                <w:i w:val="0"/>
                <w:color w:val="auto"/>
                <w:kern w:val="0"/>
                <w:sz w:val="21"/>
                <w:szCs w:val="21"/>
                <w:u w:val="none"/>
                <w:lang w:val="en-US" w:eastAsia="zh-CN" w:bidi="ar"/>
              </w:rPr>
              <w:t>3</w:t>
            </w:r>
          </w:p>
        </w:tc>
      </w:tr>
    </w:tbl>
    <w:p>
      <w:pPr>
        <w:tabs>
          <w:tab w:val="left" w:pos="5131"/>
        </w:tabs>
        <w:bidi w:val="0"/>
        <w:jc w:val="left"/>
        <w:rPr>
          <w:rFonts w:hint="eastAsia"/>
          <w:color w:val="auto"/>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地表水环境影响评价自查表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rPr>
      </w:pPr>
      <w:r>
        <w:rPr>
          <w:rFonts w:hint="eastAsia"/>
          <w:b/>
          <w:bCs/>
          <w:color w:val="auto"/>
          <w:sz w:val="21"/>
          <w:szCs w:val="21"/>
        </w:rPr>
        <w:t>表6.2-</w:t>
      </w:r>
      <w:r>
        <w:rPr>
          <w:rFonts w:hint="eastAsia"/>
          <w:b/>
          <w:bCs/>
          <w:color w:val="auto"/>
          <w:sz w:val="21"/>
          <w:szCs w:val="21"/>
          <w:lang w:val="en-US" w:eastAsia="zh-CN"/>
        </w:rPr>
        <w:t>21</w:t>
      </w:r>
      <w:r>
        <w:rPr>
          <w:rFonts w:hint="eastAsia"/>
          <w:b/>
          <w:bCs/>
          <w:color w:val="auto"/>
          <w:sz w:val="21"/>
          <w:szCs w:val="21"/>
        </w:rPr>
        <w:t xml:space="preserve">  地表水环境影响评价自查表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2959"/>
        <w:gridCol w:w="2131"/>
        <w:gridCol w:w="533"/>
        <w:gridCol w:w="889"/>
        <w:gridCol w:w="710"/>
        <w:gridCol w:w="1067"/>
        <w:gridCol w:w="1065"/>
        <w:gridCol w:w="267"/>
        <w:gridCol w:w="444"/>
        <w:gridCol w:w="1421"/>
        <w:gridCol w:w="53"/>
        <w:gridCol w:w="588"/>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1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工作内容</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影响识别</w:t>
            </w: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影响类型</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水污染影响型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水环境保护目标</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饮用水水源保护区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饮用水取水口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涉水的自然保护区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涉水的风景名胜区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重要湿地 □</w:t>
            </w:r>
            <w:r>
              <w:rPr>
                <w:rFonts w:hint="default" w:ascii="Times New Roman" w:hAnsi="Times New Roman" w:cs="Times New Roman"/>
                <w:color w:val="auto"/>
                <w:kern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重点保护与珍稀水生生物的栖息地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重要水生生物的自然产卵场及索饵场、越冬场和洄游通道□</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天然渔场等渔业水体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水产种质资源保护区□</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其他 </w:t>
            </w:r>
            <w:r>
              <w:rPr>
                <w:rFonts w:hint="default" w:ascii="Times New Roman" w:hAnsi="Times New Roman" w:cs="Times New Roman"/>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影响途径</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水污染影响型</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直接排放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间接排放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水温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径流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影响因子</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持久性污染物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有毒有害污染物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非持久性污染物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pH值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热污染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富营养化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其他 </w:t>
            </w:r>
            <w:r>
              <w:rPr>
                <w:rFonts w:hint="default" w:ascii="Times New Roman" w:hAnsi="Times New Roman" w:cs="Times New Roman"/>
                <w:color w:val="auto"/>
                <w:kern w:val="0"/>
                <w:sz w:val="21"/>
                <w:szCs w:val="21"/>
              </w:rPr>
              <w:sym w:font="Wingdings 2" w:char="00A3"/>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水温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水位（水深）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流速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流量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5"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评价等级</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水污染影响型</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5"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一级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二级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三级A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三级B </w:t>
            </w:r>
            <w:r>
              <w:rPr>
                <w:rFonts w:hint="default" w:ascii="Times New Roman" w:hAnsi="Times New Roman" w:cs="Times New Roman"/>
                <w:color w:val="auto"/>
                <w:kern w:val="0"/>
                <w:sz w:val="21"/>
                <w:szCs w:val="21"/>
              </w:rPr>
              <w:sym w:font="Wingdings 2" w:char="0052"/>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一级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二级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现状调查</w:t>
            </w: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区域污染源</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调查项目</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66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已建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在建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拟建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tc>
        <w:tc>
          <w:tcPr>
            <w:tcW w:w="266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拟替代的污染源 □</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排污许可证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环评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环保验收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既有实测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现场监测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入河排放口数据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受影响水体水环境质量</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调查时期</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丰水期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平水期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枯水期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冰封期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春季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夏季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秋季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冬季 </w:t>
            </w:r>
            <w:r>
              <w:rPr>
                <w:rFonts w:hint="default" w:ascii="Times New Roman" w:hAnsi="Times New Roman" w:cs="Times New Roman"/>
                <w:color w:val="auto"/>
                <w:kern w:val="0"/>
                <w:sz w:val="21"/>
                <w:szCs w:val="21"/>
              </w:rPr>
              <w:sym w:font="Wingdings 2" w:char="00A3"/>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生态环境保护主管部门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补充监测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其他 </w:t>
            </w:r>
            <w:r>
              <w:rPr>
                <w:rFonts w:hint="default" w:ascii="Times New Roman" w:hAnsi="Times New Roman" w:cs="Times New Roman"/>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区域水资源开发利用状况</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未开发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开发量40%以下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开发量40%以上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水文情势调查</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调查时期</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丰水期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平水期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枯水期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冰封期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春季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夏季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秋季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冬季 □</w:t>
            </w:r>
          </w:p>
        </w:tc>
        <w:tc>
          <w:tcPr>
            <w:tcW w:w="5329"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水行政主管部门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补充监测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其他 </w:t>
            </w:r>
            <w:r>
              <w:rPr>
                <w:rFonts w:hint="default" w:ascii="Times New Roman" w:hAnsi="Times New Roman" w:cs="Times New Roman"/>
                <w:color w:val="auto"/>
                <w:kern w:val="0"/>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补充监测</w:t>
            </w: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监测时期</w:t>
            </w:r>
          </w:p>
        </w:tc>
        <w:tc>
          <w:tcPr>
            <w:tcW w:w="325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监测因子</w:t>
            </w:r>
          </w:p>
        </w:tc>
        <w:tc>
          <w:tcPr>
            <w:tcW w:w="207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533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丰水期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平水期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枯水期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冰封期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春季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夏季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秋季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冬季 □</w:t>
            </w:r>
          </w:p>
        </w:tc>
        <w:tc>
          <w:tcPr>
            <w:tcW w:w="325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p>
        </w:tc>
        <w:tc>
          <w:tcPr>
            <w:tcW w:w="207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现状评价</w:t>
            </w: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评价范围</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河流：长度（</w:t>
            </w: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）km</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湖库、河口及近岸海域：面积（   ）km</w:t>
            </w:r>
            <w:r>
              <w:rPr>
                <w:rFonts w:hint="default" w:ascii="Times New Roman" w:hAnsi="Times New Roman" w:cs="Times New Roman"/>
                <w:color w:val="auto"/>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评价因子</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r>
              <w:rPr>
                <w:rFonts w:hint="default" w:ascii="Times New Roman" w:hAnsi="Times New Roman" w:cs="Times New Roman"/>
                <w:color w:val="auto"/>
                <w:kern w:val="0"/>
                <w:sz w:val="21"/>
                <w:szCs w:val="21"/>
                <w:lang w:val="en-US" w:eastAsia="zh-CN"/>
              </w:rPr>
              <w:t>pH、COD、BOD</w:t>
            </w:r>
            <w:r>
              <w:rPr>
                <w:rFonts w:hint="default" w:ascii="Times New Roman" w:hAnsi="Times New Roman" w:cs="Times New Roman"/>
                <w:color w:val="auto"/>
                <w:kern w:val="0"/>
                <w:sz w:val="21"/>
                <w:szCs w:val="21"/>
                <w:vertAlign w:val="subscript"/>
                <w:lang w:val="en-US" w:eastAsia="zh-CN"/>
              </w:rPr>
              <w:t>5</w:t>
            </w:r>
            <w:r>
              <w:rPr>
                <w:rFonts w:hint="default" w:ascii="Times New Roman" w:hAnsi="Times New Roman" w:cs="Times New Roman"/>
                <w:color w:val="auto"/>
                <w:kern w:val="0"/>
                <w:sz w:val="21"/>
                <w:szCs w:val="21"/>
                <w:lang w:val="en-US" w:eastAsia="zh-CN"/>
              </w:rPr>
              <w:t>、NH</w:t>
            </w:r>
            <w:r>
              <w:rPr>
                <w:rFonts w:hint="default" w:ascii="Times New Roman" w:hAnsi="Times New Roman" w:cs="Times New Roman"/>
                <w:color w:val="auto"/>
                <w:kern w:val="0"/>
                <w:sz w:val="21"/>
                <w:szCs w:val="21"/>
                <w:vertAlign w:val="subscript"/>
                <w:lang w:val="en-US" w:eastAsia="zh-CN"/>
              </w:rPr>
              <w:t>3</w:t>
            </w:r>
            <w:r>
              <w:rPr>
                <w:rFonts w:hint="default" w:ascii="Times New Roman" w:hAnsi="Times New Roman" w:cs="Times New Roman"/>
                <w:color w:val="auto"/>
                <w:kern w:val="0"/>
                <w:sz w:val="21"/>
                <w:szCs w:val="21"/>
                <w:lang w:val="en-US" w:eastAsia="zh-CN"/>
              </w:rPr>
              <w:t>-N、SS、动植物油、粪大肠菌群</w:t>
            </w: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河流、湖库、河口：Ⅰ类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Ⅱ类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Ⅲ类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Ⅳ类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Ⅴ类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近岸海域：第一类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第二类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第三类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第四类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评价时期</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丰水期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平水期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枯水期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冰封期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春季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夏季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秋季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冬季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评价结论</w:t>
            </w:r>
          </w:p>
        </w:tc>
        <w:tc>
          <w:tcPr>
            <w:tcW w:w="9168"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 xml:space="preserve">水环境功能区或水功能区、近岸海域环境功能区水质达标状况 ：达标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不达标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水环境控制单元或断面水质达标状况 ：达标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不达标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水环境保护目标质量状况 ：达标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不达标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对照断面、控制断面等代表性断面的水质状况 ：达标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不达标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底泥污染评价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水资源与开发利用程度及其水文情势评价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水环境质量回顾评价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流域（区域）水资源（包括水能资源）与开发利用总体状况、生态流量管理要求与现状满足程度、建设项目占用水域空间的水流状况与河湖演变状况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依托污水处理设施稳定达标排放评价 </w:t>
            </w:r>
            <w:r>
              <w:rPr>
                <w:rFonts w:hint="default" w:ascii="Times New Roman" w:hAnsi="Times New Roman" w:cs="Times New Roman"/>
                <w:color w:val="auto"/>
                <w:kern w:val="0"/>
                <w:sz w:val="21"/>
                <w:szCs w:val="21"/>
              </w:rPr>
              <w:sym w:font="Wingdings 2" w:char="0052"/>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达标区 </w:t>
            </w:r>
            <w:r>
              <w:rPr>
                <w:rFonts w:hint="default" w:ascii="Times New Roman" w:hAnsi="Times New Roman" w:cs="Times New Roman"/>
                <w:color w:val="auto"/>
                <w:kern w:val="0"/>
                <w:sz w:val="21"/>
                <w:szCs w:val="21"/>
              </w:rPr>
              <w:sym w:font="Wingdings 2" w:char="0052"/>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不达标区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w:t>
            </w: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预测范围</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河流：长度（   ）km</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湖库、河口及近岸海域：面积（   ）km</w:t>
            </w:r>
            <w:r>
              <w:rPr>
                <w:rFonts w:hint="default" w:ascii="Times New Roman" w:hAnsi="Times New Roman" w:cs="Times New Roman"/>
                <w:color w:val="auto"/>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预测因子</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预测时期</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丰水期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平水期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枯水期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冰封期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春季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夏季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秋季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冬季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预测情景</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建设期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生产运行期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服务期满后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正常工况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非正常工况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污染控制和减缓措施方案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预测方法</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数值解 □：解析解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影响评价</w:t>
            </w: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水污染控制和水环境影响减缓措施有效性评价</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区（流）域水环境质量改善目标</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替代削减源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水环境影响评价</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排放口混合区外满足水环境管理要求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水环境功能区或水功能区、近岸海域环境功能区水质达标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满足水环境保护目标水域水环境质量要求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水环境控制单元或断面水质达标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满足重点水污染物排放总量控制指标要求，重点行业建设项目， 主要污染物排放满足等量或减量替代要求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满足区（流）域水环境质量改善目标要求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水文要素影响型建设项目同时应包括水文情势变化评价、主要水文特征值影响评价、生态流量符合性评价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对于新设或调整入河（湖库、近岸海域）排放口的建设项目，应包括排放口设置的环境合理性评价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满足生态保护红线、水环境质量底线、资源利用上线和环境准入清单管理要求 </w:t>
            </w:r>
            <w:r>
              <w:rPr>
                <w:rFonts w:hint="default" w:ascii="Times New Roman" w:hAnsi="Times New Roman" w:cs="Times New Roman"/>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污染源排放量核算</w:t>
            </w: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污染物名称</w:t>
            </w:r>
          </w:p>
        </w:tc>
        <w:tc>
          <w:tcPr>
            <w:tcW w:w="35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排放量/（</w:t>
            </w:r>
            <w:r>
              <w:rPr>
                <w:rFonts w:hint="default" w:ascii="Times New Roman" w:hAnsi="Times New Roman" w:cs="Times New Roman"/>
                <w:color w:val="auto"/>
                <w:sz w:val="21"/>
                <w:szCs w:val="21"/>
              </w:rPr>
              <w:t>t/a</w:t>
            </w:r>
            <w:r>
              <w:rPr>
                <w:rFonts w:hint="default" w:ascii="Times New Roman" w:hAnsi="Times New Roman" w:cs="Times New Roman"/>
                <w:color w:val="auto"/>
                <w:kern w:val="0"/>
                <w:sz w:val="21"/>
                <w:szCs w:val="21"/>
              </w:rPr>
              <w:t>）</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bCs/>
                <w:color w:val="auto"/>
                <w:sz w:val="21"/>
                <w:szCs w:val="21"/>
              </w:rPr>
              <w:t>COD</w:t>
            </w:r>
          </w:p>
        </w:tc>
        <w:tc>
          <w:tcPr>
            <w:tcW w:w="35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15.76</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lang w:val="en-US"/>
              </w:rPr>
            </w:pPr>
            <w:r>
              <w:rPr>
                <w:rFonts w:hint="eastAsia" w:ascii="Times New Roman" w:hAnsi="Times New Roman"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35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ascii="Times New Roman" w:hAnsi="Times New Roman" w:cs="Times New Roman"/>
                <w:color w:val="auto"/>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bCs/>
                <w:color w:val="auto"/>
                <w:sz w:val="21"/>
                <w:szCs w:val="21"/>
              </w:rPr>
              <w:t>SS</w:t>
            </w:r>
          </w:p>
        </w:tc>
        <w:tc>
          <w:tcPr>
            <w:tcW w:w="3553"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3.50</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3553"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1.75</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55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eastAsia="zh-CN"/>
              </w:rPr>
            </w:pPr>
            <w:r>
              <w:rPr>
                <w:rFonts w:hint="eastAsia" w:ascii="Times New Roman" w:hAnsi="Times New Roman" w:cs="Times New Roman"/>
                <w:color w:val="auto"/>
                <w:kern w:val="0"/>
                <w:sz w:val="21"/>
                <w:szCs w:val="21"/>
                <w:lang w:eastAsia="zh-CN"/>
              </w:rPr>
              <w:t>动植物油</w:t>
            </w:r>
          </w:p>
        </w:tc>
        <w:tc>
          <w:tcPr>
            <w:tcW w:w="35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0.12</w:t>
            </w:r>
          </w:p>
        </w:tc>
        <w:tc>
          <w:tcPr>
            <w:tcW w:w="355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sz w:val="21"/>
                <w:szCs w:val="21"/>
                <w:lang w:val="en-US" w:eastAsia="zh-CN"/>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替代源排放情况</w:t>
            </w: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污染源名称</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排污许可证编号</w:t>
            </w:r>
          </w:p>
        </w:tc>
        <w:tc>
          <w:tcPr>
            <w:tcW w:w="213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污染物名称</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排放量/（</w:t>
            </w:r>
            <w:r>
              <w:rPr>
                <w:rFonts w:hint="default" w:ascii="Times New Roman" w:hAnsi="Times New Roman" w:cs="Times New Roman"/>
                <w:color w:val="auto"/>
                <w:sz w:val="21"/>
                <w:szCs w:val="21"/>
              </w:rPr>
              <w:t>t/a</w:t>
            </w:r>
            <w:r>
              <w:rPr>
                <w:rFonts w:hint="default" w:ascii="Times New Roman" w:hAnsi="Times New Roman" w:cs="Times New Roman"/>
                <w:color w:val="auto"/>
                <w:kern w:val="0"/>
                <w:sz w:val="21"/>
                <w:szCs w:val="21"/>
              </w:rPr>
              <w:t>）</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213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213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生态流量确定</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生态流量：一般水期（   ）m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鱼类繁殖期（   ）m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生态水位：一般水期（   ）m</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鱼类繁殖期（   ）m</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restart"/>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防治措施</w:t>
            </w: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环保措施</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污水处理设施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水文减缓设施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生态流量保障设施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区域削减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依托其他工程措施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监测计划</w:t>
            </w:r>
          </w:p>
        </w:tc>
        <w:tc>
          <w:tcPr>
            <w:tcW w:w="266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399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环境质量</w:t>
            </w:r>
          </w:p>
        </w:tc>
        <w:tc>
          <w:tcPr>
            <w:tcW w:w="39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66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监测方式</w:t>
            </w:r>
          </w:p>
        </w:tc>
        <w:tc>
          <w:tcPr>
            <w:tcW w:w="399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 xml:space="preserve">手动 </w:t>
            </w:r>
            <w:r>
              <w:rPr>
                <w:rFonts w:hint="default" w:ascii="Times New Roman" w:hAnsi="Times New Roman" w:cs="Times New Roman"/>
                <w:color w:val="auto"/>
                <w:kern w:val="0"/>
                <w:sz w:val="21"/>
                <w:szCs w:val="21"/>
              </w:rPr>
              <w:sym w:font="Wingdings 2" w:char="00A3"/>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自动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无监测 </w:t>
            </w:r>
            <w:r>
              <w:rPr>
                <w:rFonts w:hint="default" w:ascii="Times New Roman" w:hAnsi="Times New Roman" w:cs="Times New Roman"/>
                <w:color w:val="auto"/>
                <w:kern w:val="0"/>
                <w:sz w:val="21"/>
                <w:szCs w:val="21"/>
              </w:rPr>
              <w:sym w:font="Wingdings 2" w:char="0052"/>
            </w:r>
          </w:p>
        </w:tc>
        <w:tc>
          <w:tcPr>
            <w:tcW w:w="39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手动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自动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66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监测点位</w:t>
            </w:r>
          </w:p>
        </w:tc>
        <w:tc>
          <w:tcPr>
            <w:tcW w:w="399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39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污水总排口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66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监测因子</w:t>
            </w:r>
          </w:p>
        </w:tc>
        <w:tc>
          <w:tcPr>
            <w:tcW w:w="399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w:t>
            </w:r>
          </w:p>
        </w:tc>
        <w:tc>
          <w:tcPr>
            <w:tcW w:w="39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r>
              <w:rPr>
                <w:rFonts w:hint="default" w:ascii="Times New Roman" w:hAnsi="Times New Roman" w:cs="Times New Roman"/>
                <w:color w:val="auto"/>
                <w:kern w:val="0"/>
                <w:sz w:val="21"/>
                <w:szCs w:val="21"/>
                <w:lang w:val="en-US" w:eastAsia="zh-CN"/>
              </w:rPr>
              <w:t>pH、</w:t>
            </w:r>
            <w:r>
              <w:rPr>
                <w:rFonts w:hint="default" w:ascii="Times New Roman" w:hAnsi="Times New Roman" w:cs="Times New Roman"/>
                <w:bCs/>
                <w:color w:val="auto"/>
                <w:sz w:val="21"/>
                <w:szCs w:val="21"/>
              </w:rPr>
              <w:t>COD、BOD</w:t>
            </w:r>
            <w:r>
              <w:rPr>
                <w:rFonts w:hint="default" w:ascii="Times New Roman" w:hAnsi="Times New Roman" w:cs="Times New Roman"/>
                <w:bCs/>
                <w:color w:val="auto"/>
                <w:sz w:val="21"/>
                <w:szCs w:val="21"/>
                <w:vertAlign w:val="subscript"/>
              </w:rPr>
              <w:t>5</w:t>
            </w: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rPr>
              <w:t>-N、SS、</w:t>
            </w:r>
            <w:r>
              <w:rPr>
                <w:rFonts w:hint="default" w:ascii="Times New Roman" w:hAnsi="Times New Roman" w:cs="Times New Roman"/>
                <w:bCs/>
                <w:color w:val="auto"/>
                <w:sz w:val="21"/>
                <w:szCs w:val="21"/>
                <w:lang w:val="en-US" w:eastAsia="zh-CN"/>
              </w:rPr>
              <w:t>粪大肠菌群</w:t>
            </w: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p>
        </w:tc>
        <w:tc>
          <w:tcPr>
            <w:tcW w:w="29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污染物排放清单</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评价结论</w:t>
            </w:r>
          </w:p>
        </w:tc>
        <w:tc>
          <w:tcPr>
            <w:tcW w:w="10659"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 xml:space="preserve">可以接受 </w:t>
            </w: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74" w:type="dxa"/>
            <w:gridSpan w:val="1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注：</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为勾选项，可打√</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为内容填写项</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备注</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为其他补充内容。</w:t>
            </w:r>
          </w:p>
        </w:tc>
      </w:tr>
    </w:tbl>
    <w:p>
      <w:pPr>
        <w:rPr>
          <w:rFonts w:hint="eastAsia"/>
          <w:color w:val="auto"/>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pageBreakBefore w:val="0"/>
        <w:widowControl w:val="0"/>
        <w:numPr>
          <w:ilvl w:val="0"/>
          <w:numId w:val="0"/>
        </w:numPr>
        <w:kinsoku/>
        <w:wordWrap/>
        <w:overflowPunct/>
        <w:topLinePunct w:val="0"/>
        <w:bidi w:val="0"/>
        <w:spacing w:before="120" w:line="360" w:lineRule="auto"/>
        <w:ind w:leftChars="0" w:right="0" w:rightChars="0"/>
        <w:textAlignment w:val="auto"/>
        <w:rPr>
          <w:rFonts w:hint="eastAsia"/>
          <w:color w:val="auto"/>
        </w:rPr>
      </w:pPr>
      <w:r>
        <w:rPr>
          <w:rFonts w:hint="eastAsia"/>
          <w:color w:val="auto"/>
          <w:lang w:val="en-US" w:eastAsia="zh-CN"/>
        </w:rPr>
        <w:t>5.2.3</w:t>
      </w:r>
      <w:r>
        <w:rPr>
          <w:rFonts w:hint="eastAsia"/>
          <w:color w:val="auto"/>
        </w:rPr>
        <w:t>声环境影响评价</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eastAsia="宋体"/>
          <w:color w:val="auto"/>
          <w:w w:val="100"/>
          <w:lang w:eastAsia="zh-CN"/>
        </w:rPr>
      </w:pPr>
      <w:r>
        <w:rPr>
          <w:rFonts w:hint="eastAsia"/>
          <w:color w:val="auto"/>
          <w:sz w:val="24"/>
          <w:lang w:eastAsia="zh-CN"/>
        </w:rPr>
        <w:t>本次噪声影响评价坐标系建立以拟建场地西南边界交汇点为坐标原点(x=0，y=0)，x轴正方向为正东向，y轴正方向为正北向，由此得出各噪声源的位置坐标点，定位坐标均为建构筑物及设备的中心坐标，布置范围为设备布置的x，y范围坐标值，布置标高为相对原点处的标高。</w:t>
      </w:r>
    </w:p>
    <w:p>
      <w:pPr>
        <w:pStyle w:val="2"/>
        <w:pageBreakBefore w:val="0"/>
        <w:widowControl w:val="0"/>
        <w:numPr>
          <w:ilvl w:val="3"/>
          <w:numId w:val="0"/>
        </w:numPr>
        <w:kinsoku/>
        <w:wordWrap/>
        <w:overflowPunct/>
        <w:topLinePunct w:val="0"/>
        <w:autoSpaceDE/>
        <w:autoSpaceDN/>
        <w:bidi w:val="0"/>
        <w:adjustRightInd/>
        <w:snapToGrid/>
        <w:spacing w:after="0" w:line="360" w:lineRule="auto"/>
        <w:textAlignment w:val="auto"/>
        <w:rPr>
          <w:color w:val="auto"/>
        </w:rPr>
      </w:pPr>
      <w:r>
        <w:rPr>
          <w:rFonts w:hint="eastAsia"/>
          <w:color w:val="auto"/>
          <w:lang w:val="en-US" w:eastAsia="zh-CN"/>
        </w:rPr>
        <w:t>5.2.3.1</w:t>
      </w:r>
      <w:r>
        <w:rPr>
          <w:color w:val="auto"/>
        </w:rPr>
        <w:t>噪声源强</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64" w:firstLineChars="200"/>
        <w:textAlignment w:val="auto"/>
        <w:rPr>
          <w:color w:val="auto"/>
          <w:w w:val="100"/>
          <w:highlight w:val="none"/>
        </w:rPr>
      </w:pPr>
      <w:r>
        <w:rPr>
          <w:color w:val="auto"/>
          <w:spacing w:val="-4"/>
          <w:w w:val="100"/>
          <w:highlight w:val="none"/>
        </w:rPr>
        <w:t>本项目噪声源主要来自建筑内部风机、供水水泵、消防水泵、配电</w:t>
      </w:r>
      <w:r>
        <w:rPr>
          <w:color w:val="auto"/>
          <w:spacing w:val="-7"/>
          <w:w w:val="100"/>
          <w:highlight w:val="none"/>
        </w:rPr>
        <w:t>房</w:t>
      </w:r>
      <w:r>
        <w:rPr>
          <w:rFonts w:hint="eastAsia"/>
          <w:color w:val="auto"/>
          <w:spacing w:val="-7"/>
          <w:w w:val="100"/>
          <w:highlight w:val="none"/>
          <w:lang w:eastAsia="zh-CN"/>
        </w:rPr>
        <w:t>、变配电所</w:t>
      </w:r>
      <w:r>
        <w:rPr>
          <w:color w:val="auto"/>
          <w:spacing w:val="-7"/>
          <w:w w:val="100"/>
          <w:highlight w:val="none"/>
        </w:rPr>
        <w:t>和</w:t>
      </w:r>
      <w:r>
        <w:rPr>
          <w:rFonts w:hint="eastAsia"/>
          <w:color w:val="auto"/>
          <w:spacing w:val="-7"/>
          <w:w w:val="100"/>
          <w:highlight w:val="none"/>
          <w:lang w:eastAsia="zh-CN"/>
        </w:rPr>
        <w:t>楼顶</w:t>
      </w:r>
      <w:r>
        <w:rPr>
          <w:color w:val="auto"/>
          <w:spacing w:val="-7"/>
          <w:w w:val="100"/>
          <w:highlight w:val="none"/>
        </w:rPr>
        <w:t>冷却塔等，声级值为</w:t>
      </w:r>
      <w:r>
        <w:rPr>
          <w:rFonts w:hint="eastAsia"/>
          <w:color w:val="auto"/>
          <w:spacing w:val="-6"/>
          <w:w w:val="100"/>
          <w:highlight w:val="none"/>
          <w:lang w:val="en-US" w:eastAsia="zh-CN"/>
        </w:rPr>
        <w:t>70</w:t>
      </w:r>
      <w:r>
        <w:rPr>
          <w:rFonts w:ascii="Times New Roman" w:eastAsia="Times New Roman"/>
          <w:color w:val="auto"/>
          <w:spacing w:val="-6"/>
          <w:w w:val="100"/>
          <w:highlight w:val="none"/>
        </w:rPr>
        <w:t>~</w:t>
      </w:r>
      <w:r>
        <w:rPr>
          <w:rFonts w:hint="eastAsia" w:ascii="Times New Roman" w:eastAsia="宋体"/>
          <w:color w:val="auto"/>
          <w:spacing w:val="-6"/>
          <w:w w:val="100"/>
          <w:highlight w:val="none"/>
          <w:lang w:val="en-US" w:eastAsia="zh-CN"/>
        </w:rPr>
        <w:t>90</w:t>
      </w:r>
      <w:r>
        <w:rPr>
          <w:rFonts w:ascii="Times New Roman" w:eastAsia="Times New Roman"/>
          <w:color w:val="auto"/>
          <w:spacing w:val="-6"/>
          <w:w w:val="100"/>
          <w:highlight w:val="none"/>
        </w:rPr>
        <w:t>dB</w:t>
      </w:r>
      <w:r>
        <w:rPr>
          <w:color w:val="auto"/>
          <w:spacing w:val="-6"/>
          <w:w w:val="100"/>
          <w:highlight w:val="none"/>
        </w:rPr>
        <w:t>（</w:t>
      </w:r>
      <w:r>
        <w:rPr>
          <w:rFonts w:ascii="Times New Roman" w:eastAsia="Times New Roman"/>
          <w:color w:val="auto"/>
          <w:spacing w:val="-6"/>
          <w:w w:val="100"/>
          <w:highlight w:val="none"/>
        </w:rPr>
        <w:t>A</w:t>
      </w:r>
      <w:r>
        <w:rPr>
          <w:color w:val="auto"/>
          <w:spacing w:val="-6"/>
          <w:w w:val="100"/>
          <w:highlight w:val="none"/>
        </w:rPr>
        <w:t>），</w:t>
      </w:r>
      <w:r>
        <w:rPr>
          <w:color w:val="auto"/>
          <w:spacing w:val="-4"/>
          <w:w w:val="100"/>
          <w:highlight w:val="none"/>
        </w:rPr>
        <w:t>产噪设备的噪声源强见</w:t>
      </w:r>
      <w:r>
        <w:rPr>
          <w:rFonts w:hint="eastAsia"/>
          <w:color w:val="auto"/>
          <w:spacing w:val="-4"/>
          <w:w w:val="100"/>
          <w:highlight w:val="none"/>
          <w:lang w:eastAsia="zh-CN"/>
        </w:rPr>
        <w:t>下表</w:t>
      </w:r>
      <w:r>
        <w:rPr>
          <w:color w:val="auto"/>
          <w:w w:val="100"/>
          <w:highlight w:val="none"/>
        </w:rPr>
        <w:t>。</w:t>
      </w:r>
    </w:p>
    <w:p>
      <w:pPr>
        <w:pStyle w:val="19"/>
        <w:pageBreakBefore w:val="0"/>
        <w:widowControl w:val="0"/>
        <w:kinsoku/>
        <w:wordWrap/>
        <w:overflowPunct/>
        <w:topLinePunct w:val="0"/>
        <w:autoSpaceDE/>
        <w:autoSpaceDN/>
        <w:bidi w:val="0"/>
        <w:adjustRightInd/>
        <w:snapToGrid w:val="0"/>
        <w:spacing w:after="0" w:line="240" w:lineRule="auto"/>
        <w:ind w:left="0" w:leftChars="0" w:right="678" w:firstLine="0" w:firstLineChars="0"/>
        <w:jc w:val="center"/>
        <w:textAlignment w:val="auto"/>
        <w:rPr>
          <w:b/>
          <w:color w:val="auto"/>
          <w:w w:val="100"/>
          <w:kern w:val="21"/>
          <w:sz w:val="21"/>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342"/>
        <w:spacing w:before="164"/>
        <w:rPr>
          <w:color w:val="auto"/>
        </w:rPr>
      </w:pPr>
      <w:r>
        <w:rPr>
          <w:rFonts w:hint="eastAsia"/>
          <w:color w:val="auto"/>
        </w:rPr>
        <w:t>表</w:t>
      </w:r>
      <w:r>
        <w:rPr>
          <w:rFonts w:hint="eastAsia"/>
          <w:color w:val="auto"/>
          <w:lang w:val="en-US" w:eastAsia="zh-CN"/>
        </w:rPr>
        <w:t>5</w:t>
      </w:r>
      <w:r>
        <w:rPr>
          <w:color w:val="auto"/>
        </w:rPr>
        <w:t xml:space="preserve">.2-15  </w:t>
      </w:r>
      <w:r>
        <w:rPr>
          <w:rFonts w:hint="eastAsia"/>
          <w:color w:val="auto"/>
        </w:rPr>
        <w:t>噪声源强调查清单（室外声源）</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803"/>
        <w:gridCol w:w="480"/>
        <w:gridCol w:w="764"/>
        <w:gridCol w:w="764"/>
        <w:gridCol w:w="584"/>
        <w:gridCol w:w="1262"/>
        <w:gridCol w:w="8233"/>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restart"/>
            <w:shd w:val="clear" w:color="auto" w:fill="auto"/>
            <w:vAlign w:val="center"/>
          </w:tcPr>
          <w:p>
            <w:pPr>
              <w:pStyle w:val="343"/>
              <w:framePr w:hSpace="0" w:wrap="auto" w:vAnchor="margin" w:hAnchor="text" w:yAlign="inline"/>
              <w:rPr>
                <w:color w:val="auto"/>
              </w:rPr>
            </w:pPr>
            <w:r>
              <w:rPr>
                <w:rFonts w:hint="eastAsia"/>
                <w:color w:val="auto"/>
              </w:rPr>
              <w:t>编号</w:t>
            </w:r>
          </w:p>
        </w:tc>
        <w:tc>
          <w:tcPr>
            <w:tcW w:w="296" w:type="pct"/>
            <w:vMerge w:val="restart"/>
            <w:shd w:val="clear" w:color="auto" w:fill="auto"/>
            <w:vAlign w:val="center"/>
          </w:tcPr>
          <w:p>
            <w:pPr>
              <w:pStyle w:val="343"/>
              <w:framePr w:hSpace="0" w:wrap="auto" w:vAnchor="margin" w:hAnchor="text" w:yAlign="inline"/>
              <w:rPr>
                <w:color w:val="auto"/>
              </w:rPr>
            </w:pPr>
            <w:r>
              <w:rPr>
                <w:color w:val="auto"/>
              </w:rPr>
              <w:t>声</w:t>
            </w:r>
            <w:r>
              <w:rPr>
                <w:rFonts w:hint="eastAsia"/>
                <w:color w:val="auto"/>
              </w:rPr>
              <w:t>源名称</w:t>
            </w:r>
          </w:p>
        </w:tc>
        <w:tc>
          <w:tcPr>
            <w:tcW w:w="182" w:type="pct"/>
            <w:vMerge w:val="restart"/>
            <w:vAlign w:val="center"/>
          </w:tcPr>
          <w:p>
            <w:pPr>
              <w:pStyle w:val="343"/>
              <w:framePr w:hSpace="0" w:wrap="auto" w:vAnchor="margin" w:hAnchor="text" w:yAlign="inline"/>
              <w:rPr>
                <w:color w:val="auto"/>
              </w:rPr>
            </w:pPr>
            <w:r>
              <w:rPr>
                <w:rFonts w:hint="eastAsia"/>
                <w:color w:val="auto"/>
              </w:rPr>
              <w:t>型号</w:t>
            </w:r>
          </w:p>
        </w:tc>
        <w:tc>
          <w:tcPr>
            <w:tcW w:w="669" w:type="pct"/>
            <w:gridSpan w:val="3"/>
            <w:vAlign w:val="center"/>
          </w:tcPr>
          <w:p>
            <w:pPr>
              <w:pStyle w:val="343"/>
              <w:framePr w:hSpace="0" w:wrap="auto" w:vAnchor="margin" w:hAnchor="text" w:yAlign="inline"/>
              <w:rPr>
                <w:color w:val="auto"/>
              </w:rPr>
            </w:pPr>
            <w:r>
              <w:rPr>
                <w:color w:val="auto"/>
              </w:rPr>
              <w:t>空间相对位置</w:t>
            </w:r>
            <w:r>
              <w:rPr>
                <w:rFonts w:hint="eastAsia"/>
                <w:color w:val="auto"/>
              </w:rPr>
              <w:t>/</w:t>
            </w:r>
            <w:r>
              <w:rPr>
                <w:color w:val="auto"/>
              </w:rPr>
              <w:t>m</w:t>
            </w:r>
          </w:p>
        </w:tc>
        <w:tc>
          <w:tcPr>
            <w:tcW w:w="458" w:type="pct"/>
          </w:tcPr>
          <w:p>
            <w:pPr>
              <w:pStyle w:val="343"/>
              <w:framePr w:hSpace="0" w:wrap="auto" w:vAnchor="margin" w:hAnchor="text" w:yAlign="inline"/>
              <w:rPr>
                <w:color w:val="auto"/>
              </w:rPr>
            </w:pPr>
            <w:r>
              <w:rPr>
                <w:rFonts w:hint="eastAsia"/>
                <w:color w:val="auto"/>
              </w:rPr>
              <w:t>声源源强</w:t>
            </w:r>
          </w:p>
        </w:tc>
        <w:tc>
          <w:tcPr>
            <w:tcW w:w="2917" w:type="pct"/>
            <w:vMerge w:val="restart"/>
          </w:tcPr>
          <w:p>
            <w:pPr>
              <w:pStyle w:val="343"/>
              <w:framePr w:hSpace="0" w:wrap="auto" w:vAnchor="margin" w:hAnchor="text" w:yAlign="inline"/>
              <w:rPr>
                <w:color w:val="auto"/>
              </w:rPr>
            </w:pPr>
            <w:r>
              <w:rPr>
                <w:rFonts w:hint="eastAsia"/>
                <w:color w:val="auto"/>
              </w:rPr>
              <w:t>声源控制措施</w:t>
            </w:r>
          </w:p>
        </w:tc>
        <w:tc>
          <w:tcPr>
            <w:tcW w:w="296" w:type="pct"/>
            <w:vMerge w:val="restart"/>
            <w:vAlign w:val="center"/>
          </w:tcPr>
          <w:p>
            <w:pPr>
              <w:pStyle w:val="343"/>
              <w:framePr w:hSpace="0" w:wrap="auto" w:vAnchor="margin" w:hAnchor="text" w:yAlign="inline"/>
              <w:rPr>
                <w:color w:val="auto"/>
              </w:rPr>
            </w:pPr>
            <w:r>
              <w:rPr>
                <w:rFonts w:hint="eastAsia"/>
                <w:color w:val="auto"/>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continue"/>
            <w:shd w:val="clear" w:color="auto" w:fill="auto"/>
            <w:vAlign w:val="center"/>
          </w:tcPr>
          <w:p>
            <w:pPr>
              <w:pStyle w:val="343"/>
              <w:framePr w:hSpace="0" w:wrap="auto" w:vAnchor="margin" w:hAnchor="text" w:yAlign="inline"/>
              <w:rPr>
                <w:color w:val="auto"/>
              </w:rPr>
            </w:pPr>
          </w:p>
        </w:tc>
        <w:tc>
          <w:tcPr>
            <w:tcW w:w="296" w:type="pct"/>
            <w:vMerge w:val="continue"/>
            <w:shd w:val="clear" w:color="auto" w:fill="auto"/>
            <w:vAlign w:val="center"/>
          </w:tcPr>
          <w:p>
            <w:pPr>
              <w:pStyle w:val="343"/>
              <w:framePr w:hSpace="0" w:wrap="auto" w:vAnchor="margin" w:hAnchor="text" w:yAlign="inline"/>
              <w:rPr>
                <w:color w:val="auto"/>
              </w:rPr>
            </w:pPr>
          </w:p>
        </w:tc>
        <w:tc>
          <w:tcPr>
            <w:tcW w:w="182" w:type="pct"/>
            <w:vMerge w:val="continue"/>
            <w:vAlign w:val="center"/>
          </w:tcPr>
          <w:p>
            <w:pPr>
              <w:pStyle w:val="343"/>
              <w:framePr w:hSpace="0" w:wrap="auto" w:vAnchor="margin" w:hAnchor="text" w:yAlign="inline"/>
              <w:rPr>
                <w:color w:val="auto"/>
              </w:rPr>
            </w:pPr>
          </w:p>
        </w:tc>
        <w:tc>
          <w:tcPr>
            <w:tcW w:w="242" w:type="pct"/>
            <w:vAlign w:val="center"/>
          </w:tcPr>
          <w:p>
            <w:pPr>
              <w:pStyle w:val="343"/>
              <w:framePr w:hSpace="0" w:wrap="auto" w:vAnchor="margin" w:hAnchor="text" w:yAlign="inline"/>
              <w:rPr>
                <w:color w:val="auto"/>
              </w:rPr>
            </w:pPr>
            <w:r>
              <w:rPr>
                <w:rFonts w:hint="eastAsia"/>
                <w:color w:val="auto"/>
              </w:rPr>
              <w:t>x</w:t>
            </w:r>
          </w:p>
        </w:tc>
        <w:tc>
          <w:tcPr>
            <w:tcW w:w="242" w:type="pct"/>
            <w:vAlign w:val="center"/>
          </w:tcPr>
          <w:p>
            <w:pPr>
              <w:pStyle w:val="343"/>
              <w:framePr w:hSpace="0" w:wrap="auto" w:vAnchor="margin" w:hAnchor="text" w:yAlign="inline"/>
              <w:rPr>
                <w:color w:val="auto"/>
              </w:rPr>
            </w:pPr>
            <w:r>
              <w:rPr>
                <w:rFonts w:hint="eastAsia"/>
                <w:color w:val="auto"/>
              </w:rPr>
              <w:t>y</w:t>
            </w:r>
          </w:p>
        </w:tc>
        <w:tc>
          <w:tcPr>
            <w:tcW w:w="185" w:type="pct"/>
            <w:vAlign w:val="center"/>
          </w:tcPr>
          <w:p>
            <w:pPr>
              <w:pStyle w:val="343"/>
              <w:framePr w:hSpace="0" w:wrap="auto" w:vAnchor="margin" w:hAnchor="text" w:yAlign="inline"/>
              <w:rPr>
                <w:color w:val="auto"/>
              </w:rPr>
            </w:pPr>
            <w:r>
              <w:rPr>
                <w:color w:val="auto"/>
              </w:rPr>
              <w:t>Z</w:t>
            </w:r>
          </w:p>
        </w:tc>
        <w:tc>
          <w:tcPr>
            <w:tcW w:w="458" w:type="pct"/>
          </w:tcPr>
          <w:p>
            <w:pPr>
              <w:pStyle w:val="343"/>
              <w:framePr w:hSpace="0" w:wrap="auto" w:vAnchor="margin" w:hAnchor="text" w:yAlign="inline"/>
              <w:rPr>
                <w:color w:val="auto"/>
              </w:rPr>
            </w:pPr>
            <w:r>
              <w:rPr>
                <w:color w:val="auto"/>
              </w:rPr>
              <w:t>声功率</w:t>
            </w:r>
            <w:r>
              <w:rPr>
                <w:rFonts w:hint="eastAsia"/>
                <w:color w:val="auto"/>
              </w:rPr>
              <w:t>级/</w:t>
            </w:r>
            <w:r>
              <w:rPr>
                <w:color w:val="auto"/>
              </w:rPr>
              <w:t>dB(A)</w:t>
            </w:r>
          </w:p>
        </w:tc>
        <w:tc>
          <w:tcPr>
            <w:tcW w:w="2917" w:type="pct"/>
            <w:vMerge w:val="continue"/>
          </w:tcPr>
          <w:p>
            <w:pPr>
              <w:pStyle w:val="343"/>
              <w:framePr w:hSpace="0" w:wrap="auto" w:vAnchor="margin" w:hAnchor="text" w:yAlign="inline"/>
              <w:rPr>
                <w:color w:val="auto"/>
              </w:rPr>
            </w:pPr>
          </w:p>
        </w:tc>
        <w:tc>
          <w:tcPr>
            <w:tcW w:w="296" w:type="pct"/>
            <w:vMerge w:val="continue"/>
            <w:vAlign w:val="center"/>
          </w:tcPr>
          <w:p>
            <w:pPr>
              <w:pStyle w:val="343"/>
              <w:framePr w:hSpace="0" w:wrap="auto" w:vAnchor="margin" w:hAnchor="text" w:yAlign="inline"/>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shd w:val="clear" w:color="auto" w:fill="auto"/>
            <w:vAlign w:val="center"/>
          </w:tcPr>
          <w:p>
            <w:pPr>
              <w:pStyle w:val="343"/>
              <w:framePr w:hSpace="0" w:wrap="auto" w:vAnchor="margin" w:hAnchor="text" w:yAlign="inline"/>
              <w:rPr>
                <w:color w:val="auto"/>
              </w:rPr>
            </w:pPr>
            <w:r>
              <w:rPr>
                <w:rFonts w:hint="eastAsia"/>
                <w:color w:val="auto"/>
              </w:rPr>
              <w:t>1</w:t>
            </w:r>
          </w:p>
        </w:tc>
        <w:tc>
          <w:tcPr>
            <w:tcW w:w="296" w:type="pct"/>
            <w:shd w:val="clear" w:color="auto" w:fill="auto"/>
            <w:vAlign w:val="center"/>
          </w:tcPr>
          <w:p>
            <w:pPr>
              <w:pStyle w:val="343"/>
              <w:framePr w:hSpace="0" w:wrap="auto" w:vAnchor="margin" w:hAnchor="text" w:yAlign="inline"/>
              <w:rPr>
                <w:color w:val="auto"/>
              </w:rPr>
            </w:pPr>
            <w:r>
              <w:rPr>
                <w:rFonts w:hint="eastAsia"/>
                <w:color w:val="auto"/>
              </w:rPr>
              <w:t>风机</w:t>
            </w:r>
          </w:p>
        </w:tc>
        <w:tc>
          <w:tcPr>
            <w:tcW w:w="182" w:type="pct"/>
            <w:vAlign w:val="center"/>
          </w:tcPr>
          <w:p>
            <w:pPr>
              <w:pStyle w:val="343"/>
              <w:framePr w:hSpace="0" w:wrap="auto" w:vAnchor="margin" w:hAnchor="text" w:yAlign="inline"/>
              <w:rPr>
                <w:color w:val="auto"/>
              </w:rPr>
            </w:pPr>
            <w:r>
              <w:rPr>
                <w:rFonts w:hint="eastAsia"/>
                <w:color w:val="auto"/>
              </w:rPr>
              <w:t>/</w:t>
            </w:r>
          </w:p>
        </w:tc>
        <w:tc>
          <w:tcPr>
            <w:tcW w:w="242" w:type="pct"/>
            <w:vAlign w:val="center"/>
          </w:tcPr>
          <w:p>
            <w:pPr>
              <w:pStyle w:val="343"/>
              <w:framePr w:hSpace="0" w:wrap="auto" w:vAnchor="margin" w:hAnchor="text" w:yAlign="inline"/>
              <w:rPr>
                <w:color w:val="auto"/>
              </w:rPr>
            </w:pPr>
            <w:r>
              <w:rPr>
                <w:rFonts w:hint="eastAsia"/>
                <w:color w:val="auto"/>
              </w:rPr>
              <w:t>2</w:t>
            </w:r>
            <w:r>
              <w:rPr>
                <w:color w:val="auto"/>
              </w:rPr>
              <w:t>8~124</w:t>
            </w:r>
          </w:p>
        </w:tc>
        <w:tc>
          <w:tcPr>
            <w:tcW w:w="242" w:type="pct"/>
            <w:vAlign w:val="center"/>
          </w:tcPr>
          <w:p>
            <w:pPr>
              <w:pStyle w:val="343"/>
              <w:framePr w:hSpace="0" w:wrap="auto" w:vAnchor="margin" w:hAnchor="text" w:yAlign="inline"/>
              <w:rPr>
                <w:color w:val="auto"/>
              </w:rPr>
            </w:pPr>
            <w:r>
              <w:rPr>
                <w:rFonts w:hint="eastAsia"/>
                <w:color w:val="auto"/>
              </w:rPr>
              <w:t>1</w:t>
            </w:r>
            <w:r>
              <w:rPr>
                <w:color w:val="auto"/>
              </w:rPr>
              <w:t>8~187</w:t>
            </w:r>
          </w:p>
        </w:tc>
        <w:tc>
          <w:tcPr>
            <w:tcW w:w="185" w:type="pct"/>
            <w:vAlign w:val="center"/>
          </w:tcPr>
          <w:p>
            <w:pPr>
              <w:pStyle w:val="343"/>
              <w:framePr w:hSpace="0" w:wrap="auto" w:vAnchor="margin" w:hAnchor="text" w:yAlign="inline"/>
              <w:rPr>
                <w:color w:val="auto"/>
              </w:rPr>
            </w:pPr>
            <w:r>
              <w:rPr>
                <w:rFonts w:hint="eastAsia"/>
                <w:color w:val="auto"/>
              </w:rPr>
              <w:t>3</w:t>
            </w:r>
            <w:r>
              <w:rPr>
                <w:color w:val="auto"/>
              </w:rPr>
              <w:t>0</w:t>
            </w:r>
          </w:p>
        </w:tc>
        <w:tc>
          <w:tcPr>
            <w:tcW w:w="458" w:type="pct"/>
            <w:vAlign w:val="center"/>
          </w:tcPr>
          <w:p>
            <w:pPr>
              <w:pStyle w:val="343"/>
              <w:framePr w:hSpace="0" w:wrap="auto" w:vAnchor="margin" w:hAnchor="text" w:yAlign="inline"/>
              <w:rPr>
                <w:color w:val="auto"/>
              </w:rPr>
            </w:pPr>
            <w:r>
              <w:rPr>
                <w:color w:val="auto"/>
              </w:rPr>
              <w:t>95</w:t>
            </w:r>
          </w:p>
        </w:tc>
        <w:tc>
          <w:tcPr>
            <w:tcW w:w="2917" w:type="pct"/>
            <w:vAlign w:val="center"/>
          </w:tcPr>
          <w:p>
            <w:pPr>
              <w:pStyle w:val="343"/>
              <w:framePr w:hSpace="0" w:wrap="auto" w:vAnchor="margin" w:hAnchor="text" w:yAlign="inline"/>
              <w:rPr>
                <w:color w:val="auto"/>
              </w:rPr>
            </w:pPr>
            <w:r>
              <w:rPr>
                <w:rFonts w:hint="eastAsia"/>
                <w:color w:val="auto"/>
              </w:rPr>
              <w:t>选用低噪声设备、基础减震、设置消声器或隔音罩、定期检修维护</w:t>
            </w:r>
          </w:p>
        </w:tc>
        <w:tc>
          <w:tcPr>
            <w:tcW w:w="296" w:type="pct"/>
            <w:vAlign w:val="center"/>
          </w:tcPr>
          <w:p>
            <w:pPr>
              <w:pStyle w:val="343"/>
              <w:framePr w:hSpace="0" w:wrap="auto" w:vAnchor="margin" w:hAnchor="text" w:yAlign="inline"/>
              <w:rPr>
                <w:color w:val="auto"/>
              </w:rPr>
            </w:pPr>
            <w:r>
              <w:rPr>
                <w:rFonts w:hint="eastAsia"/>
                <w:color w:val="auto"/>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shd w:val="clear" w:color="auto" w:fill="auto"/>
            <w:vAlign w:val="center"/>
          </w:tcPr>
          <w:p>
            <w:pPr>
              <w:pStyle w:val="343"/>
              <w:framePr w:hSpace="0" w:wrap="auto" w:vAnchor="margin" w:hAnchor="text" w:yAlign="inline"/>
              <w:rPr>
                <w:color w:val="auto"/>
              </w:rPr>
            </w:pPr>
            <w:r>
              <w:rPr>
                <w:rFonts w:hint="eastAsia"/>
                <w:color w:val="auto"/>
              </w:rPr>
              <w:t>2</w:t>
            </w:r>
          </w:p>
        </w:tc>
        <w:tc>
          <w:tcPr>
            <w:tcW w:w="296" w:type="pct"/>
            <w:shd w:val="clear" w:color="auto" w:fill="auto"/>
            <w:vAlign w:val="center"/>
          </w:tcPr>
          <w:p>
            <w:pPr>
              <w:pStyle w:val="343"/>
              <w:framePr w:hSpace="0" w:wrap="auto" w:vAnchor="margin" w:hAnchor="text" w:yAlign="inline"/>
              <w:rPr>
                <w:color w:val="auto"/>
              </w:rPr>
            </w:pPr>
            <w:r>
              <w:rPr>
                <w:rFonts w:hint="eastAsia"/>
                <w:color w:val="auto"/>
              </w:rPr>
              <w:t>水泵</w:t>
            </w:r>
          </w:p>
        </w:tc>
        <w:tc>
          <w:tcPr>
            <w:tcW w:w="182" w:type="pct"/>
            <w:vAlign w:val="center"/>
          </w:tcPr>
          <w:p>
            <w:pPr>
              <w:pStyle w:val="343"/>
              <w:framePr w:hSpace="0" w:wrap="auto" w:vAnchor="margin" w:hAnchor="text" w:yAlign="inline"/>
              <w:rPr>
                <w:color w:val="auto"/>
              </w:rPr>
            </w:pPr>
            <w:r>
              <w:rPr>
                <w:rFonts w:hint="eastAsia"/>
                <w:color w:val="auto"/>
              </w:rPr>
              <w:t>/</w:t>
            </w:r>
          </w:p>
        </w:tc>
        <w:tc>
          <w:tcPr>
            <w:tcW w:w="242" w:type="pct"/>
            <w:vAlign w:val="center"/>
          </w:tcPr>
          <w:p>
            <w:pPr>
              <w:pStyle w:val="343"/>
              <w:framePr w:hSpace="0" w:wrap="auto" w:vAnchor="margin" w:hAnchor="text" w:yAlign="inline"/>
              <w:rPr>
                <w:color w:val="auto"/>
              </w:rPr>
            </w:pPr>
            <w:r>
              <w:rPr>
                <w:rFonts w:hint="eastAsia"/>
                <w:color w:val="auto"/>
              </w:rPr>
              <w:t>7</w:t>
            </w:r>
          </w:p>
        </w:tc>
        <w:tc>
          <w:tcPr>
            <w:tcW w:w="242" w:type="pct"/>
            <w:vAlign w:val="center"/>
          </w:tcPr>
          <w:p>
            <w:pPr>
              <w:pStyle w:val="343"/>
              <w:framePr w:hSpace="0" w:wrap="auto" w:vAnchor="margin" w:hAnchor="text" w:yAlign="inline"/>
              <w:rPr>
                <w:color w:val="auto"/>
              </w:rPr>
            </w:pPr>
            <w:r>
              <w:rPr>
                <w:rFonts w:hint="eastAsia"/>
                <w:color w:val="auto"/>
              </w:rPr>
              <w:t>1</w:t>
            </w:r>
            <w:r>
              <w:rPr>
                <w:color w:val="auto"/>
              </w:rPr>
              <w:t>75</w:t>
            </w:r>
          </w:p>
        </w:tc>
        <w:tc>
          <w:tcPr>
            <w:tcW w:w="185" w:type="pct"/>
            <w:vAlign w:val="center"/>
          </w:tcPr>
          <w:p>
            <w:pPr>
              <w:pStyle w:val="343"/>
              <w:framePr w:hSpace="0" w:wrap="auto" w:vAnchor="margin" w:hAnchor="text" w:yAlign="inline"/>
              <w:rPr>
                <w:color w:val="auto"/>
              </w:rPr>
            </w:pPr>
            <w:r>
              <w:rPr>
                <w:rFonts w:hint="eastAsia"/>
                <w:color w:val="auto"/>
              </w:rPr>
              <w:t>2</w:t>
            </w:r>
          </w:p>
        </w:tc>
        <w:tc>
          <w:tcPr>
            <w:tcW w:w="458" w:type="pct"/>
            <w:vAlign w:val="center"/>
          </w:tcPr>
          <w:p>
            <w:pPr>
              <w:pStyle w:val="343"/>
              <w:framePr w:hSpace="0" w:wrap="auto" w:vAnchor="margin" w:hAnchor="text" w:yAlign="inline"/>
              <w:rPr>
                <w:color w:val="auto"/>
              </w:rPr>
            </w:pPr>
            <w:r>
              <w:rPr>
                <w:rFonts w:hint="eastAsia"/>
                <w:color w:val="auto"/>
              </w:rPr>
              <w:t>75</w:t>
            </w:r>
          </w:p>
        </w:tc>
        <w:tc>
          <w:tcPr>
            <w:tcW w:w="2917" w:type="pct"/>
            <w:vAlign w:val="center"/>
          </w:tcPr>
          <w:p>
            <w:pPr>
              <w:pStyle w:val="343"/>
              <w:framePr w:hSpace="0" w:wrap="auto" w:vAnchor="margin" w:hAnchor="text" w:yAlign="inline"/>
              <w:rPr>
                <w:color w:val="auto"/>
              </w:rPr>
            </w:pPr>
            <w:r>
              <w:rPr>
                <w:rFonts w:hint="eastAsia"/>
                <w:color w:val="auto"/>
              </w:rPr>
              <w:t>选用低噪声设备、基础减震、置于泵房内运行、房间隔声、定期检修维护</w:t>
            </w:r>
          </w:p>
        </w:tc>
        <w:tc>
          <w:tcPr>
            <w:tcW w:w="296" w:type="pct"/>
            <w:vAlign w:val="center"/>
          </w:tcPr>
          <w:p>
            <w:pPr>
              <w:pStyle w:val="343"/>
              <w:framePr w:hSpace="0" w:wrap="auto" w:vAnchor="margin" w:hAnchor="text" w:yAlign="inline"/>
              <w:rPr>
                <w:color w:val="auto"/>
              </w:rPr>
            </w:pPr>
            <w:r>
              <w:rPr>
                <w:rFonts w:hint="eastAsia"/>
                <w:color w:val="auto"/>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shd w:val="clear" w:color="auto" w:fill="auto"/>
            <w:vAlign w:val="center"/>
          </w:tcPr>
          <w:p>
            <w:pPr>
              <w:pStyle w:val="343"/>
              <w:framePr w:hSpace="0" w:wrap="auto" w:vAnchor="margin" w:hAnchor="text" w:yAlign="inline"/>
              <w:rPr>
                <w:color w:val="auto"/>
              </w:rPr>
            </w:pPr>
            <w:r>
              <w:rPr>
                <w:rFonts w:hint="eastAsia"/>
                <w:color w:val="auto"/>
              </w:rPr>
              <w:t>3</w:t>
            </w:r>
          </w:p>
        </w:tc>
        <w:tc>
          <w:tcPr>
            <w:tcW w:w="296" w:type="pct"/>
            <w:shd w:val="clear" w:color="auto" w:fill="auto"/>
            <w:vAlign w:val="center"/>
          </w:tcPr>
          <w:p>
            <w:pPr>
              <w:pStyle w:val="343"/>
              <w:framePr w:hSpace="0" w:wrap="auto" w:vAnchor="margin" w:hAnchor="text" w:yAlign="inline"/>
              <w:rPr>
                <w:color w:val="auto"/>
              </w:rPr>
            </w:pPr>
            <w:r>
              <w:rPr>
                <w:rFonts w:hint="eastAsia"/>
                <w:color w:val="auto"/>
              </w:rPr>
              <w:t>空调机组</w:t>
            </w:r>
          </w:p>
        </w:tc>
        <w:tc>
          <w:tcPr>
            <w:tcW w:w="182" w:type="pct"/>
            <w:vAlign w:val="center"/>
          </w:tcPr>
          <w:p>
            <w:pPr>
              <w:pStyle w:val="343"/>
              <w:framePr w:hSpace="0" w:wrap="auto" w:vAnchor="margin" w:hAnchor="text" w:yAlign="inline"/>
              <w:rPr>
                <w:color w:val="auto"/>
              </w:rPr>
            </w:pPr>
            <w:r>
              <w:rPr>
                <w:rFonts w:hint="eastAsia"/>
                <w:color w:val="auto"/>
              </w:rPr>
              <w:t>/</w:t>
            </w:r>
          </w:p>
        </w:tc>
        <w:tc>
          <w:tcPr>
            <w:tcW w:w="242" w:type="pct"/>
            <w:vAlign w:val="center"/>
          </w:tcPr>
          <w:p>
            <w:pPr>
              <w:pStyle w:val="343"/>
              <w:framePr w:hSpace="0" w:wrap="auto" w:vAnchor="margin" w:hAnchor="text" w:yAlign="inline"/>
              <w:rPr>
                <w:color w:val="auto"/>
              </w:rPr>
            </w:pPr>
            <w:r>
              <w:rPr>
                <w:rFonts w:hint="eastAsia"/>
                <w:color w:val="auto"/>
              </w:rPr>
              <w:t>2</w:t>
            </w:r>
            <w:r>
              <w:rPr>
                <w:color w:val="auto"/>
              </w:rPr>
              <w:t>8~124</w:t>
            </w:r>
          </w:p>
        </w:tc>
        <w:tc>
          <w:tcPr>
            <w:tcW w:w="242" w:type="pct"/>
            <w:vAlign w:val="center"/>
          </w:tcPr>
          <w:p>
            <w:pPr>
              <w:pStyle w:val="343"/>
              <w:framePr w:hSpace="0" w:wrap="auto" w:vAnchor="margin" w:hAnchor="text" w:yAlign="inline"/>
              <w:rPr>
                <w:color w:val="auto"/>
              </w:rPr>
            </w:pPr>
            <w:r>
              <w:rPr>
                <w:rFonts w:hint="eastAsia"/>
                <w:color w:val="auto"/>
              </w:rPr>
              <w:t>1</w:t>
            </w:r>
            <w:r>
              <w:rPr>
                <w:color w:val="auto"/>
              </w:rPr>
              <w:t>8~187</w:t>
            </w:r>
          </w:p>
        </w:tc>
        <w:tc>
          <w:tcPr>
            <w:tcW w:w="185" w:type="pct"/>
            <w:vAlign w:val="center"/>
          </w:tcPr>
          <w:p>
            <w:pPr>
              <w:pStyle w:val="343"/>
              <w:framePr w:hSpace="0" w:wrap="auto" w:vAnchor="margin" w:hAnchor="text" w:yAlign="inline"/>
              <w:rPr>
                <w:color w:val="auto"/>
              </w:rPr>
            </w:pPr>
            <w:r>
              <w:rPr>
                <w:rFonts w:hint="eastAsia"/>
                <w:color w:val="auto"/>
              </w:rPr>
              <w:t>3</w:t>
            </w:r>
            <w:r>
              <w:rPr>
                <w:color w:val="auto"/>
              </w:rPr>
              <w:t>~30</w:t>
            </w:r>
          </w:p>
        </w:tc>
        <w:tc>
          <w:tcPr>
            <w:tcW w:w="458" w:type="pct"/>
            <w:vAlign w:val="center"/>
          </w:tcPr>
          <w:p>
            <w:pPr>
              <w:pStyle w:val="343"/>
              <w:framePr w:hSpace="0" w:wrap="auto" w:vAnchor="margin" w:hAnchor="text" w:yAlign="inline"/>
              <w:rPr>
                <w:color w:val="auto"/>
              </w:rPr>
            </w:pPr>
            <w:r>
              <w:rPr>
                <w:rFonts w:hint="eastAsia"/>
                <w:color w:val="auto"/>
              </w:rPr>
              <w:t>80</w:t>
            </w:r>
          </w:p>
        </w:tc>
        <w:tc>
          <w:tcPr>
            <w:tcW w:w="2917" w:type="pct"/>
            <w:vAlign w:val="center"/>
          </w:tcPr>
          <w:p>
            <w:pPr>
              <w:pStyle w:val="343"/>
              <w:framePr w:hSpace="0" w:wrap="auto" w:vAnchor="margin" w:hAnchor="text" w:yAlign="inline"/>
              <w:rPr>
                <w:color w:val="auto"/>
              </w:rPr>
            </w:pPr>
            <w:r>
              <w:rPr>
                <w:rFonts w:hint="eastAsia"/>
                <w:color w:val="auto"/>
              </w:rPr>
              <w:t>在送风、回风及新风管上加装隔音罩、选用低噪声设备、基础减震、置于空调房内运行、房间隔声、定期检修维护</w:t>
            </w:r>
          </w:p>
        </w:tc>
        <w:tc>
          <w:tcPr>
            <w:tcW w:w="296" w:type="pct"/>
            <w:vAlign w:val="center"/>
          </w:tcPr>
          <w:p>
            <w:pPr>
              <w:pStyle w:val="343"/>
              <w:framePr w:hSpace="0" w:wrap="auto" w:vAnchor="margin" w:hAnchor="text" w:yAlign="inline"/>
              <w:rPr>
                <w:color w:val="auto"/>
              </w:rPr>
            </w:pPr>
            <w:r>
              <w:rPr>
                <w:rFonts w:hint="eastAsia"/>
                <w:color w:val="auto"/>
              </w:rPr>
              <w:t>昼间</w:t>
            </w:r>
          </w:p>
        </w:tc>
      </w:tr>
    </w:tbl>
    <w:p>
      <w:pPr>
        <w:pStyle w:val="342"/>
        <w:spacing w:before="164"/>
        <w:rPr>
          <w:color w:val="auto"/>
        </w:rPr>
      </w:pPr>
      <w:r>
        <w:rPr>
          <w:rFonts w:hint="eastAsia"/>
          <w:color w:val="auto"/>
        </w:rPr>
        <w:t>表</w:t>
      </w:r>
      <w:r>
        <w:rPr>
          <w:rFonts w:hint="eastAsia"/>
          <w:color w:val="auto"/>
          <w:lang w:val="en-US" w:eastAsia="zh-CN"/>
        </w:rPr>
        <w:t>5</w:t>
      </w:r>
      <w:r>
        <w:rPr>
          <w:color w:val="auto"/>
        </w:rPr>
        <w:t xml:space="preserve">.2-16  </w:t>
      </w:r>
      <w:r>
        <w:rPr>
          <w:rFonts w:hint="eastAsia"/>
          <w:color w:val="auto"/>
        </w:rPr>
        <w:t>噪声源强调查清单（室内声源）</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777"/>
        <w:gridCol w:w="745"/>
        <w:gridCol w:w="490"/>
        <w:gridCol w:w="916"/>
        <w:gridCol w:w="1249"/>
        <w:gridCol w:w="764"/>
        <w:gridCol w:w="764"/>
        <w:gridCol w:w="605"/>
        <w:gridCol w:w="1198"/>
        <w:gridCol w:w="1484"/>
        <w:gridCol w:w="636"/>
        <w:gridCol w:w="985"/>
        <w:gridCol w:w="2177"/>
        <w:gridCol w:w="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 w:type="pct"/>
            <w:vMerge w:val="restart"/>
            <w:shd w:val="clear" w:color="auto" w:fill="auto"/>
            <w:vAlign w:val="center"/>
          </w:tcPr>
          <w:p>
            <w:pPr>
              <w:pStyle w:val="343"/>
              <w:framePr w:hSpace="0" w:wrap="auto" w:vAnchor="margin" w:hAnchor="text" w:yAlign="inline"/>
              <w:rPr>
                <w:color w:val="auto"/>
              </w:rPr>
            </w:pPr>
            <w:r>
              <w:rPr>
                <w:rFonts w:hint="eastAsia"/>
                <w:color w:val="auto"/>
              </w:rPr>
              <w:t>编号</w:t>
            </w:r>
          </w:p>
        </w:tc>
        <w:tc>
          <w:tcPr>
            <w:tcW w:w="274" w:type="pct"/>
            <w:vMerge w:val="restart"/>
            <w:vAlign w:val="center"/>
          </w:tcPr>
          <w:p>
            <w:pPr>
              <w:pStyle w:val="343"/>
              <w:framePr w:hSpace="0" w:wrap="auto" w:vAnchor="margin" w:hAnchor="text" w:yAlign="inline"/>
              <w:rPr>
                <w:color w:val="auto"/>
              </w:rPr>
            </w:pPr>
            <w:r>
              <w:rPr>
                <w:rFonts w:hint="eastAsia"/>
                <w:color w:val="auto"/>
              </w:rPr>
              <w:t>建筑物名称</w:t>
            </w:r>
          </w:p>
        </w:tc>
        <w:tc>
          <w:tcPr>
            <w:tcW w:w="263" w:type="pct"/>
            <w:vMerge w:val="restart"/>
            <w:shd w:val="clear" w:color="auto" w:fill="auto"/>
            <w:vAlign w:val="center"/>
          </w:tcPr>
          <w:p>
            <w:pPr>
              <w:pStyle w:val="343"/>
              <w:framePr w:hSpace="0" w:wrap="auto" w:vAnchor="margin" w:hAnchor="text" w:yAlign="inline"/>
              <w:rPr>
                <w:color w:val="auto"/>
              </w:rPr>
            </w:pPr>
            <w:r>
              <w:rPr>
                <w:rFonts w:hint="eastAsia"/>
                <w:color w:val="auto"/>
              </w:rPr>
              <w:t>声源名称</w:t>
            </w:r>
          </w:p>
        </w:tc>
        <w:tc>
          <w:tcPr>
            <w:tcW w:w="173" w:type="pct"/>
            <w:vMerge w:val="restart"/>
            <w:vAlign w:val="center"/>
          </w:tcPr>
          <w:p>
            <w:pPr>
              <w:pStyle w:val="343"/>
              <w:framePr w:hSpace="0" w:wrap="auto" w:vAnchor="margin" w:hAnchor="text" w:yAlign="inline"/>
              <w:rPr>
                <w:color w:val="auto"/>
                <w:kern w:val="0"/>
              </w:rPr>
            </w:pPr>
            <w:r>
              <w:rPr>
                <w:rFonts w:hint="eastAsia"/>
                <w:color w:val="auto"/>
                <w:kern w:val="0"/>
              </w:rPr>
              <w:t>型号</w:t>
            </w:r>
          </w:p>
        </w:tc>
        <w:tc>
          <w:tcPr>
            <w:tcW w:w="323" w:type="pct"/>
            <w:vMerge w:val="restart"/>
            <w:shd w:val="clear" w:color="auto" w:fill="auto"/>
            <w:vAlign w:val="center"/>
          </w:tcPr>
          <w:p>
            <w:pPr>
              <w:pStyle w:val="343"/>
              <w:framePr w:hSpace="0" w:wrap="auto" w:vAnchor="margin" w:hAnchor="text" w:yAlign="inline"/>
              <w:rPr>
                <w:color w:val="auto"/>
              </w:rPr>
            </w:pPr>
            <w:r>
              <w:rPr>
                <w:rFonts w:hint="eastAsia"/>
                <w:color w:val="auto"/>
              </w:rPr>
              <w:t>声功率级/</w:t>
            </w:r>
            <w:r>
              <w:rPr>
                <w:color w:val="auto"/>
              </w:rPr>
              <w:t>dB(A)</w:t>
            </w:r>
          </w:p>
        </w:tc>
        <w:tc>
          <w:tcPr>
            <w:tcW w:w="440" w:type="pct"/>
            <w:vMerge w:val="restart"/>
            <w:vAlign w:val="center"/>
          </w:tcPr>
          <w:p>
            <w:pPr>
              <w:pStyle w:val="343"/>
              <w:framePr w:hSpace="0" w:wrap="auto" w:vAnchor="margin" w:hAnchor="text" w:yAlign="inline"/>
              <w:rPr>
                <w:color w:val="auto"/>
              </w:rPr>
            </w:pPr>
            <w:r>
              <w:rPr>
                <w:rFonts w:hint="eastAsia"/>
                <w:color w:val="auto"/>
              </w:rPr>
              <w:t>声源控制措施</w:t>
            </w:r>
          </w:p>
        </w:tc>
        <w:tc>
          <w:tcPr>
            <w:tcW w:w="751" w:type="pct"/>
            <w:gridSpan w:val="3"/>
            <w:vAlign w:val="center"/>
          </w:tcPr>
          <w:p>
            <w:pPr>
              <w:pStyle w:val="343"/>
              <w:framePr w:hSpace="0" w:wrap="auto" w:vAnchor="margin" w:hAnchor="text" w:yAlign="inline"/>
              <w:rPr>
                <w:color w:val="auto"/>
              </w:rPr>
            </w:pPr>
            <w:r>
              <w:rPr>
                <w:rFonts w:hint="eastAsia"/>
                <w:color w:val="auto"/>
              </w:rPr>
              <w:t>空间相对位置/</w:t>
            </w:r>
            <w:r>
              <w:rPr>
                <w:color w:val="auto"/>
              </w:rPr>
              <w:t>m</w:t>
            </w:r>
          </w:p>
        </w:tc>
        <w:tc>
          <w:tcPr>
            <w:tcW w:w="422" w:type="pct"/>
            <w:vMerge w:val="restart"/>
            <w:vAlign w:val="center"/>
          </w:tcPr>
          <w:p>
            <w:pPr>
              <w:pStyle w:val="343"/>
              <w:framePr w:hSpace="0" w:wrap="auto" w:vAnchor="margin" w:hAnchor="text" w:yAlign="inline"/>
              <w:rPr>
                <w:color w:val="auto"/>
              </w:rPr>
            </w:pPr>
            <w:r>
              <w:rPr>
                <w:rFonts w:hint="eastAsia"/>
                <w:color w:val="auto"/>
              </w:rPr>
              <w:t>距室内边界距离/</w:t>
            </w:r>
            <w:r>
              <w:rPr>
                <w:color w:val="auto"/>
              </w:rPr>
              <w:t>m</w:t>
            </w:r>
          </w:p>
        </w:tc>
        <w:tc>
          <w:tcPr>
            <w:tcW w:w="523" w:type="pct"/>
            <w:vMerge w:val="restart"/>
            <w:vAlign w:val="center"/>
          </w:tcPr>
          <w:p>
            <w:pPr>
              <w:pStyle w:val="343"/>
              <w:framePr w:hSpace="0" w:wrap="auto" w:vAnchor="margin" w:hAnchor="text" w:yAlign="inline"/>
              <w:rPr>
                <w:color w:val="auto"/>
              </w:rPr>
            </w:pPr>
            <w:r>
              <w:rPr>
                <w:rFonts w:hint="eastAsia"/>
                <w:color w:val="auto"/>
              </w:rPr>
              <w:t>室内边界声级/</w:t>
            </w:r>
            <w:r>
              <w:rPr>
                <w:color w:val="auto"/>
              </w:rPr>
              <w:t>dB(A)</w:t>
            </w:r>
          </w:p>
        </w:tc>
        <w:tc>
          <w:tcPr>
            <w:tcW w:w="224" w:type="pct"/>
            <w:vMerge w:val="restart"/>
            <w:vAlign w:val="center"/>
          </w:tcPr>
          <w:p>
            <w:pPr>
              <w:pStyle w:val="343"/>
              <w:framePr w:hSpace="0" w:wrap="auto" w:vAnchor="margin" w:hAnchor="text" w:yAlign="inline"/>
              <w:rPr>
                <w:color w:val="auto"/>
              </w:rPr>
            </w:pPr>
            <w:r>
              <w:rPr>
                <w:rFonts w:hint="eastAsia"/>
                <w:color w:val="auto"/>
              </w:rPr>
              <w:t>运行时段</w:t>
            </w:r>
          </w:p>
        </w:tc>
        <w:tc>
          <w:tcPr>
            <w:tcW w:w="347" w:type="pct"/>
            <w:vMerge w:val="restart"/>
            <w:shd w:val="clear" w:color="auto" w:fill="auto"/>
            <w:vAlign w:val="center"/>
          </w:tcPr>
          <w:p>
            <w:pPr>
              <w:pStyle w:val="343"/>
              <w:framePr w:hSpace="0" w:wrap="auto" w:vAnchor="margin" w:hAnchor="text" w:yAlign="inline"/>
              <w:rPr>
                <w:color w:val="auto"/>
              </w:rPr>
            </w:pPr>
            <w:r>
              <w:rPr>
                <w:rFonts w:hint="eastAsia"/>
                <w:color w:val="auto"/>
              </w:rPr>
              <w:t>建筑物插入损失/</w:t>
            </w:r>
            <w:r>
              <w:rPr>
                <w:color w:val="auto"/>
              </w:rPr>
              <w:t>dB(A)</w:t>
            </w:r>
          </w:p>
        </w:tc>
        <w:tc>
          <w:tcPr>
            <w:tcW w:w="1115" w:type="pct"/>
            <w:gridSpan w:val="2"/>
            <w:shd w:val="clear" w:color="auto" w:fill="auto"/>
            <w:vAlign w:val="center"/>
          </w:tcPr>
          <w:p>
            <w:pPr>
              <w:pStyle w:val="343"/>
              <w:framePr w:hSpace="0" w:wrap="auto" w:vAnchor="margin" w:hAnchor="text" w:yAlign="inline"/>
              <w:rPr>
                <w:color w:val="auto"/>
              </w:rPr>
            </w:pPr>
            <w:r>
              <w:rPr>
                <w:rFonts w:hint="eastAsia"/>
                <w:color w:val="auto"/>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 w:type="pct"/>
            <w:vMerge w:val="continue"/>
            <w:shd w:val="clear" w:color="auto" w:fill="auto"/>
            <w:vAlign w:val="center"/>
          </w:tcPr>
          <w:p>
            <w:pPr>
              <w:pStyle w:val="343"/>
              <w:framePr w:hSpace="0" w:wrap="auto" w:vAnchor="margin" w:hAnchor="text" w:yAlign="inline"/>
              <w:rPr>
                <w:color w:val="auto"/>
              </w:rPr>
            </w:pPr>
          </w:p>
        </w:tc>
        <w:tc>
          <w:tcPr>
            <w:tcW w:w="274" w:type="pct"/>
            <w:vMerge w:val="continue"/>
            <w:vAlign w:val="center"/>
          </w:tcPr>
          <w:p>
            <w:pPr>
              <w:pStyle w:val="343"/>
              <w:framePr w:hSpace="0" w:wrap="auto" w:vAnchor="margin" w:hAnchor="text" w:yAlign="inline"/>
              <w:rPr>
                <w:color w:val="auto"/>
              </w:rPr>
            </w:pPr>
          </w:p>
        </w:tc>
        <w:tc>
          <w:tcPr>
            <w:tcW w:w="263" w:type="pct"/>
            <w:vMerge w:val="continue"/>
            <w:shd w:val="clear" w:color="auto" w:fill="auto"/>
            <w:vAlign w:val="center"/>
          </w:tcPr>
          <w:p>
            <w:pPr>
              <w:pStyle w:val="343"/>
              <w:framePr w:hSpace="0" w:wrap="auto" w:vAnchor="margin" w:hAnchor="text" w:yAlign="inline"/>
              <w:rPr>
                <w:color w:val="auto"/>
              </w:rPr>
            </w:pPr>
          </w:p>
        </w:tc>
        <w:tc>
          <w:tcPr>
            <w:tcW w:w="173" w:type="pct"/>
            <w:vMerge w:val="continue"/>
            <w:vAlign w:val="center"/>
          </w:tcPr>
          <w:p>
            <w:pPr>
              <w:pStyle w:val="343"/>
              <w:framePr w:hSpace="0" w:wrap="auto" w:vAnchor="margin" w:hAnchor="text" w:yAlign="inline"/>
              <w:rPr>
                <w:color w:val="auto"/>
                <w:kern w:val="0"/>
              </w:rPr>
            </w:pPr>
          </w:p>
        </w:tc>
        <w:tc>
          <w:tcPr>
            <w:tcW w:w="323" w:type="pct"/>
            <w:vMerge w:val="continue"/>
            <w:shd w:val="clear" w:color="auto" w:fill="auto"/>
            <w:vAlign w:val="center"/>
          </w:tcPr>
          <w:p>
            <w:pPr>
              <w:pStyle w:val="343"/>
              <w:framePr w:hSpace="0" w:wrap="auto" w:vAnchor="margin" w:hAnchor="text" w:yAlign="inline"/>
              <w:rPr>
                <w:color w:val="auto"/>
                <w:kern w:val="0"/>
              </w:rPr>
            </w:pPr>
          </w:p>
        </w:tc>
        <w:tc>
          <w:tcPr>
            <w:tcW w:w="440" w:type="pct"/>
            <w:vMerge w:val="continue"/>
            <w:vAlign w:val="center"/>
          </w:tcPr>
          <w:p>
            <w:pPr>
              <w:pStyle w:val="343"/>
              <w:framePr w:hSpace="0" w:wrap="auto" w:vAnchor="margin" w:hAnchor="text" w:yAlign="inline"/>
              <w:rPr>
                <w:color w:val="auto"/>
                <w:kern w:val="0"/>
              </w:rPr>
            </w:pPr>
          </w:p>
        </w:tc>
        <w:tc>
          <w:tcPr>
            <w:tcW w:w="269" w:type="pct"/>
            <w:vAlign w:val="center"/>
          </w:tcPr>
          <w:p>
            <w:pPr>
              <w:pStyle w:val="343"/>
              <w:framePr w:hSpace="0" w:wrap="auto" w:vAnchor="margin" w:hAnchor="text" w:yAlign="inline"/>
              <w:rPr>
                <w:color w:val="auto"/>
                <w:kern w:val="0"/>
              </w:rPr>
            </w:pPr>
            <w:r>
              <w:rPr>
                <w:rFonts w:hint="eastAsia"/>
                <w:color w:val="auto"/>
                <w:kern w:val="0"/>
              </w:rPr>
              <w:t>x</w:t>
            </w:r>
          </w:p>
        </w:tc>
        <w:tc>
          <w:tcPr>
            <w:tcW w:w="269" w:type="pct"/>
            <w:vAlign w:val="center"/>
          </w:tcPr>
          <w:p>
            <w:pPr>
              <w:pStyle w:val="343"/>
              <w:framePr w:hSpace="0" w:wrap="auto" w:vAnchor="margin" w:hAnchor="text" w:yAlign="inline"/>
              <w:rPr>
                <w:color w:val="auto"/>
                <w:kern w:val="0"/>
              </w:rPr>
            </w:pPr>
            <w:r>
              <w:rPr>
                <w:rFonts w:hint="eastAsia"/>
                <w:color w:val="auto"/>
                <w:kern w:val="0"/>
              </w:rPr>
              <w:t>y</w:t>
            </w:r>
          </w:p>
        </w:tc>
        <w:tc>
          <w:tcPr>
            <w:tcW w:w="212" w:type="pct"/>
            <w:vAlign w:val="center"/>
          </w:tcPr>
          <w:p>
            <w:pPr>
              <w:pStyle w:val="343"/>
              <w:framePr w:hSpace="0" w:wrap="auto" w:vAnchor="margin" w:hAnchor="text" w:yAlign="inline"/>
              <w:rPr>
                <w:color w:val="auto"/>
                <w:kern w:val="0"/>
              </w:rPr>
            </w:pPr>
            <w:r>
              <w:rPr>
                <w:color w:val="auto"/>
                <w:kern w:val="0"/>
              </w:rPr>
              <w:t>Z</w:t>
            </w:r>
          </w:p>
        </w:tc>
        <w:tc>
          <w:tcPr>
            <w:tcW w:w="422" w:type="pct"/>
            <w:vMerge w:val="continue"/>
            <w:vAlign w:val="center"/>
          </w:tcPr>
          <w:p>
            <w:pPr>
              <w:pStyle w:val="343"/>
              <w:framePr w:hSpace="0" w:wrap="auto" w:vAnchor="margin" w:hAnchor="text" w:yAlign="inline"/>
              <w:rPr>
                <w:color w:val="auto"/>
              </w:rPr>
            </w:pPr>
          </w:p>
        </w:tc>
        <w:tc>
          <w:tcPr>
            <w:tcW w:w="523" w:type="pct"/>
            <w:vMerge w:val="continue"/>
            <w:vAlign w:val="center"/>
          </w:tcPr>
          <w:p>
            <w:pPr>
              <w:pStyle w:val="343"/>
              <w:framePr w:hSpace="0" w:wrap="auto" w:vAnchor="margin" w:hAnchor="text" w:yAlign="inline"/>
              <w:rPr>
                <w:color w:val="auto"/>
              </w:rPr>
            </w:pPr>
          </w:p>
        </w:tc>
        <w:tc>
          <w:tcPr>
            <w:tcW w:w="224" w:type="pct"/>
            <w:vMerge w:val="continue"/>
            <w:vAlign w:val="center"/>
          </w:tcPr>
          <w:p>
            <w:pPr>
              <w:pStyle w:val="343"/>
              <w:framePr w:hSpace="0" w:wrap="auto" w:vAnchor="margin" w:hAnchor="text" w:yAlign="inline"/>
              <w:rPr>
                <w:color w:val="auto"/>
              </w:rPr>
            </w:pPr>
          </w:p>
        </w:tc>
        <w:tc>
          <w:tcPr>
            <w:tcW w:w="347" w:type="pct"/>
            <w:vMerge w:val="continue"/>
            <w:shd w:val="clear" w:color="auto" w:fill="auto"/>
            <w:vAlign w:val="center"/>
          </w:tcPr>
          <w:p>
            <w:pPr>
              <w:pStyle w:val="343"/>
              <w:framePr w:hSpace="0" w:wrap="auto" w:vAnchor="margin" w:hAnchor="text" w:yAlign="inline"/>
              <w:rPr>
                <w:color w:val="auto"/>
              </w:rPr>
            </w:pPr>
          </w:p>
        </w:tc>
        <w:tc>
          <w:tcPr>
            <w:tcW w:w="767" w:type="pct"/>
            <w:shd w:val="clear" w:color="auto" w:fill="auto"/>
            <w:vAlign w:val="center"/>
          </w:tcPr>
          <w:p>
            <w:pPr>
              <w:pStyle w:val="343"/>
              <w:framePr w:hSpace="0" w:wrap="auto" w:vAnchor="margin" w:hAnchor="text" w:yAlign="inline"/>
              <w:rPr>
                <w:color w:val="auto"/>
              </w:rPr>
            </w:pPr>
            <w:r>
              <w:rPr>
                <w:rFonts w:hint="eastAsia"/>
                <w:color w:val="auto"/>
              </w:rPr>
              <w:t>声压级/</w:t>
            </w:r>
            <w:r>
              <w:rPr>
                <w:color w:val="auto"/>
              </w:rPr>
              <w:t>dB(A)</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 w:type="pct"/>
            <w:shd w:val="clear" w:color="auto" w:fill="auto"/>
            <w:vAlign w:val="center"/>
          </w:tcPr>
          <w:p>
            <w:pPr>
              <w:pStyle w:val="343"/>
              <w:framePr w:hSpace="0" w:wrap="auto" w:vAnchor="margin" w:hAnchor="text" w:yAlign="inline"/>
              <w:rPr>
                <w:color w:val="auto"/>
              </w:rPr>
            </w:pPr>
            <w:r>
              <w:rPr>
                <w:rFonts w:hint="eastAsia"/>
                <w:color w:val="auto"/>
              </w:rPr>
              <w:t>1</w:t>
            </w:r>
          </w:p>
        </w:tc>
        <w:tc>
          <w:tcPr>
            <w:tcW w:w="274" w:type="pct"/>
            <w:vAlign w:val="center"/>
          </w:tcPr>
          <w:p>
            <w:pPr>
              <w:pStyle w:val="343"/>
              <w:framePr w:hSpace="0" w:wrap="auto" w:vAnchor="margin" w:hAnchor="text" w:yAlign="inline"/>
              <w:rPr>
                <w:color w:val="auto"/>
              </w:rPr>
            </w:pPr>
            <w:r>
              <w:rPr>
                <w:rFonts w:hint="eastAsia"/>
                <w:color w:val="auto"/>
              </w:rPr>
              <w:t>实验楼</w:t>
            </w:r>
          </w:p>
        </w:tc>
        <w:tc>
          <w:tcPr>
            <w:tcW w:w="263" w:type="pct"/>
            <w:shd w:val="clear" w:color="auto" w:fill="auto"/>
            <w:vAlign w:val="center"/>
          </w:tcPr>
          <w:p>
            <w:pPr>
              <w:pStyle w:val="343"/>
              <w:framePr w:hSpace="0" w:wrap="auto" w:vAnchor="margin" w:hAnchor="text" w:yAlign="inline"/>
              <w:rPr>
                <w:color w:val="auto"/>
              </w:rPr>
            </w:pPr>
            <w:r>
              <w:rPr>
                <w:rFonts w:hint="eastAsia"/>
                <w:color w:val="auto"/>
              </w:rPr>
              <w:t>实验室设备</w:t>
            </w:r>
          </w:p>
        </w:tc>
        <w:tc>
          <w:tcPr>
            <w:tcW w:w="173" w:type="pct"/>
            <w:vAlign w:val="center"/>
          </w:tcPr>
          <w:p>
            <w:pPr>
              <w:pStyle w:val="343"/>
              <w:framePr w:hSpace="0" w:wrap="auto" w:vAnchor="margin" w:hAnchor="text" w:yAlign="inline"/>
              <w:rPr>
                <w:color w:val="auto"/>
              </w:rPr>
            </w:pPr>
            <w:r>
              <w:rPr>
                <w:rFonts w:hint="eastAsia"/>
                <w:color w:val="auto"/>
              </w:rPr>
              <w:t>/</w:t>
            </w:r>
          </w:p>
        </w:tc>
        <w:tc>
          <w:tcPr>
            <w:tcW w:w="323" w:type="pct"/>
            <w:shd w:val="clear" w:color="auto" w:fill="auto"/>
            <w:vAlign w:val="center"/>
          </w:tcPr>
          <w:p>
            <w:pPr>
              <w:pStyle w:val="343"/>
              <w:framePr w:hSpace="0" w:wrap="auto" w:vAnchor="margin" w:hAnchor="text" w:yAlign="inline"/>
              <w:rPr>
                <w:color w:val="auto"/>
              </w:rPr>
            </w:pPr>
            <w:r>
              <w:rPr>
                <w:color w:val="auto"/>
              </w:rPr>
              <w:t>70</w:t>
            </w:r>
          </w:p>
        </w:tc>
        <w:tc>
          <w:tcPr>
            <w:tcW w:w="440" w:type="pct"/>
            <w:vAlign w:val="center"/>
          </w:tcPr>
          <w:p>
            <w:pPr>
              <w:pStyle w:val="343"/>
              <w:framePr w:hSpace="0" w:wrap="auto" w:vAnchor="margin" w:hAnchor="text" w:yAlign="inline"/>
              <w:rPr>
                <w:color w:val="auto"/>
              </w:rPr>
            </w:pPr>
            <w:r>
              <w:rPr>
                <w:rFonts w:hint="eastAsia"/>
                <w:color w:val="auto"/>
              </w:rPr>
              <w:t>选用低噪声设备、大型实验仪器进行基础减震、置于各实验室房间内使用、房间隔声、定期检修维护</w:t>
            </w:r>
          </w:p>
        </w:tc>
        <w:tc>
          <w:tcPr>
            <w:tcW w:w="269" w:type="pct"/>
            <w:vAlign w:val="center"/>
          </w:tcPr>
          <w:p>
            <w:pPr>
              <w:pStyle w:val="343"/>
              <w:framePr w:hSpace="0" w:wrap="auto" w:vAnchor="margin" w:hAnchor="text" w:yAlign="inline"/>
              <w:rPr>
                <w:color w:val="auto"/>
              </w:rPr>
            </w:pPr>
            <w:r>
              <w:rPr>
                <w:rFonts w:hint="eastAsia"/>
                <w:color w:val="auto"/>
              </w:rPr>
              <w:t>2</w:t>
            </w:r>
            <w:r>
              <w:rPr>
                <w:color w:val="auto"/>
              </w:rPr>
              <w:t>8~124</w:t>
            </w:r>
          </w:p>
        </w:tc>
        <w:tc>
          <w:tcPr>
            <w:tcW w:w="269" w:type="pct"/>
            <w:vAlign w:val="center"/>
          </w:tcPr>
          <w:p>
            <w:pPr>
              <w:pStyle w:val="343"/>
              <w:framePr w:hSpace="0" w:wrap="auto" w:vAnchor="margin" w:hAnchor="text" w:yAlign="inline"/>
              <w:rPr>
                <w:color w:val="auto"/>
              </w:rPr>
            </w:pPr>
            <w:r>
              <w:rPr>
                <w:rFonts w:hint="eastAsia"/>
                <w:color w:val="auto"/>
              </w:rPr>
              <w:t>1</w:t>
            </w:r>
            <w:r>
              <w:rPr>
                <w:color w:val="auto"/>
              </w:rPr>
              <w:t>8~187</w:t>
            </w:r>
          </w:p>
        </w:tc>
        <w:tc>
          <w:tcPr>
            <w:tcW w:w="212" w:type="pct"/>
            <w:vAlign w:val="center"/>
          </w:tcPr>
          <w:p>
            <w:pPr>
              <w:pStyle w:val="343"/>
              <w:framePr w:hSpace="0" w:wrap="auto" w:vAnchor="margin" w:hAnchor="text" w:yAlign="inline"/>
              <w:rPr>
                <w:color w:val="auto"/>
              </w:rPr>
            </w:pPr>
            <w:r>
              <w:rPr>
                <w:rFonts w:hint="eastAsia"/>
                <w:color w:val="auto"/>
              </w:rPr>
              <w:t>3</w:t>
            </w:r>
            <w:r>
              <w:rPr>
                <w:color w:val="auto"/>
              </w:rPr>
              <w:t>~30</w:t>
            </w:r>
          </w:p>
        </w:tc>
        <w:tc>
          <w:tcPr>
            <w:tcW w:w="422" w:type="pct"/>
            <w:vAlign w:val="center"/>
          </w:tcPr>
          <w:p>
            <w:pPr>
              <w:pStyle w:val="343"/>
              <w:framePr w:hSpace="0" w:wrap="auto" w:vAnchor="margin" w:hAnchor="text" w:yAlign="inline"/>
              <w:rPr>
                <w:color w:val="auto"/>
              </w:rPr>
            </w:pPr>
            <w:r>
              <w:rPr>
                <w:rFonts w:hint="eastAsia"/>
                <w:color w:val="auto"/>
              </w:rPr>
              <w:t>2</w:t>
            </w:r>
            <w:r>
              <w:rPr>
                <w:color w:val="auto"/>
              </w:rPr>
              <w:t>~5</w:t>
            </w:r>
          </w:p>
        </w:tc>
        <w:tc>
          <w:tcPr>
            <w:tcW w:w="523" w:type="pct"/>
            <w:vAlign w:val="center"/>
          </w:tcPr>
          <w:p>
            <w:pPr>
              <w:pStyle w:val="343"/>
              <w:framePr w:hSpace="0" w:wrap="auto" w:vAnchor="margin" w:hAnchor="text" w:yAlign="inline"/>
              <w:rPr>
                <w:color w:val="auto"/>
              </w:rPr>
            </w:pPr>
            <w:r>
              <w:rPr>
                <w:color w:val="auto"/>
              </w:rPr>
              <w:t>70</w:t>
            </w:r>
          </w:p>
        </w:tc>
        <w:tc>
          <w:tcPr>
            <w:tcW w:w="224" w:type="pct"/>
            <w:vAlign w:val="center"/>
          </w:tcPr>
          <w:p>
            <w:pPr>
              <w:pStyle w:val="343"/>
              <w:framePr w:hSpace="0" w:wrap="auto" w:vAnchor="margin" w:hAnchor="text" w:yAlign="inline"/>
              <w:rPr>
                <w:color w:val="auto"/>
              </w:rPr>
            </w:pPr>
            <w:r>
              <w:rPr>
                <w:rFonts w:hint="eastAsia"/>
                <w:color w:val="auto"/>
              </w:rPr>
              <w:t>昼间</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2</w:t>
            </w:r>
            <w:r>
              <w:rPr>
                <w:color w:val="auto"/>
              </w:rPr>
              <w:t>0</w:t>
            </w:r>
          </w:p>
        </w:tc>
        <w:tc>
          <w:tcPr>
            <w:tcW w:w="767" w:type="pct"/>
            <w:shd w:val="clear" w:color="auto" w:fill="auto"/>
            <w:vAlign w:val="center"/>
          </w:tcPr>
          <w:p>
            <w:pPr>
              <w:pStyle w:val="343"/>
              <w:framePr w:hSpace="0" w:wrap="auto" w:vAnchor="margin" w:hAnchor="text" w:yAlign="inline"/>
              <w:rPr>
                <w:color w:val="auto"/>
              </w:rPr>
            </w:pPr>
            <w:r>
              <w:rPr>
                <w:rFonts w:hint="eastAsia"/>
                <w:color w:val="auto"/>
              </w:rPr>
              <w:t>5</w:t>
            </w:r>
            <w:r>
              <w:rPr>
                <w:color w:val="auto"/>
              </w:rPr>
              <w:t>0</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 w:type="pct"/>
            <w:shd w:val="clear" w:color="auto" w:fill="auto"/>
            <w:vAlign w:val="center"/>
          </w:tcPr>
          <w:p>
            <w:pPr>
              <w:pStyle w:val="343"/>
              <w:framePr w:hSpace="0" w:wrap="auto" w:vAnchor="margin" w:hAnchor="text" w:yAlign="inline"/>
              <w:rPr>
                <w:color w:val="auto"/>
              </w:rPr>
            </w:pPr>
            <w:r>
              <w:rPr>
                <w:rFonts w:hint="eastAsia"/>
                <w:color w:val="auto"/>
              </w:rPr>
              <w:t>2</w:t>
            </w:r>
          </w:p>
        </w:tc>
        <w:tc>
          <w:tcPr>
            <w:tcW w:w="274" w:type="pct"/>
            <w:vAlign w:val="center"/>
          </w:tcPr>
          <w:p>
            <w:pPr>
              <w:pStyle w:val="343"/>
              <w:framePr w:hSpace="0" w:wrap="auto" w:vAnchor="margin" w:hAnchor="text" w:yAlign="inline"/>
              <w:rPr>
                <w:color w:val="auto"/>
              </w:rPr>
            </w:pPr>
            <w:r>
              <w:rPr>
                <w:rFonts w:hint="eastAsia"/>
                <w:color w:val="auto"/>
              </w:rPr>
              <w:t>变电室</w:t>
            </w:r>
          </w:p>
        </w:tc>
        <w:tc>
          <w:tcPr>
            <w:tcW w:w="263" w:type="pct"/>
            <w:shd w:val="clear" w:color="auto" w:fill="auto"/>
            <w:vAlign w:val="center"/>
          </w:tcPr>
          <w:p>
            <w:pPr>
              <w:pStyle w:val="343"/>
              <w:framePr w:hSpace="0" w:wrap="auto" w:vAnchor="margin" w:hAnchor="text" w:yAlign="inline"/>
              <w:rPr>
                <w:color w:val="auto"/>
              </w:rPr>
            </w:pPr>
            <w:r>
              <w:rPr>
                <w:rFonts w:hint="eastAsia"/>
                <w:color w:val="auto"/>
              </w:rPr>
              <w:t>变压器</w:t>
            </w:r>
          </w:p>
        </w:tc>
        <w:tc>
          <w:tcPr>
            <w:tcW w:w="173" w:type="pct"/>
            <w:vAlign w:val="center"/>
          </w:tcPr>
          <w:p>
            <w:pPr>
              <w:pStyle w:val="343"/>
              <w:framePr w:hSpace="0" w:wrap="auto" w:vAnchor="margin" w:hAnchor="text" w:yAlign="inline"/>
              <w:rPr>
                <w:color w:val="auto"/>
              </w:rPr>
            </w:pPr>
            <w:r>
              <w:rPr>
                <w:rFonts w:hint="eastAsia"/>
                <w:color w:val="auto"/>
              </w:rPr>
              <w:t>/</w:t>
            </w:r>
          </w:p>
        </w:tc>
        <w:tc>
          <w:tcPr>
            <w:tcW w:w="323" w:type="pct"/>
            <w:shd w:val="clear" w:color="auto" w:fill="auto"/>
            <w:vAlign w:val="center"/>
          </w:tcPr>
          <w:p>
            <w:pPr>
              <w:pStyle w:val="343"/>
              <w:framePr w:hSpace="0" w:wrap="auto" w:vAnchor="margin" w:hAnchor="text" w:yAlign="inline"/>
              <w:rPr>
                <w:color w:val="auto"/>
              </w:rPr>
            </w:pPr>
            <w:r>
              <w:rPr>
                <w:rFonts w:hint="eastAsia"/>
                <w:color w:val="auto"/>
              </w:rPr>
              <w:t>75</w:t>
            </w:r>
          </w:p>
        </w:tc>
        <w:tc>
          <w:tcPr>
            <w:tcW w:w="440" w:type="pct"/>
            <w:vAlign w:val="center"/>
          </w:tcPr>
          <w:p>
            <w:pPr>
              <w:pStyle w:val="343"/>
              <w:framePr w:hSpace="0" w:wrap="auto" w:vAnchor="margin" w:hAnchor="text" w:yAlign="inline"/>
              <w:rPr>
                <w:color w:val="auto"/>
              </w:rPr>
            </w:pPr>
            <w:r>
              <w:rPr>
                <w:rFonts w:hint="eastAsia"/>
                <w:color w:val="auto"/>
              </w:rPr>
              <w:t>选用低噪声设备、基础减震、置于配电房内、房间隔声、定期检修维护</w:t>
            </w:r>
          </w:p>
        </w:tc>
        <w:tc>
          <w:tcPr>
            <w:tcW w:w="269" w:type="pct"/>
            <w:vAlign w:val="center"/>
          </w:tcPr>
          <w:p>
            <w:pPr>
              <w:pStyle w:val="343"/>
              <w:framePr w:hSpace="0" w:wrap="auto" w:vAnchor="margin" w:hAnchor="text" w:yAlign="inline"/>
              <w:rPr>
                <w:color w:val="auto"/>
              </w:rPr>
            </w:pPr>
            <w:r>
              <w:rPr>
                <w:rFonts w:hint="eastAsia"/>
                <w:color w:val="auto"/>
              </w:rPr>
              <w:t>1</w:t>
            </w:r>
            <w:r>
              <w:rPr>
                <w:color w:val="auto"/>
              </w:rPr>
              <w:t>14</w:t>
            </w:r>
          </w:p>
        </w:tc>
        <w:tc>
          <w:tcPr>
            <w:tcW w:w="269" w:type="pct"/>
            <w:vAlign w:val="center"/>
          </w:tcPr>
          <w:p>
            <w:pPr>
              <w:pStyle w:val="343"/>
              <w:framePr w:hSpace="0" w:wrap="auto" w:vAnchor="margin" w:hAnchor="text" w:yAlign="inline"/>
              <w:rPr>
                <w:color w:val="auto"/>
              </w:rPr>
            </w:pPr>
            <w:r>
              <w:rPr>
                <w:rFonts w:hint="eastAsia"/>
                <w:color w:val="auto"/>
              </w:rPr>
              <w:t>8</w:t>
            </w:r>
            <w:r>
              <w:rPr>
                <w:color w:val="auto"/>
              </w:rPr>
              <w:t>9</w:t>
            </w:r>
          </w:p>
        </w:tc>
        <w:tc>
          <w:tcPr>
            <w:tcW w:w="212" w:type="pct"/>
            <w:vAlign w:val="center"/>
          </w:tcPr>
          <w:p>
            <w:pPr>
              <w:pStyle w:val="343"/>
              <w:framePr w:hSpace="0" w:wrap="auto" w:vAnchor="margin" w:hAnchor="text" w:yAlign="inline"/>
              <w:rPr>
                <w:color w:val="auto"/>
              </w:rPr>
            </w:pPr>
            <w:r>
              <w:rPr>
                <w:rFonts w:hint="eastAsia"/>
                <w:color w:val="auto"/>
              </w:rPr>
              <w:t>3</w:t>
            </w:r>
          </w:p>
        </w:tc>
        <w:tc>
          <w:tcPr>
            <w:tcW w:w="422" w:type="pct"/>
            <w:vAlign w:val="center"/>
          </w:tcPr>
          <w:p>
            <w:pPr>
              <w:pStyle w:val="343"/>
              <w:framePr w:hSpace="0" w:wrap="auto" w:vAnchor="margin" w:hAnchor="text" w:yAlign="inline"/>
              <w:rPr>
                <w:color w:val="auto"/>
              </w:rPr>
            </w:pPr>
            <w:r>
              <w:rPr>
                <w:rFonts w:hint="eastAsia"/>
                <w:color w:val="auto"/>
              </w:rPr>
              <w:t>2</w:t>
            </w:r>
            <w:r>
              <w:rPr>
                <w:color w:val="auto"/>
              </w:rPr>
              <w:t>~5</w:t>
            </w:r>
          </w:p>
        </w:tc>
        <w:tc>
          <w:tcPr>
            <w:tcW w:w="523" w:type="pct"/>
            <w:vAlign w:val="center"/>
          </w:tcPr>
          <w:p>
            <w:pPr>
              <w:pStyle w:val="343"/>
              <w:framePr w:hSpace="0" w:wrap="auto" w:vAnchor="margin" w:hAnchor="text" w:yAlign="inline"/>
              <w:rPr>
                <w:color w:val="auto"/>
              </w:rPr>
            </w:pPr>
            <w:r>
              <w:rPr>
                <w:rFonts w:hint="eastAsia"/>
                <w:color w:val="auto"/>
              </w:rPr>
              <w:t>75</w:t>
            </w:r>
          </w:p>
        </w:tc>
        <w:tc>
          <w:tcPr>
            <w:tcW w:w="224" w:type="pct"/>
            <w:vAlign w:val="center"/>
          </w:tcPr>
          <w:p>
            <w:pPr>
              <w:pStyle w:val="343"/>
              <w:framePr w:hSpace="0" w:wrap="auto" w:vAnchor="margin" w:hAnchor="text" w:yAlign="inline"/>
              <w:rPr>
                <w:color w:val="auto"/>
              </w:rPr>
            </w:pPr>
            <w:r>
              <w:rPr>
                <w:rFonts w:hint="eastAsia"/>
                <w:color w:val="auto"/>
              </w:rPr>
              <w:t>昼间</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2</w:t>
            </w:r>
            <w:r>
              <w:rPr>
                <w:color w:val="auto"/>
              </w:rPr>
              <w:t>0</w:t>
            </w:r>
          </w:p>
        </w:tc>
        <w:tc>
          <w:tcPr>
            <w:tcW w:w="767" w:type="pct"/>
            <w:shd w:val="clear" w:color="auto" w:fill="auto"/>
            <w:vAlign w:val="center"/>
          </w:tcPr>
          <w:p>
            <w:pPr>
              <w:pStyle w:val="343"/>
              <w:framePr w:hSpace="0" w:wrap="auto" w:vAnchor="margin" w:hAnchor="text" w:yAlign="inline"/>
              <w:rPr>
                <w:color w:val="auto"/>
              </w:rPr>
            </w:pPr>
            <w:r>
              <w:rPr>
                <w:rFonts w:hint="eastAsia"/>
                <w:color w:val="auto"/>
              </w:rPr>
              <w:t>5</w:t>
            </w:r>
            <w:r>
              <w:rPr>
                <w:color w:val="auto"/>
              </w:rPr>
              <w:t>5</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 w:type="pct"/>
            <w:shd w:val="clear" w:color="auto" w:fill="auto"/>
            <w:vAlign w:val="center"/>
          </w:tcPr>
          <w:p>
            <w:pPr>
              <w:pStyle w:val="343"/>
              <w:framePr w:hSpace="0" w:wrap="auto" w:vAnchor="margin" w:hAnchor="text" w:yAlign="inline"/>
              <w:rPr>
                <w:color w:val="auto"/>
              </w:rPr>
            </w:pPr>
            <w:r>
              <w:rPr>
                <w:rFonts w:hint="eastAsia"/>
                <w:color w:val="auto"/>
              </w:rPr>
              <w:t>3</w:t>
            </w:r>
          </w:p>
        </w:tc>
        <w:tc>
          <w:tcPr>
            <w:tcW w:w="274" w:type="pct"/>
            <w:vAlign w:val="center"/>
          </w:tcPr>
          <w:p>
            <w:pPr>
              <w:pStyle w:val="343"/>
              <w:framePr w:hSpace="0" w:wrap="auto" w:vAnchor="margin" w:hAnchor="text" w:yAlign="inline"/>
              <w:rPr>
                <w:color w:val="auto"/>
              </w:rPr>
            </w:pPr>
            <w:r>
              <w:rPr>
                <w:rFonts w:hint="eastAsia"/>
                <w:color w:val="auto"/>
              </w:rPr>
              <w:t>发电机房</w:t>
            </w:r>
          </w:p>
        </w:tc>
        <w:tc>
          <w:tcPr>
            <w:tcW w:w="263" w:type="pct"/>
            <w:shd w:val="clear" w:color="auto" w:fill="auto"/>
            <w:vAlign w:val="center"/>
          </w:tcPr>
          <w:p>
            <w:pPr>
              <w:pStyle w:val="343"/>
              <w:framePr w:hSpace="0" w:wrap="auto" w:vAnchor="margin" w:hAnchor="text" w:yAlign="inline"/>
              <w:rPr>
                <w:color w:val="auto"/>
              </w:rPr>
            </w:pPr>
            <w:r>
              <w:rPr>
                <w:rFonts w:hint="eastAsia"/>
                <w:color w:val="auto"/>
              </w:rPr>
              <w:t>发电机</w:t>
            </w:r>
          </w:p>
        </w:tc>
        <w:tc>
          <w:tcPr>
            <w:tcW w:w="173" w:type="pct"/>
            <w:vAlign w:val="center"/>
          </w:tcPr>
          <w:p>
            <w:pPr>
              <w:pStyle w:val="343"/>
              <w:framePr w:hSpace="0" w:wrap="auto" w:vAnchor="margin" w:hAnchor="text" w:yAlign="inline"/>
              <w:rPr>
                <w:color w:val="auto"/>
              </w:rPr>
            </w:pPr>
            <w:r>
              <w:rPr>
                <w:rFonts w:hint="eastAsia"/>
                <w:color w:val="auto"/>
              </w:rPr>
              <w:t>/</w:t>
            </w:r>
          </w:p>
        </w:tc>
        <w:tc>
          <w:tcPr>
            <w:tcW w:w="323" w:type="pct"/>
            <w:shd w:val="clear" w:color="auto" w:fill="auto"/>
            <w:vAlign w:val="center"/>
          </w:tcPr>
          <w:p>
            <w:pPr>
              <w:pStyle w:val="343"/>
              <w:framePr w:hSpace="0" w:wrap="auto" w:vAnchor="margin" w:hAnchor="text" w:yAlign="inline"/>
              <w:rPr>
                <w:color w:val="auto"/>
              </w:rPr>
            </w:pPr>
            <w:r>
              <w:rPr>
                <w:rFonts w:hint="eastAsia"/>
                <w:color w:val="auto"/>
              </w:rPr>
              <w:t>1</w:t>
            </w:r>
            <w:r>
              <w:rPr>
                <w:color w:val="auto"/>
              </w:rPr>
              <w:t>20</w:t>
            </w:r>
          </w:p>
        </w:tc>
        <w:tc>
          <w:tcPr>
            <w:tcW w:w="440" w:type="pct"/>
            <w:vAlign w:val="center"/>
          </w:tcPr>
          <w:p>
            <w:pPr>
              <w:pStyle w:val="343"/>
              <w:framePr w:hSpace="0" w:wrap="auto" w:vAnchor="margin" w:hAnchor="text" w:yAlign="inline"/>
              <w:rPr>
                <w:color w:val="auto"/>
              </w:rPr>
            </w:pPr>
            <w:r>
              <w:rPr>
                <w:rFonts w:hint="eastAsia"/>
                <w:color w:val="auto"/>
              </w:rPr>
              <w:t>选用低噪声设备、基础减震、置于发电机房内、房间隔声、定期检修维护</w:t>
            </w:r>
          </w:p>
        </w:tc>
        <w:tc>
          <w:tcPr>
            <w:tcW w:w="269" w:type="pct"/>
            <w:vAlign w:val="center"/>
          </w:tcPr>
          <w:p>
            <w:pPr>
              <w:pStyle w:val="343"/>
              <w:framePr w:hSpace="0" w:wrap="auto" w:vAnchor="margin" w:hAnchor="text" w:yAlign="inline"/>
              <w:rPr>
                <w:color w:val="auto"/>
              </w:rPr>
            </w:pPr>
            <w:r>
              <w:rPr>
                <w:rFonts w:hint="eastAsia"/>
                <w:color w:val="auto"/>
              </w:rPr>
              <w:t>1</w:t>
            </w:r>
            <w:r>
              <w:rPr>
                <w:color w:val="auto"/>
              </w:rPr>
              <w:t>15</w:t>
            </w:r>
          </w:p>
        </w:tc>
        <w:tc>
          <w:tcPr>
            <w:tcW w:w="269" w:type="pct"/>
            <w:vAlign w:val="center"/>
          </w:tcPr>
          <w:p>
            <w:pPr>
              <w:pStyle w:val="343"/>
              <w:framePr w:hSpace="0" w:wrap="auto" w:vAnchor="margin" w:hAnchor="text" w:yAlign="inline"/>
              <w:rPr>
                <w:color w:val="auto"/>
              </w:rPr>
            </w:pPr>
            <w:r>
              <w:rPr>
                <w:rFonts w:hint="eastAsia"/>
                <w:color w:val="auto"/>
              </w:rPr>
              <w:t>3</w:t>
            </w:r>
            <w:r>
              <w:rPr>
                <w:color w:val="auto"/>
              </w:rPr>
              <w:t>6.4</w:t>
            </w:r>
          </w:p>
        </w:tc>
        <w:tc>
          <w:tcPr>
            <w:tcW w:w="212" w:type="pct"/>
            <w:vAlign w:val="center"/>
          </w:tcPr>
          <w:p>
            <w:pPr>
              <w:pStyle w:val="343"/>
              <w:framePr w:hSpace="0" w:wrap="auto" w:vAnchor="margin" w:hAnchor="text" w:yAlign="inline"/>
              <w:rPr>
                <w:color w:val="auto"/>
              </w:rPr>
            </w:pPr>
            <w:r>
              <w:rPr>
                <w:rFonts w:hint="eastAsia"/>
                <w:color w:val="auto"/>
              </w:rPr>
              <w:t>-</w:t>
            </w:r>
            <w:r>
              <w:rPr>
                <w:color w:val="auto"/>
              </w:rPr>
              <w:t>5</w:t>
            </w:r>
          </w:p>
        </w:tc>
        <w:tc>
          <w:tcPr>
            <w:tcW w:w="422" w:type="pct"/>
            <w:vAlign w:val="center"/>
          </w:tcPr>
          <w:p>
            <w:pPr>
              <w:pStyle w:val="343"/>
              <w:framePr w:hSpace="0" w:wrap="auto" w:vAnchor="margin" w:hAnchor="text" w:yAlign="inline"/>
              <w:rPr>
                <w:color w:val="auto"/>
              </w:rPr>
            </w:pPr>
            <w:r>
              <w:rPr>
                <w:rFonts w:hint="eastAsia"/>
                <w:color w:val="auto"/>
              </w:rPr>
              <w:t>2</w:t>
            </w:r>
            <w:r>
              <w:rPr>
                <w:color w:val="auto"/>
              </w:rPr>
              <w:t>~5</w:t>
            </w:r>
          </w:p>
        </w:tc>
        <w:tc>
          <w:tcPr>
            <w:tcW w:w="523" w:type="pct"/>
            <w:vAlign w:val="center"/>
          </w:tcPr>
          <w:p>
            <w:pPr>
              <w:pStyle w:val="343"/>
              <w:framePr w:hSpace="0" w:wrap="auto" w:vAnchor="margin" w:hAnchor="text" w:yAlign="inline"/>
              <w:rPr>
                <w:color w:val="auto"/>
              </w:rPr>
            </w:pPr>
            <w:r>
              <w:rPr>
                <w:rFonts w:hint="eastAsia"/>
                <w:color w:val="auto"/>
              </w:rPr>
              <w:t>1</w:t>
            </w:r>
            <w:r>
              <w:rPr>
                <w:color w:val="auto"/>
              </w:rPr>
              <w:t>20</w:t>
            </w:r>
          </w:p>
        </w:tc>
        <w:tc>
          <w:tcPr>
            <w:tcW w:w="224" w:type="pct"/>
            <w:vAlign w:val="center"/>
          </w:tcPr>
          <w:p>
            <w:pPr>
              <w:pStyle w:val="343"/>
              <w:framePr w:hSpace="0" w:wrap="auto" w:vAnchor="margin" w:hAnchor="text" w:yAlign="inline"/>
              <w:rPr>
                <w:color w:val="auto"/>
              </w:rPr>
            </w:pPr>
            <w:r>
              <w:rPr>
                <w:rFonts w:hint="eastAsia"/>
                <w:color w:val="auto"/>
              </w:rPr>
              <w:t>昼间（偶发噪声）</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2</w:t>
            </w:r>
            <w:r>
              <w:rPr>
                <w:color w:val="auto"/>
              </w:rPr>
              <w:t>0</w:t>
            </w:r>
          </w:p>
        </w:tc>
        <w:tc>
          <w:tcPr>
            <w:tcW w:w="767" w:type="pct"/>
            <w:shd w:val="clear" w:color="auto" w:fill="auto"/>
            <w:vAlign w:val="center"/>
          </w:tcPr>
          <w:p>
            <w:pPr>
              <w:pStyle w:val="343"/>
              <w:framePr w:hSpace="0" w:wrap="auto" w:vAnchor="margin" w:hAnchor="text" w:yAlign="inline"/>
              <w:rPr>
                <w:color w:val="auto"/>
              </w:rPr>
            </w:pPr>
            <w:r>
              <w:rPr>
                <w:rFonts w:hint="eastAsia"/>
                <w:color w:val="auto"/>
              </w:rPr>
              <w:t>1</w:t>
            </w:r>
            <w:r>
              <w:rPr>
                <w:color w:val="auto"/>
              </w:rPr>
              <w:t>00</w:t>
            </w:r>
          </w:p>
        </w:tc>
        <w:tc>
          <w:tcPr>
            <w:tcW w:w="347" w:type="pct"/>
            <w:shd w:val="clear" w:color="auto" w:fill="auto"/>
            <w:vAlign w:val="center"/>
          </w:tcPr>
          <w:p>
            <w:pPr>
              <w:pStyle w:val="343"/>
              <w:framePr w:hSpace="0" w:wrap="auto" w:vAnchor="margin" w:hAnchor="text" w:yAlign="inline"/>
              <w:rPr>
                <w:color w:val="auto"/>
              </w:rPr>
            </w:pPr>
            <w:r>
              <w:rPr>
                <w:rFonts w:hint="eastAsia"/>
                <w:color w:val="auto"/>
              </w:rPr>
              <w:t>1m</w:t>
            </w:r>
          </w:p>
        </w:tc>
      </w:tr>
    </w:tbl>
    <w:p>
      <w:pPr>
        <w:pStyle w:val="20"/>
        <w:rPr>
          <w:color w:val="auto"/>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19"/>
        <w:pageBreakBefore w:val="0"/>
        <w:widowControl w:val="0"/>
        <w:kinsoku/>
        <w:wordWrap/>
        <w:overflowPunct/>
        <w:topLinePunct w:val="0"/>
        <w:autoSpaceDE/>
        <w:autoSpaceDN/>
        <w:bidi w:val="0"/>
        <w:adjustRightInd/>
        <w:snapToGrid w:val="0"/>
        <w:spacing w:after="0" w:line="240" w:lineRule="auto"/>
        <w:ind w:left="0" w:leftChars="0" w:right="678" w:firstLine="0" w:firstLineChars="0"/>
        <w:jc w:val="center"/>
        <w:textAlignment w:val="auto"/>
        <w:rPr>
          <w:b/>
          <w:color w:val="auto"/>
          <w:w w:val="100"/>
          <w:kern w:val="21"/>
          <w:sz w:val="21"/>
        </w:rPr>
      </w:pPr>
    </w:p>
    <w:p>
      <w:pPr>
        <w:pStyle w:val="19"/>
        <w:pageBreakBefore w:val="0"/>
        <w:widowControl w:val="0"/>
        <w:kinsoku/>
        <w:wordWrap/>
        <w:overflowPunct/>
        <w:topLinePunct w:val="0"/>
        <w:autoSpaceDE/>
        <w:autoSpaceDN/>
        <w:bidi w:val="0"/>
        <w:adjustRightInd/>
        <w:snapToGrid w:val="0"/>
        <w:spacing w:after="0" w:line="240" w:lineRule="auto"/>
        <w:ind w:left="0" w:leftChars="0" w:right="678" w:firstLine="0" w:firstLineChars="0"/>
        <w:jc w:val="center"/>
        <w:textAlignment w:val="auto"/>
        <w:rPr>
          <w:b/>
          <w:color w:val="auto"/>
          <w:w w:val="100"/>
          <w:kern w:val="21"/>
          <w:sz w:val="21"/>
        </w:rPr>
      </w:pPr>
      <w:r>
        <w:rPr>
          <w:b/>
          <w:color w:val="auto"/>
          <w:w w:val="100"/>
          <w:kern w:val="21"/>
          <w:sz w:val="21"/>
        </w:rPr>
        <w:t>表</w:t>
      </w:r>
      <w:r>
        <w:rPr>
          <w:rFonts w:hint="eastAsia"/>
          <w:b/>
          <w:color w:val="auto"/>
          <w:w w:val="100"/>
          <w:kern w:val="21"/>
          <w:sz w:val="21"/>
          <w:lang w:val="en-US" w:eastAsia="zh-CN"/>
        </w:rPr>
        <w:t xml:space="preserve">5.2-22  </w:t>
      </w:r>
      <w:r>
        <w:rPr>
          <w:b/>
          <w:color w:val="auto"/>
          <w:spacing w:val="7"/>
          <w:w w:val="100"/>
          <w:kern w:val="21"/>
          <w:sz w:val="21"/>
        </w:rPr>
        <w:t>项目</w:t>
      </w:r>
      <w:r>
        <w:rPr>
          <w:b/>
          <w:color w:val="auto"/>
          <w:spacing w:val="6"/>
          <w:w w:val="100"/>
          <w:kern w:val="21"/>
          <w:sz w:val="21"/>
        </w:rPr>
        <w:t>噪</w:t>
      </w:r>
      <w:r>
        <w:rPr>
          <w:b/>
          <w:color w:val="auto"/>
          <w:w w:val="100"/>
          <w:kern w:val="21"/>
          <w:sz w:val="21"/>
        </w:rPr>
        <w:t>声源源</w:t>
      </w:r>
      <w:r>
        <w:rPr>
          <w:b/>
          <w:color w:val="auto"/>
          <w:spacing w:val="6"/>
          <w:w w:val="100"/>
          <w:kern w:val="21"/>
          <w:sz w:val="21"/>
        </w:rPr>
        <w:t>强</w:t>
      </w:r>
      <w:r>
        <w:rPr>
          <w:b/>
          <w:color w:val="auto"/>
          <w:w w:val="100"/>
          <w:kern w:val="21"/>
          <w:sz w:val="21"/>
        </w:rPr>
        <w:t>一览表</w:t>
      </w:r>
    </w:p>
    <w:tbl>
      <w:tblPr>
        <w:tblStyle w:val="48"/>
        <w:tblW w:w="4998" w:type="pct"/>
        <w:tblInd w:w="0" w:type="dxa"/>
        <w:tblLayout w:type="autofit"/>
        <w:tblCellMar>
          <w:top w:w="0" w:type="dxa"/>
          <w:left w:w="0" w:type="dxa"/>
          <w:bottom w:w="0" w:type="dxa"/>
          <w:right w:w="0" w:type="dxa"/>
        </w:tblCellMar>
      </w:tblPr>
      <w:tblGrid>
        <w:gridCol w:w="1610"/>
        <w:gridCol w:w="1200"/>
        <w:gridCol w:w="1208"/>
        <w:gridCol w:w="2690"/>
        <w:gridCol w:w="1631"/>
      </w:tblGrid>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名称</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设备名称</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数量</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位置</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噪声声压级（dB(A)）</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生活</w:t>
            </w:r>
            <w:r>
              <w:rPr>
                <w:rFonts w:hint="eastAsia" w:ascii="Times New Roman" w:hAnsi="Times New Roman" w:eastAsia="宋体" w:cs="Times New Roman"/>
                <w:i w:val="0"/>
                <w:color w:val="auto"/>
                <w:kern w:val="0"/>
                <w:sz w:val="21"/>
                <w:szCs w:val="21"/>
                <w:highlight w:val="none"/>
                <w:u w:val="none"/>
                <w:lang w:val="en-US" w:eastAsia="zh-CN" w:bidi="ar"/>
              </w:rPr>
              <w:t>水</w:t>
            </w:r>
            <w:r>
              <w:rPr>
                <w:rFonts w:hint="default" w:ascii="Times New Roman" w:hAnsi="Times New Roman" w:eastAsia="宋体" w:cs="Times New Roman"/>
                <w:i w:val="0"/>
                <w:color w:val="auto"/>
                <w:kern w:val="0"/>
                <w:sz w:val="21"/>
                <w:szCs w:val="21"/>
                <w:highlight w:val="none"/>
                <w:u w:val="none"/>
                <w:lang w:val="en-US" w:eastAsia="zh-CN" w:bidi="ar"/>
              </w:rPr>
              <w:t>泵房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水泵</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12</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消防水泵</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水泵</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5台</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热水泵房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14</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新风机房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风机</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75</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排风机房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风机</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9</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75</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空调水泵房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水泵</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12</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80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变</w:t>
            </w:r>
            <w:r>
              <w:rPr>
                <w:rFonts w:hint="eastAsia" w:cs="Times New Roman"/>
                <w:i w:val="0"/>
                <w:color w:val="auto"/>
                <w:kern w:val="0"/>
                <w:sz w:val="21"/>
                <w:szCs w:val="21"/>
                <w:highlight w:val="none"/>
                <w:u w:val="none"/>
                <w:lang w:val="en-US" w:eastAsia="zh-CN" w:bidi="ar"/>
              </w:rPr>
              <w:t>配</w:t>
            </w:r>
            <w:r>
              <w:rPr>
                <w:rFonts w:hint="default" w:ascii="Times New Roman" w:hAnsi="Times New Roman" w:eastAsia="宋体" w:cs="Times New Roman"/>
                <w:i w:val="0"/>
                <w:color w:val="auto"/>
                <w:kern w:val="0"/>
                <w:sz w:val="21"/>
                <w:szCs w:val="21"/>
                <w:highlight w:val="none"/>
                <w:u w:val="none"/>
                <w:lang w:val="en-US" w:eastAsia="zh-CN" w:bidi="ar"/>
              </w:rPr>
              <w:t>电</w:t>
            </w:r>
            <w:r>
              <w:rPr>
                <w:rFonts w:hint="eastAsia" w:cs="Times New Roman"/>
                <w:i w:val="0"/>
                <w:color w:val="auto"/>
                <w:kern w:val="0"/>
                <w:sz w:val="21"/>
                <w:szCs w:val="21"/>
                <w:highlight w:val="none"/>
                <w:u w:val="none"/>
                <w:lang w:val="en-US" w:eastAsia="zh-CN" w:bidi="ar"/>
              </w:rPr>
              <w:t>所</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eastAsia" w:cs="Times New Roman"/>
                <w:i w:val="0"/>
                <w:color w:val="auto"/>
                <w:kern w:val="0"/>
                <w:sz w:val="21"/>
                <w:szCs w:val="21"/>
                <w:highlight w:val="none"/>
                <w:u w:val="none"/>
                <w:lang w:val="en-US" w:eastAsia="zh-CN" w:bidi="ar"/>
              </w:rPr>
              <w:t>变压器</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21</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w:t>
            </w:r>
            <w:r>
              <w:rPr>
                <w:rFonts w:hint="eastAsia" w:ascii="Times New Roman" w:hAnsi="Times New Roman" w:eastAsia="宋体" w:cs="Times New Roman"/>
                <w:i w:val="0"/>
                <w:color w:val="auto"/>
                <w:kern w:val="0"/>
                <w:sz w:val="21"/>
                <w:szCs w:val="21"/>
                <w:highlight w:val="none"/>
                <w:u w:val="none"/>
                <w:lang w:val="en-US" w:eastAsia="zh-CN" w:bidi="ar"/>
              </w:rPr>
              <w:t>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柴油发电机房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柴油发电机</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4</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cs="Times New Roman"/>
                <w:i w:val="0"/>
                <w:color w:val="auto"/>
                <w:kern w:val="0"/>
                <w:sz w:val="21"/>
                <w:szCs w:val="21"/>
                <w:highlight w:val="none"/>
                <w:u w:val="none"/>
                <w:lang w:val="en-US" w:eastAsia="zh-CN" w:bidi="ar"/>
              </w:rPr>
              <w:t>90</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sz w:val="21"/>
                <w:szCs w:val="21"/>
                <w:highlight w:val="none"/>
                <w:u w:val="none"/>
                <w:lang w:eastAsia="zh-CN"/>
              </w:rPr>
            </w:pPr>
            <w:r>
              <w:rPr>
                <w:rFonts w:hint="eastAsia" w:cs="Times New Roman"/>
                <w:i w:val="0"/>
                <w:color w:val="auto"/>
                <w:sz w:val="21"/>
                <w:szCs w:val="21"/>
                <w:highlight w:val="none"/>
                <w:u w:val="none"/>
                <w:lang w:eastAsia="zh-CN"/>
              </w:rPr>
              <w:t>楼顶</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冷却塔</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16</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位于</w:t>
            </w:r>
            <w:r>
              <w:rPr>
                <w:rFonts w:hint="eastAsia" w:cs="Times New Roman"/>
                <w:i w:val="0"/>
                <w:color w:val="auto"/>
                <w:kern w:val="0"/>
                <w:sz w:val="21"/>
                <w:szCs w:val="21"/>
                <w:highlight w:val="none"/>
                <w:u w:val="none"/>
                <w:lang w:val="en-US" w:eastAsia="zh-CN" w:bidi="ar"/>
              </w:rPr>
              <w:t>住院部综合楼</w:t>
            </w:r>
            <w:r>
              <w:rPr>
                <w:rFonts w:hint="default" w:ascii="Times New Roman" w:hAnsi="Times New Roman" w:eastAsia="宋体" w:cs="Times New Roman"/>
                <w:i w:val="0"/>
                <w:color w:val="auto"/>
                <w:kern w:val="0"/>
                <w:sz w:val="21"/>
                <w:szCs w:val="21"/>
                <w:highlight w:val="none"/>
                <w:u w:val="none"/>
                <w:lang w:val="en-US" w:eastAsia="zh-CN" w:bidi="ar"/>
              </w:rPr>
              <w:t>楼顶</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i w:val="0"/>
                <w:color w:val="auto"/>
                <w:sz w:val="21"/>
                <w:szCs w:val="21"/>
                <w:highlight w:val="none"/>
                <w:u w:val="none"/>
                <w:lang w:val="en-US" w:eastAsia="zh-CN"/>
              </w:rPr>
            </w:pPr>
            <w:r>
              <w:rPr>
                <w:rFonts w:hint="eastAsia" w:cs="Times New Roman"/>
                <w:b w:val="0"/>
                <w:bCs/>
                <w:i w:val="0"/>
                <w:color w:val="auto"/>
                <w:sz w:val="21"/>
                <w:szCs w:val="21"/>
                <w:highlight w:val="none"/>
                <w:u w:val="none"/>
                <w:lang w:val="en-US" w:eastAsia="zh-CN"/>
              </w:rPr>
              <w:t>85</w:t>
            </w:r>
          </w:p>
        </w:tc>
      </w:tr>
      <w:tr>
        <w:tblPrEx>
          <w:tblCellMar>
            <w:top w:w="0" w:type="dxa"/>
            <w:left w:w="0" w:type="dxa"/>
            <w:bottom w:w="0" w:type="dxa"/>
            <w:right w:w="0" w:type="dxa"/>
          </w:tblCellMar>
        </w:tblPrEx>
        <w:trPr>
          <w:trHeight w:val="397" w:hRule="atLeast"/>
        </w:trPr>
        <w:tc>
          <w:tcPr>
            <w:tcW w:w="965"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设备房</w:t>
            </w:r>
          </w:p>
        </w:tc>
        <w:tc>
          <w:tcPr>
            <w:tcW w:w="71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空调机组</w:t>
            </w:r>
          </w:p>
        </w:tc>
        <w:tc>
          <w:tcPr>
            <w:tcW w:w="72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3</w:t>
            </w:r>
          </w:p>
        </w:tc>
        <w:tc>
          <w:tcPr>
            <w:tcW w:w="161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位于地下一层</w:t>
            </w:r>
          </w:p>
        </w:tc>
        <w:tc>
          <w:tcPr>
            <w:tcW w:w="97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cs="Times New Roman"/>
                <w:b w:val="0"/>
                <w:bCs/>
                <w:i w:val="0"/>
                <w:color w:val="auto"/>
                <w:sz w:val="21"/>
                <w:szCs w:val="21"/>
                <w:highlight w:val="none"/>
                <w:u w:val="none"/>
                <w:lang w:val="en-US" w:eastAsia="zh-CN"/>
              </w:rPr>
            </w:pPr>
            <w:r>
              <w:rPr>
                <w:rFonts w:hint="eastAsia" w:cs="Times New Roman"/>
                <w:b w:val="0"/>
                <w:bCs/>
                <w:i w:val="0"/>
                <w:color w:val="auto"/>
                <w:sz w:val="21"/>
                <w:szCs w:val="21"/>
                <w:highlight w:val="none"/>
                <w:u w:val="none"/>
                <w:lang w:val="en-US" w:eastAsia="zh-CN"/>
              </w:rPr>
              <w:t>80</w:t>
            </w:r>
          </w:p>
        </w:tc>
      </w:tr>
    </w:tbl>
    <w:p>
      <w:pPr>
        <w:pStyle w:val="2"/>
        <w:pageBreakBefore w:val="0"/>
        <w:widowControl w:val="0"/>
        <w:numPr>
          <w:ilvl w:val="3"/>
          <w:numId w:val="0"/>
        </w:numPr>
        <w:kinsoku/>
        <w:wordWrap/>
        <w:overflowPunct/>
        <w:topLinePunct w:val="0"/>
        <w:autoSpaceDE/>
        <w:autoSpaceDN/>
        <w:bidi w:val="0"/>
        <w:adjustRightInd/>
        <w:snapToGrid/>
        <w:spacing w:before="0" w:after="0" w:line="360" w:lineRule="auto"/>
        <w:textAlignment w:val="auto"/>
        <w:rPr>
          <w:rFonts w:hint="eastAsia"/>
          <w:color w:val="auto"/>
          <w:lang w:val="en-US" w:eastAsia="zh-CN"/>
        </w:rPr>
      </w:pPr>
      <w:r>
        <w:rPr>
          <w:rFonts w:hint="eastAsia"/>
          <w:color w:val="auto"/>
          <w:lang w:val="en-US" w:eastAsia="zh-CN"/>
        </w:rPr>
        <w:t>5.2.3.2内部噪声环境影响分析</w:t>
      </w:r>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（1）地下设备房噪声源对周围环境的影响</w:t>
      </w:r>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eastAsia" w:ascii="Times New Roman" w:hAnsi="Times New Roman" w:eastAsia="宋体" w:cs="Times New Roman"/>
          <w:color w:val="auto"/>
          <w:lang w:eastAsia="zh-CN"/>
        </w:rPr>
        <w:t>内部</w:t>
      </w:r>
      <w:r>
        <w:rPr>
          <w:rFonts w:hint="default" w:ascii="Times New Roman" w:hAnsi="Times New Roman" w:eastAsia="宋体" w:cs="Times New Roman"/>
          <w:color w:val="auto"/>
        </w:rPr>
        <w:t>主要噪声源强是地下设备间的动力设备，主要包括：水泵、备用柴油发电机、风机、</w:t>
      </w:r>
      <w:r>
        <w:rPr>
          <w:rFonts w:hint="eastAsia" w:ascii="Times New Roman" w:cs="Times New Roman"/>
          <w:color w:val="auto"/>
          <w:lang w:eastAsia="zh-CN"/>
        </w:rPr>
        <w:t>空调</w:t>
      </w:r>
      <w:r>
        <w:rPr>
          <w:rFonts w:hint="default" w:ascii="Times New Roman" w:hAnsi="Times New Roman" w:eastAsia="宋体" w:cs="Times New Roman"/>
          <w:color w:val="auto"/>
        </w:rPr>
        <w:t>机组</w:t>
      </w:r>
      <w:r>
        <w:rPr>
          <w:rFonts w:hint="eastAsia" w:ascii="Times New Roman" w:cs="Times New Roman"/>
          <w:color w:val="auto"/>
          <w:lang w:eastAsia="zh-CN"/>
        </w:rPr>
        <w:t>、变压器</w:t>
      </w:r>
      <w:r>
        <w:rPr>
          <w:rFonts w:hint="default" w:ascii="Times New Roman" w:hAnsi="Times New Roman" w:eastAsia="宋体" w:cs="Times New Roman"/>
          <w:color w:val="auto"/>
        </w:rPr>
        <w:t>等设备。</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b/>
          <w:bCs/>
          <w:color w:val="auto"/>
          <w:lang w:val="en-US" w:eastAsia="zh-CN"/>
        </w:rPr>
        <w:t>生活</w:t>
      </w:r>
      <w:r>
        <w:rPr>
          <w:rFonts w:hint="eastAsia"/>
          <w:b/>
          <w:bCs/>
          <w:color w:val="auto"/>
        </w:rPr>
        <w:t>水泵房</w:t>
      </w:r>
      <w:r>
        <w:rPr>
          <w:rFonts w:hint="eastAsia"/>
          <w:b/>
          <w:bCs/>
          <w:color w:val="auto"/>
          <w:lang w:val="en-US" w:eastAsia="zh-CN"/>
        </w:rPr>
        <w:t>、热</w:t>
      </w:r>
      <w:r>
        <w:rPr>
          <w:rFonts w:hint="eastAsia"/>
          <w:b/>
          <w:bCs/>
          <w:color w:val="auto"/>
        </w:rPr>
        <w:t>水泵房</w:t>
      </w:r>
      <w:r>
        <w:rPr>
          <w:rFonts w:hint="eastAsia"/>
          <w:b/>
          <w:bCs/>
          <w:color w:val="auto"/>
          <w:lang w:eastAsia="zh-CN"/>
        </w:rPr>
        <w:t>、冷却塔补水泵房、</w:t>
      </w:r>
      <w:r>
        <w:rPr>
          <w:rFonts w:hint="default" w:ascii="Times New Roman" w:hAnsi="Times New Roman" w:eastAsia="宋体" w:cs="Times New Roman"/>
          <w:b/>
          <w:bCs/>
          <w:i w:val="0"/>
          <w:color w:val="auto"/>
          <w:kern w:val="0"/>
          <w:sz w:val="24"/>
          <w:szCs w:val="24"/>
          <w:highlight w:val="none"/>
          <w:u w:val="none"/>
          <w:lang w:val="en-US" w:eastAsia="zh-CN" w:bidi="ar"/>
        </w:rPr>
        <w:t>空调水泵房</w:t>
      </w:r>
      <w:r>
        <w:rPr>
          <w:rFonts w:hint="eastAsia"/>
          <w:b/>
          <w:bCs/>
          <w:color w:val="auto"/>
        </w:rPr>
        <w:t>：</w:t>
      </w:r>
      <w:r>
        <w:rPr>
          <w:rFonts w:hint="eastAsia"/>
          <w:color w:val="auto"/>
        </w:rPr>
        <w:t>项目</w:t>
      </w:r>
      <w:r>
        <w:rPr>
          <w:rFonts w:hint="eastAsia"/>
          <w:color w:val="auto"/>
          <w:lang w:eastAsia="zh-CN"/>
        </w:rPr>
        <w:t>于地下一层分别</w:t>
      </w:r>
      <w:r>
        <w:rPr>
          <w:rFonts w:hint="eastAsia"/>
          <w:color w:val="auto"/>
        </w:rPr>
        <w:t>设置</w:t>
      </w:r>
      <w:r>
        <w:rPr>
          <w:rFonts w:hint="eastAsia"/>
          <w:color w:val="auto"/>
          <w:lang w:eastAsia="zh-CN"/>
        </w:rPr>
        <w:t>了</w:t>
      </w:r>
      <w:r>
        <w:rPr>
          <w:rFonts w:hint="eastAsia"/>
          <w:color w:val="auto"/>
        </w:rPr>
        <w:t>地下</w:t>
      </w:r>
      <w:r>
        <w:rPr>
          <w:rFonts w:hint="eastAsia"/>
          <w:color w:val="auto"/>
          <w:lang w:val="en-US" w:eastAsia="zh-CN"/>
        </w:rPr>
        <w:t>生活</w:t>
      </w:r>
      <w:r>
        <w:rPr>
          <w:rFonts w:hint="eastAsia"/>
          <w:color w:val="auto"/>
        </w:rPr>
        <w:t>水泵房</w:t>
      </w:r>
      <w:r>
        <w:rPr>
          <w:rFonts w:hint="eastAsia"/>
          <w:color w:val="auto"/>
          <w:lang w:val="en-US" w:eastAsia="zh-CN"/>
        </w:rPr>
        <w:t>、热</w:t>
      </w:r>
      <w:r>
        <w:rPr>
          <w:rFonts w:hint="eastAsia"/>
          <w:color w:val="auto"/>
        </w:rPr>
        <w:t>水泵房</w:t>
      </w:r>
      <w:r>
        <w:rPr>
          <w:rFonts w:hint="eastAsia"/>
          <w:color w:val="auto"/>
          <w:lang w:eastAsia="zh-CN"/>
        </w:rPr>
        <w:t>、冷却塔补水泵房、</w:t>
      </w:r>
      <w:r>
        <w:rPr>
          <w:rFonts w:hint="default" w:ascii="Times New Roman" w:hAnsi="Times New Roman" w:eastAsia="宋体" w:cs="Times New Roman"/>
          <w:i w:val="0"/>
          <w:color w:val="auto"/>
          <w:kern w:val="0"/>
          <w:sz w:val="24"/>
          <w:szCs w:val="24"/>
          <w:highlight w:val="none"/>
          <w:u w:val="none"/>
          <w:lang w:val="en-US" w:eastAsia="zh-CN" w:bidi="ar"/>
        </w:rPr>
        <w:t>空调水泵房</w:t>
      </w:r>
      <w:r>
        <w:rPr>
          <w:rFonts w:hint="eastAsia" w:ascii="Times New Roman" w:hAnsi="Times New Roman" w:eastAsia="宋体" w:cs="Times New Roman"/>
          <w:i w:val="0"/>
          <w:color w:val="auto"/>
          <w:kern w:val="0"/>
          <w:sz w:val="24"/>
          <w:szCs w:val="24"/>
          <w:highlight w:val="none"/>
          <w:u w:val="none"/>
          <w:lang w:val="en-US" w:eastAsia="zh-CN" w:bidi="ar"/>
        </w:rPr>
        <w:t>，</w:t>
      </w:r>
      <w:r>
        <w:rPr>
          <w:rFonts w:hint="eastAsia"/>
          <w:color w:val="auto"/>
        </w:rPr>
        <w:t>由于水泵机组设施中多采用高振动设备，管线安装和与高振动设备接入口处均会产生强烈振动，对人体产生影响较大的是低频噪声及振动，噪声源强为</w:t>
      </w:r>
      <w:r>
        <w:rPr>
          <w:rFonts w:hint="eastAsia"/>
          <w:color w:val="auto"/>
          <w:lang w:val="en-US" w:eastAsia="zh-CN"/>
        </w:rPr>
        <w:t>80</w:t>
      </w:r>
      <w:r>
        <w:rPr>
          <w:rFonts w:hint="eastAsia"/>
          <w:color w:val="auto"/>
        </w:rPr>
        <w:t>dB（A）</w:t>
      </w:r>
      <w:r>
        <w:rPr>
          <w:rFonts w:hint="eastAsia"/>
          <w:color w:val="auto"/>
          <w:lang w:eastAsia="zh-CN"/>
        </w:rPr>
        <w:t>（</w:t>
      </w:r>
      <w:r>
        <w:rPr>
          <w:rFonts w:hint="eastAsia"/>
          <w:color w:val="auto"/>
          <w:lang w:val="en-US" w:eastAsia="zh-CN"/>
        </w:rPr>
        <w:t>选用低噪声设备</w:t>
      </w:r>
      <w:r>
        <w:rPr>
          <w:rFonts w:hint="eastAsia"/>
          <w:color w:val="auto"/>
          <w:lang w:eastAsia="zh-CN"/>
        </w:rPr>
        <w:t>）</w:t>
      </w:r>
      <w:r>
        <w:rPr>
          <w:rFonts w:hint="eastAsia"/>
          <w:color w:val="auto"/>
        </w:rPr>
        <w:t>，针对可能产生的影响，建设单位拟采取</w:t>
      </w:r>
      <w:r>
        <w:rPr>
          <w:color w:val="auto"/>
        </w:rPr>
        <w:t>对设备基础采取减振措施，</w:t>
      </w:r>
      <w:r>
        <w:rPr>
          <w:rFonts w:hint="eastAsia"/>
          <w:color w:val="auto"/>
        </w:rPr>
        <w:t>并且单独</w:t>
      </w:r>
      <w:r>
        <w:rPr>
          <w:rFonts w:hint="eastAsia" w:hAnsi="宋体"/>
          <w:color w:val="auto"/>
          <w:szCs w:val="21"/>
        </w:rPr>
        <w:t>置于专门设备房内</w:t>
      </w:r>
      <w:r>
        <w:rPr>
          <w:rFonts w:hint="eastAsia"/>
          <w:color w:val="auto"/>
        </w:rPr>
        <w:t>，设备房</w:t>
      </w:r>
      <w:r>
        <w:rPr>
          <w:color w:val="auto"/>
        </w:rPr>
        <w:t>采取隔声窗和在墙体内侧敷设吸声材料</w:t>
      </w:r>
      <w:r>
        <w:rPr>
          <w:rFonts w:hint="eastAsia"/>
          <w:color w:val="auto"/>
          <w:lang w:eastAsia="zh-CN"/>
        </w:rPr>
        <w:t>等措施</w:t>
      </w:r>
      <w:r>
        <w:rPr>
          <w:rFonts w:hint="eastAsia"/>
          <w:color w:val="auto"/>
        </w:rPr>
        <w:t>，可有效控制振动影响</w:t>
      </w:r>
      <w:r>
        <w:rPr>
          <w:rFonts w:hint="eastAsia" w:cs="宋体"/>
          <w:color w:val="auto"/>
          <w:lang w:eastAsia="zh-CN"/>
        </w:rPr>
        <w:t>；</w:t>
      </w:r>
      <w:r>
        <w:rPr>
          <w:rFonts w:hint="eastAsia"/>
          <w:color w:val="auto"/>
        </w:rPr>
        <w:t>另外，建设单位对管线与高振动设备接入口处以及管线基座在安装时均采取严格的减振和固定措施，</w:t>
      </w:r>
      <w:r>
        <w:rPr>
          <w:rFonts w:hint="eastAsia"/>
          <w:color w:val="auto"/>
          <w:lang w:val="en-US" w:eastAsia="zh-CN"/>
        </w:rPr>
        <w:t>水泵接口采取软连接、</w:t>
      </w:r>
      <w:r>
        <w:rPr>
          <w:rFonts w:hint="eastAsia"/>
          <w:color w:val="auto"/>
        </w:rPr>
        <w:t>安装消声材料及消声器。</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b/>
          <w:bCs/>
          <w:color w:val="auto"/>
        </w:rPr>
        <w:t>变配电所：</w:t>
      </w:r>
      <w:r>
        <w:rPr>
          <w:rFonts w:hint="eastAsia"/>
          <w:color w:val="auto"/>
        </w:rPr>
        <w:t>本项目</w:t>
      </w:r>
      <w:r>
        <w:rPr>
          <w:rFonts w:hint="eastAsia"/>
          <w:color w:val="auto"/>
          <w:lang w:eastAsia="zh-CN"/>
        </w:rPr>
        <w:t>于医技综合楼和感染楼地下一层分别</w:t>
      </w:r>
      <w:r>
        <w:rPr>
          <w:rFonts w:hint="eastAsia"/>
          <w:color w:val="auto"/>
        </w:rPr>
        <w:t>设置</w:t>
      </w:r>
      <w:r>
        <w:rPr>
          <w:rFonts w:hint="eastAsia"/>
          <w:color w:val="auto"/>
          <w:lang w:eastAsia="zh-CN"/>
        </w:rPr>
        <w:t>了</w:t>
      </w:r>
      <w:r>
        <w:rPr>
          <w:rFonts w:hint="eastAsia"/>
          <w:color w:val="auto"/>
          <w:lang w:val="en-US" w:eastAsia="zh-CN"/>
        </w:rPr>
        <w:t>8</w:t>
      </w:r>
      <w:r>
        <w:rPr>
          <w:rFonts w:hint="eastAsia"/>
          <w:color w:val="auto"/>
        </w:rPr>
        <w:t>个地下变配电所，</w:t>
      </w:r>
      <w:r>
        <w:rPr>
          <w:rFonts w:hint="eastAsia"/>
          <w:color w:val="auto"/>
          <w:lang w:eastAsia="zh-CN"/>
        </w:rPr>
        <w:t>内置的</w:t>
      </w:r>
      <w:r>
        <w:rPr>
          <w:rFonts w:hint="eastAsia"/>
          <w:color w:val="auto"/>
          <w:lang w:val="en-US" w:eastAsia="zh-CN"/>
        </w:rPr>
        <w:t>变压器</w:t>
      </w:r>
      <w:r>
        <w:rPr>
          <w:rFonts w:hint="eastAsia"/>
          <w:color w:val="auto"/>
        </w:rPr>
        <w:t>噪声源强为70dB（A）</w:t>
      </w:r>
      <w:r>
        <w:rPr>
          <w:rFonts w:hint="eastAsia"/>
          <w:color w:val="auto"/>
          <w:szCs w:val="21"/>
        </w:rPr>
        <w:t>。</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lang w:val="en-US" w:eastAsia="zh-CN"/>
        </w:rPr>
        <w:t>变电所</w:t>
      </w:r>
      <w:r>
        <w:rPr>
          <w:rFonts w:hint="eastAsia"/>
          <w:color w:val="auto"/>
        </w:rPr>
        <w:t>的噪声来源于变压器本体和冷却系统两个方面。国内外的研究结果表明，变压器本体振动产生噪声的根源在于：</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lang w:eastAsia="zh-CN"/>
        </w:rPr>
        <w:t>①</w:t>
      </w:r>
      <w:r>
        <w:rPr>
          <w:rFonts w:hint="eastAsia"/>
          <w:color w:val="auto"/>
        </w:rPr>
        <w:t>硅钢片的磁致伸缩引起的铁心振动。</w:t>
      </w:r>
    </w:p>
    <w:p>
      <w:pPr>
        <w:pageBreakBefore w:val="0"/>
        <w:widowControl w:val="0"/>
        <w:kinsoku/>
        <w:wordWrap/>
        <w:overflowPunct/>
        <w:topLinePunct w:val="0"/>
        <w:bidi w:val="0"/>
        <w:spacing w:line="360" w:lineRule="auto"/>
        <w:ind w:right="0" w:rightChars="0" w:firstLine="480"/>
        <w:textAlignment w:val="auto"/>
        <w:rPr>
          <w:rFonts w:hint="eastAsia"/>
          <w:color w:val="auto"/>
        </w:rPr>
      </w:pPr>
      <w:r>
        <w:rPr>
          <w:rFonts w:hint="eastAsia"/>
          <w:color w:val="auto"/>
          <w:lang w:eastAsia="zh-CN"/>
        </w:rPr>
        <w:t>②</w:t>
      </w:r>
      <w:r>
        <w:rPr>
          <w:rFonts w:hint="eastAsia"/>
          <w:color w:val="auto"/>
        </w:rPr>
        <w:t>硅钢片接缝处和叠片之间存在着因漏磁而产生的电磁吸引力而引起铁心的振动。</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rFonts w:hint="eastAsia"/>
          <w:color w:val="auto"/>
          <w:lang w:eastAsia="zh-CN"/>
        </w:rPr>
        <w:t>③</w:t>
      </w:r>
      <w:r>
        <w:rPr>
          <w:rFonts w:hint="eastAsia"/>
          <w:color w:val="auto"/>
        </w:rPr>
        <w:t>当绕组中有负载电流通过时，负载电流产生的漏磁引起线圈、油箱壁的振动。</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color w:val="auto"/>
        </w:rPr>
      </w:pPr>
      <w:r>
        <w:rPr>
          <w:rFonts w:hint="eastAsia"/>
          <w:color w:val="auto"/>
          <w:lang w:eastAsia="zh-CN"/>
        </w:rPr>
        <w:t>④</w:t>
      </w:r>
      <w:r>
        <w:rPr>
          <w:rFonts w:hint="eastAsia"/>
          <w:color w:val="auto"/>
        </w:rPr>
        <w:t>冷却风扇和油泵在运行时产生的振动。</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hAnsi="宋体"/>
          <w:color w:val="auto"/>
          <w:szCs w:val="21"/>
          <w:highlight w:val="yellow"/>
        </w:rPr>
      </w:pPr>
      <w:r>
        <w:rPr>
          <w:rFonts w:hint="eastAsia"/>
          <w:color w:val="auto"/>
        </w:rPr>
        <w:t>建设单位对变压器选型时采用低噪声振动设备，安装时采取严格的减振和固定措施，并且单独</w:t>
      </w:r>
      <w:r>
        <w:rPr>
          <w:rFonts w:hint="eastAsia" w:hAnsi="宋体"/>
          <w:color w:val="auto"/>
          <w:szCs w:val="21"/>
        </w:rPr>
        <w:t>置于专门设备房内</w:t>
      </w:r>
      <w:r>
        <w:rPr>
          <w:rFonts w:hint="eastAsia"/>
          <w:color w:val="auto"/>
        </w:rPr>
        <w:t>设备房</w:t>
      </w:r>
      <w:r>
        <w:rPr>
          <w:color w:val="auto"/>
        </w:rPr>
        <w:t>采取隔声窗和在墙体内侧敷设吸声材料</w:t>
      </w:r>
      <w:r>
        <w:rPr>
          <w:rFonts w:hint="eastAsia" w:hAnsi="宋体"/>
          <w:color w:val="auto"/>
          <w:szCs w:val="21"/>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cs="Times New Roman"/>
          <w:color w:val="auto"/>
          <w:w w:val="100"/>
          <w:kern w:val="21"/>
          <w:lang w:val="en-US" w:eastAsia="zh-CN"/>
        </w:rPr>
      </w:pPr>
      <w:r>
        <w:rPr>
          <w:rFonts w:hint="eastAsia" w:cs="Times New Roman"/>
          <w:b/>
          <w:bCs/>
          <w:color w:val="auto"/>
          <w:w w:val="100"/>
          <w:kern w:val="21"/>
          <w:lang w:eastAsia="zh-CN"/>
        </w:rPr>
        <w:t>新风机房、吸引机房、</w:t>
      </w:r>
      <w:r>
        <w:rPr>
          <w:rFonts w:hint="eastAsia" w:ascii="Times New Roman" w:hAnsi="Times New Roman" w:cs="Times New Roman"/>
          <w:b/>
          <w:bCs/>
          <w:color w:val="auto"/>
          <w:w w:val="100"/>
          <w:kern w:val="21"/>
          <w:lang w:val="en-US" w:eastAsia="zh-CN"/>
        </w:rPr>
        <w:t>排风机房</w:t>
      </w:r>
      <w:r>
        <w:rPr>
          <w:rFonts w:hint="eastAsia" w:cs="Times New Roman"/>
          <w:b/>
          <w:bCs/>
          <w:color w:val="auto"/>
          <w:w w:val="100"/>
          <w:kern w:val="21"/>
          <w:lang w:val="en-US" w:eastAsia="zh-CN"/>
        </w:rPr>
        <w:t>：</w:t>
      </w:r>
      <w:r>
        <w:rPr>
          <w:rFonts w:hint="eastAsia" w:ascii="Times New Roman" w:hAnsi="Times New Roman" w:cs="Times New Roman"/>
          <w:color w:val="auto"/>
          <w:w w:val="100"/>
          <w:kern w:val="21"/>
          <w:lang w:val="en-US" w:eastAsia="zh-CN"/>
        </w:rPr>
        <w:t>项目</w:t>
      </w:r>
      <w:r>
        <w:rPr>
          <w:rFonts w:hint="eastAsia" w:cs="Times New Roman"/>
          <w:color w:val="auto"/>
          <w:w w:val="100"/>
          <w:kern w:val="21"/>
          <w:lang w:eastAsia="zh-CN"/>
        </w:rPr>
        <w:t>新风机房、吸引机房、</w:t>
      </w:r>
      <w:r>
        <w:rPr>
          <w:rFonts w:hint="eastAsia" w:ascii="Times New Roman" w:hAnsi="Times New Roman" w:cs="Times New Roman"/>
          <w:color w:val="auto"/>
          <w:w w:val="100"/>
          <w:kern w:val="21"/>
          <w:lang w:val="en-US" w:eastAsia="zh-CN"/>
        </w:rPr>
        <w:t>排风机房分散设置于地下一层</w:t>
      </w:r>
      <w:r>
        <w:rPr>
          <w:rFonts w:hint="default" w:ascii="Times New Roman" w:hAnsi="Times New Roman" w:cs="Times New Roman"/>
          <w:color w:val="auto"/>
          <w:w w:val="100"/>
          <w:kern w:val="21"/>
        </w:rPr>
        <w:t>，</w:t>
      </w:r>
      <w:r>
        <w:rPr>
          <w:rFonts w:hint="eastAsia" w:cs="Times New Roman"/>
          <w:color w:val="auto"/>
          <w:w w:val="100"/>
          <w:kern w:val="21"/>
          <w:lang w:eastAsia="zh-CN"/>
        </w:rPr>
        <w:t>正常运行时</w:t>
      </w:r>
      <w:r>
        <w:rPr>
          <w:rFonts w:hint="eastAsia" w:ascii="Times New Roman" w:hAnsi="Times New Roman" w:cs="Times New Roman"/>
          <w:color w:val="auto"/>
          <w:w w:val="100"/>
          <w:kern w:val="21"/>
          <w:lang w:val="en-US" w:eastAsia="zh-CN"/>
        </w:rPr>
        <w:t>风机设备噪声可达75</w:t>
      </w:r>
      <w:r>
        <w:rPr>
          <w:rFonts w:hint="default" w:ascii="Times New Roman" w:hAnsi="Times New Roman" w:cs="Times New Roman"/>
          <w:color w:val="auto"/>
          <w:w w:val="100"/>
          <w:kern w:val="21"/>
        </w:rPr>
        <w:t>dB（A）</w:t>
      </w:r>
      <w:r>
        <w:rPr>
          <w:rFonts w:hint="eastAsia" w:ascii="Times New Roman" w:hAnsi="Times New Roman" w:cs="Times New Roman"/>
          <w:color w:val="auto"/>
          <w:w w:val="100"/>
          <w:kern w:val="21"/>
          <w:lang w:val="en-US" w:eastAsia="zh-CN"/>
        </w:rPr>
        <w:t>，经过风机房建筑隔声，</w:t>
      </w:r>
      <w:r>
        <w:rPr>
          <w:rFonts w:hint="default" w:ascii="Times New Roman" w:hAnsi="Times New Roman" w:cs="Times New Roman"/>
          <w:color w:val="auto"/>
          <w:w w:val="100"/>
          <w:kern w:val="21"/>
        </w:rPr>
        <w:t>同时排风口安装消声器以及消声百叶窗</w:t>
      </w:r>
      <w:r>
        <w:rPr>
          <w:rFonts w:hint="eastAsia" w:cs="Times New Roman"/>
          <w:color w:val="auto"/>
          <w:w w:val="100"/>
          <w:kern w:val="21"/>
          <w:lang w:eastAsia="zh-CN"/>
        </w:rPr>
        <w:t>等措施</w:t>
      </w:r>
      <w:r>
        <w:rPr>
          <w:rFonts w:hint="default" w:ascii="Times New Roman" w:hAnsi="Times New Roman" w:cs="Times New Roman"/>
          <w:color w:val="auto"/>
          <w:w w:val="100"/>
          <w:kern w:val="21"/>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default" w:ascii="Times New Roman" w:hAnsi="Times New Roman" w:eastAsia="宋体" w:cs="Times New Roman"/>
          <w:color w:val="auto"/>
          <w:w w:val="100"/>
          <w:kern w:val="21"/>
          <w:lang w:val="en-US" w:eastAsia="zh-CN"/>
        </w:rPr>
      </w:pPr>
      <w:r>
        <w:rPr>
          <w:rFonts w:hint="eastAsia" w:ascii="Times New Roman" w:hAnsi="Times New Roman" w:cs="Times New Roman"/>
          <w:b/>
          <w:bCs/>
          <w:color w:val="auto"/>
          <w:w w:val="100"/>
          <w:kern w:val="21"/>
          <w:lang w:val="en-US" w:eastAsia="zh-CN"/>
        </w:rPr>
        <w:t>备用柴油机发电房</w:t>
      </w:r>
      <w:r>
        <w:rPr>
          <w:rFonts w:hint="eastAsia" w:cs="Times New Roman"/>
          <w:b/>
          <w:bCs/>
          <w:color w:val="auto"/>
          <w:w w:val="100"/>
          <w:kern w:val="21"/>
          <w:lang w:val="en-US" w:eastAsia="zh-CN"/>
        </w:rPr>
        <w:t>：</w:t>
      </w:r>
      <w:r>
        <w:rPr>
          <w:rFonts w:hint="eastAsia" w:ascii="Times New Roman" w:hAnsi="Times New Roman" w:cs="Times New Roman"/>
          <w:color w:val="auto"/>
          <w:w w:val="100"/>
          <w:kern w:val="21"/>
          <w:highlight w:val="none"/>
          <w:lang w:val="en-US" w:eastAsia="zh-CN"/>
        </w:rPr>
        <w:t>项目柴油机发电房设置于地下一层</w:t>
      </w:r>
      <w:r>
        <w:rPr>
          <w:rFonts w:hint="default" w:ascii="Times New Roman" w:hAnsi="Times New Roman" w:cs="Times New Roman"/>
          <w:color w:val="auto"/>
          <w:w w:val="100"/>
          <w:kern w:val="21"/>
        </w:rPr>
        <w:t>，</w:t>
      </w:r>
      <w:r>
        <w:rPr>
          <w:rFonts w:hint="eastAsia" w:ascii="Times New Roman" w:hAnsi="Times New Roman" w:cs="Times New Roman"/>
          <w:color w:val="auto"/>
          <w:w w:val="100"/>
          <w:kern w:val="21"/>
          <w:lang w:val="en-US" w:eastAsia="zh-CN"/>
        </w:rPr>
        <w:t>柴油发电机设备噪声可达85-90</w:t>
      </w:r>
      <w:r>
        <w:rPr>
          <w:rFonts w:hint="default" w:ascii="Times New Roman" w:hAnsi="Times New Roman" w:cs="Times New Roman"/>
          <w:color w:val="auto"/>
          <w:w w:val="100"/>
          <w:kern w:val="21"/>
        </w:rPr>
        <w:t>dB（A）</w:t>
      </w:r>
      <w:r>
        <w:rPr>
          <w:rFonts w:hint="eastAsia" w:ascii="Times New Roman" w:hAnsi="Times New Roman" w:cs="Times New Roman"/>
          <w:color w:val="auto"/>
          <w:w w:val="100"/>
          <w:kern w:val="21"/>
          <w:lang w:val="en-US" w:eastAsia="zh-CN"/>
        </w:rPr>
        <w:t>，通过设置减震基座，</w:t>
      </w:r>
      <w:r>
        <w:rPr>
          <w:rFonts w:hint="eastAsia"/>
          <w:color w:val="auto"/>
        </w:rPr>
        <w:t>并且单独</w:t>
      </w:r>
      <w:r>
        <w:rPr>
          <w:rFonts w:hint="eastAsia" w:hAnsi="宋体"/>
          <w:color w:val="auto"/>
          <w:szCs w:val="21"/>
        </w:rPr>
        <w:t>置于专门设备房内</w:t>
      </w:r>
      <w:r>
        <w:rPr>
          <w:rFonts w:hint="eastAsia"/>
          <w:color w:val="auto"/>
        </w:rPr>
        <w:t>，设备房</w:t>
      </w:r>
      <w:r>
        <w:rPr>
          <w:color w:val="auto"/>
        </w:rPr>
        <w:t>采取墙体内侧敷设吸声材料</w:t>
      </w:r>
      <w:r>
        <w:rPr>
          <w:rFonts w:hint="eastAsia"/>
          <w:color w:val="auto"/>
        </w:rPr>
        <w:t>，可有效控制</w:t>
      </w:r>
      <w:r>
        <w:rPr>
          <w:rFonts w:hint="eastAsia"/>
          <w:color w:val="auto"/>
          <w:lang w:val="en-US" w:eastAsia="zh-CN"/>
        </w:rPr>
        <w:t>噪声</w:t>
      </w:r>
      <w:r>
        <w:rPr>
          <w:rFonts w:hint="eastAsia"/>
          <w:color w:val="auto"/>
        </w:rPr>
        <w:t>影响</w:t>
      </w:r>
      <w:r>
        <w:rPr>
          <w:rFonts w:hint="default" w:ascii="Times New Roman" w:hAnsi="Times New Roman" w:cs="Times New Roman"/>
          <w:color w:val="auto"/>
          <w:w w:val="100"/>
          <w:kern w:val="21"/>
        </w:rPr>
        <w:t>。</w:t>
      </w:r>
      <w:r>
        <w:rPr>
          <w:rFonts w:hint="eastAsia" w:ascii="Times New Roman" w:hAnsi="Times New Roman" w:cs="Times New Roman"/>
          <w:color w:val="auto"/>
          <w:w w:val="100"/>
          <w:kern w:val="21"/>
          <w:lang w:val="en-US" w:eastAsia="zh-CN"/>
        </w:rPr>
        <w:t>柴油机发电机运转对外界的影响不大，且柴油发电机主要在停电时应急使用，一般装况不会运转，不对外产生影响。</w:t>
      </w:r>
    </w:p>
    <w:p>
      <w:pPr>
        <w:pStyle w:val="124"/>
        <w:spacing w:before="0" w:line="360" w:lineRule="auto"/>
        <w:ind w:firstLine="480"/>
        <w:rPr>
          <w:rFonts w:hint="default" w:ascii="Times New Roman" w:hAnsi="Times New Roman" w:eastAsia="宋体" w:cs="Times New Roman"/>
          <w:color w:val="auto"/>
        </w:rPr>
      </w:pPr>
      <w:r>
        <w:rPr>
          <w:rFonts w:hint="eastAsia" w:ascii="Times New Roman" w:cs="Times New Roman"/>
          <w:color w:val="auto"/>
          <w:lang w:eastAsia="zh-CN"/>
        </w:rPr>
        <w:t>综上，项目</w:t>
      </w:r>
      <w:r>
        <w:rPr>
          <w:rFonts w:hint="default" w:ascii="Times New Roman" w:hAnsi="Times New Roman" w:eastAsia="宋体" w:cs="Times New Roman"/>
          <w:color w:val="auto"/>
        </w:rPr>
        <w:t>水泵、备用柴油发电机、风机</w:t>
      </w:r>
      <w:r>
        <w:rPr>
          <w:rFonts w:hint="eastAsia" w:ascii="Times New Roman" w:cs="Times New Roman"/>
          <w:color w:val="auto"/>
          <w:lang w:eastAsia="zh-CN"/>
        </w:rPr>
        <w:t>、变压器</w:t>
      </w:r>
      <w:r>
        <w:rPr>
          <w:rFonts w:hint="default" w:ascii="Times New Roman" w:hAnsi="Times New Roman" w:eastAsia="宋体" w:cs="Times New Roman"/>
          <w:color w:val="auto"/>
        </w:rPr>
        <w:t>等高噪声设备均布置在地下</w:t>
      </w:r>
      <w:r>
        <w:rPr>
          <w:rFonts w:hint="eastAsia" w:ascii="Times New Roman" w:cs="Times New Roman"/>
          <w:color w:val="auto"/>
          <w:lang w:eastAsia="zh-CN"/>
        </w:rPr>
        <w:t>，</w:t>
      </w:r>
      <w:r>
        <w:rPr>
          <w:rFonts w:hint="default" w:ascii="Times New Roman" w:hAnsi="Times New Roman" w:eastAsia="宋体" w:cs="Times New Roman"/>
          <w:color w:val="auto"/>
        </w:rPr>
        <w:t>隔声效果较好</w:t>
      </w:r>
      <w:r>
        <w:rPr>
          <w:rFonts w:hint="eastAsia" w:ascii="Times New Roman" w:cs="Times New Roman"/>
          <w:color w:val="auto"/>
          <w:lang w:eastAsia="zh-CN"/>
        </w:rPr>
        <w:t>。</w:t>
      </w:r>
      <w:r>
        <w:rPr>
          <w:rFonts w:hint="default" w:ascii="Times New Roman" w:hAnsi="Times New Roman" w:eastAsia="宋体" w:cs="Times New Roman"/>
          <w:color w:val="auto"/>
        </w:rPr>
        <w:t>采取降噪隔音措施后，其隔声量</w:t>
      </w:r>
      <w:r>
        <w:rPr>
          <w:rFonts w:hint="eastAsia" w:ascii="Times New Roman" w:cs="Times New Roman"/>
          <w:color w:val="auto"/>
          <w:lang w:eastAsia="zh-CN"/>
        </w:rPr>
        <w:t>预计</w:t>
      </w:r>
      <w:r>
        <w:rPr>
          <w:rFonts w:hint="default" w:ascii="Times New Roman" w:hAnsi="Times New Roman" w:eastAsia="宋体" w:cs="Times New Roman"/>
          <w:color w:val="auto"/>
        </w:rPr>
        <w:t>能达30dB以上</w:t>
      </w:r>
      <w:r>
        <w:rPr>
          <w:rFonts w:hint="eastAsia" w:ascii="Times New Roman" w:cs="Times New Roman"/>
          <w:color w:val="auto"/>
          <w:lang w:eastAsia="zh-CN"/>
        </w:rPr>
        <w:t>，</w:t>
      </w:r>
      <w:r>
        <w:rPr>
          <w:rFonts w:hint="default" w:ascii="Times New Roman" w:hAnsi="Times New Roman" w:eastAsia="宋体" w:cs="Times New Roman"/>
          <w:color w:val="auto"/>
        </w:rPr>
        <w:t>再经过建筑隔声和距离衰减，对外界的噪声影响值在50dB以下，对地块周围的声环境基本没有影响。</w:t>
      </w:r>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（2）冷却塔噪声对周围环境的影响</w:t>
      </w:r>
    </w:p>
    <w:p>
      <w:pPr>
        <w:pStyle w:val="124"/>
        <w:spacing w:before="0" w:line="360" w:lineRule="auto"/>
        <w:ind w:firstLine="480"/>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项目</w:t>
      </w:r>
      <w:r>
        <w:rPr>
          <w:rFonts w:hint="eastAsia" w:cs="Times New Roman"/>
          <w:color w:val="auto"/>
          <w:lang w:eastAsia="zh-CN"/>
        </w:rPr>
        <w:t>设有</w:t>
      </w:r>
      <w:r>
        <w:rPr>
          <w:rFonts w:hint="eastAsia" w:cs="Times New Roman"/>
          <w:color w:val="auto"/>
          <w:lang w:val="en-US" w:eastAsia="zh-CN"/>
        </w:rPr>
        <w:t>16</w:t>
      </w:r>
      <w:r>
        <w:rPr>
          <w:rFonts w:hint="default" w:ascii="Times New Roman" w:hAnsi="Times New Roman" w:eastAsia="宋体" w:cs="Times New Roman"/>
          <w:color w:val="auto"/>
        </w:rPr>
        <w:t>台冷却塔设置于</w:t>
      </w:r>
      <w:r>
        <w:rPr>
          <w:rFonts w:hint="eastAsia" w:cs="Times New Roman"/>
          <w:color w:val="auto"/>
          <w:lang w:eastAsia="zh-CN"/>
        </w:rPr>
        <w:t>综合住院部大楼楼顶</w:t>
      </w:r>
      <w:r>
        <w:rPr>
          <w:rFonts w:hint="eastAsia" w:ascii="Times New Roman" w:cs="Times New Roman"/>
          <w:color w:val="auto"/>
          <w:lang w:eastAsia="zh-CN"/>
        </w:rPr>
        <w:t>楼顶</w:t>
      </w:r>
      <w:r>
        <w:rPr>
          <w:rFonts w:hint="default" w:ascii="Times New Roman" w:hAnsi="Times New Roman" w:eastAsia="宋体" w:cs="Times New Roman"/>
          <w:color w:val="auto"/>
        </w:rPr>
        <w:t>（</w:t>
      </w:r>
      <w:r>
        <w:rPr>
          <w:rFonts w:hint="eastAsia" w:cs="Times New Roman"/>
          <w:color w:val="auto"/>
          <w:lang w:val="en-US" w:eastAsia="zh-CN"/>
        </w:rPr>
        <w:t>21</w:t>
      </w:r>
      <w:r>
        <w:rPr>
          <w:rFonts w:hint="default" w:ascii="Times New Roman" w:hAnsi="Times New Roman" w:eastAsia="宋体" w:cs="Times New Roman"/>
          <w:color w:val="auto"/>
        </w:rPr>
        <w:t>层，</w:t>
      </w:r>
      <w:r>
        <w:rPr>
          <w:rFonts w:hint="eastAsia" w:cs="Times New Roman"/>
          <w:color w:val="auto"/>
          <w:lang w:val="en-US" w:eastAsia="zh-CN"/>
        </w:rPr>
        <w:t>90.8</w:t>
      </w:r>
      <w:r>
        <w:rPr>
          <w:rFonts w:hint="default" w:ascii="Times New Roman" w:hAnsi="Times New Roman" w:eastAsia="宋体" w:cs="Times New Roman"/>
          <w:color w:val="auto"/>
        </w:rPr>
        <w:t>m）</w:t>
      </w:r>
      <w:r>
        <w:rPr>
          <w:rFonts w:hint="eastAsia" w:cs="Times New Roman"/>
          <w:color w:val="auto"/>
          <w:lang w:eastAsia="zh-CN"/>
        </w:rPr>
        <w:t>，</w:t>
      </w:r>
      <w:r>
        <w:rPr>
          <w:rFonts w:hint="eastAsia" w:cs="Times New Roman"/>
          <w:b/>
          <w:bCs w:val="0"/>
          <w:color w:val="auto"/>
          <w:lang w:eastAsia="zh-CN"/>
        </w:rPr>
        <w:t>为本项目的最高楼层</w:t>
      </w:r>
      <w:r>
        <w:rPr>
          <w:rFonts w:hint="default" w:ascii="Times New Roman" w:hAnsi="Times New Roman" w:eastAsia="宋体" w:cs="Times New Roman"/>
          <w:b/>
          <w:bCs w:val="0"/>
          <w:color w:val="auto"/>
        </w:rPr>
        <w:t>。</w:t>
      </w:r>
      <w:r>
        <w:rPr>
          <w:rFonts w:hint="default" w:ascii="Times New Roman" w:hAnsi="Times New Roman" w:eastAsia="宋体" w:cs="Times New Roman"/>
          <w:color w:val="auto"/>
          <w:lang w:eastAsia="zh-CN"/>
        </w:rPr>
        <w:t>离冷却塔较近的声环境敏感点为</w:t>
      </w:r>
      <w:r>
        <w:rPr>
          <w:rFonts w:hint="eastAsia" w:cs="Times New Roman"/>
          <w:color w:val="auto"/>
          <w:lang w:eastAsia="zh-CN"/>
        </w:rPr>
        <w:t>拓展住院部</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1</w:t>
      </w:r>
      <w:r>
        <w:rPr>
          <w:rFonts w:hint="default" w:ascii="Times New Roman" w:hAnsi="Times New Roman" w:eastAsia="宋体" w:cs="Times New Roman"/>
          <w:color w:val="auto"/>
          <w:lang w:val="en-US" w:eastAsia="zh-CN"/>
        </w:rPr>
        <w:t>层，</w:t>
      </w:r>
      <w:r>
        <w:rPr>
          <w:rFonts w:hint="eastAsia" w:cs="Times New Roman"/>
          <w:color w:val="auto"/>
          <w:lang w:val="en-US" w:eastAsia="zh-CN"/>
        </w:rPr>
        <w:t>50.8</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。根据类比调查，本项目选用超低噪声冷却塔，</w:t>
      </w:r>
      <w:bookmarkStart w:id="86" w:name="OLE_LINK11"/>
      <w:r>
        <w:rPr>
          <w:rFonts w:hint="default" w:ascii="Times New Roman" w:hAnsi="Times New Roman" w:eastAsia="宋体" w:cs="Times New Roman"/>
          <w:color w:val="auto"/>
          <w:szCs w:val="21"/>
        </w:rPr>
        <w:t>采用折板式消声器进风，顶部风机设阻抗复合消声器，设减振基座等措施后</w:t>
      </w:r>
      <w:bookmarkEnd w:id="86"/>
      <w:r>
        <w:rPr>
          <w:rFonts w:hint="default" w:ascii="Times New Roman" w:hAnsi="Times New Roman" w:eastAsia="宋体" w:cs="Times New Roman"/>
          <w:color w:val="auto"/>
          <w:szCs w:val="21"/>
        </w:rPr>
        <w:t>，</w:t>
      </w:r>
      <w:r>
        <w:rPr>
          <w:rFonts w:hint="default" w:ascii="Times New Roman" w:hAnsi="Times New Roman" w:eastAsia="宋体" w:cs="Times New Roman"/>
          <w:color w:val="auto"/>
        </w:rPr>
        <w:t>冷却塔噪声约</w:t>
      </w:r>
      <w:r>
        <w:rPr>
          <w:rFonts w:hint="eastAsia" w:ascii="Times New Roman" w:cs="Times New Roman"/>
          <w:color w:val="auto"/>
          <w:lang w:val="en-US" w:eastAsia="zh-CN"/>
        </w:rPr>
        <w:t>80</w:t>
      </w:r>
      <w:r>
        <w:rPr>
          <w:rFonts w:hint="default" w:ascii="Times New Roman" w:hAnsi="Times New Roman" w:eastAsia="宋体" w:cs="Times New Roman"/>
          <w:color w:val="auto"/>
        </w:rPr>
        <w:t>dB（A）。</w:t>
      </w:r>
    </w:p>
    <w:p>
      <w:pPr>
        <w:pStyle w:val="227"/>
        <w:rPr>
          <w:rFonts w:hint="default" w:ascii="Times New Roman" w:hAnsi="Times New Roman" w:eastAsia="宋体" w:cs="Times New Roman"/>
          <w:color w:val="auto"/>
        </w:rPr>
      </w:pPr>
      <w:bookmarkStart w:id="87" w:name="_Toc93291624"/>
      <w:r>
        <w:rPr>
          <w:rFonts w:hint="default" w:ascii="Times New Roman" w:hAnsi="Times New Roman" w:eastAsia="宋体" w:cs="Times New Roman"/>
          <w:color w:val="auto"/>
        </w:rPr>
        <w:t>本环评采用《环境影响评价技术导则 声环境》（</w:t>
      </w:r>
      <w:r>
        <w:rPr>
          <w:rFonts w:hint="default" w:ascii="Times New Roman" w:hAnsi="Times New Roman" w:eastAsia="宋体" w:cs="Times New Roman"/>
          <w:color w:val="auto"/>
          <w:spacing w:val="-16"/>
        </w:rPr>
        <w:t>HJ2.4－</w:t>
      </w:r>
      <w:r>
        <w:rPr>
          <w:rFonts w:hint="eastAsia" w:cs="Times New Roman"/>
          <w:color w:val="auto"/>
          <w:spacing w:val="-16"/>
          <w:lang w:val="en-US" w:eastAsia="zh-CN"/>
        </w:rPr>
        <w:t>2021</w:t>
      </w:r>
      <w:r>
        <w:rPr>
          <w:rFonts w:hint="default" w:ascii="Times New Roman" w:hAnsi="Times New Roman" w:eastAsia="宋体" w:cs="Times New Roman"/>
          <w:color w:val="auto"/>
        </w:rPr>
        <w:t>）中的工业噪声预测模式。工业声源有室外和室内两种声源，应分别计算。可根据预测点和声源之间的距离r，根据声源发出声波的波阵面，将声源划分为点声源、线声源、面声源后进行预测。在环境影响评价中遇到的实际声源一般将其划分为点声源进行预测。拟建项目对声环境产生影响的主要设备噪声源，按其辐射噪声和结构特点，安装位置的环境条件以及噪声源至预测点的距离等因素进行判断，逐一计算某一声源在预测点上产生的声压级（dB）。</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79744" behindDoc="0" locked="0" layoutInCell="1" allowOverlap="1">
            <wp:simplePos x="0" y="0"/>
            <wp:positionH relativeFrom="column">
              <wp:posOffset>1565275</wp:posOffset>
            </wp:positionH>
            <wp:positionV relativeFrom="paragraph">
              <wp:posOffset>351790</wp:posOffset>
            </wp:positionV>
            <wp:extent cx="1749425" cy="556895"/>
            <wp:effectExtent l="0" t="0" r="3175" b="14605"/>
            <wp:wrapTopAndBottom/>
            <wp:docPr id="123"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409"/>
                    <pic:cNvPicPr>
                      <a:picLocks noChangeAspect="1"/>
                    </pic:cNvPicPr>
                  </pic:nvPicPr>
                  <pic:blipFill>
                    <a:blip r:embed="rId52"/>
                    <a:stretch>
                      <a:fillRect/>
                    </a:stretch>
                  </pic:blipFill>
                  <pic:spPr>
                    <a:xfrm>
                      <a:off x="0" y="0"/>
                      <a:ext cx="1749425" cy="556895"/>
                    </a:xfrm>
                    <a:prstGeom prst="rect">
                      <a:avLst/>
                    </a:prstGeom>
                    <a:noFill/>
                    <a:ln>
                      <a:noFill/>
                    </a:ln>
                  </pic:spPr>
                </pic:pic>
              </a:graphicData>
            </a:graphic>
          </wp:anchor>
        </w:drawing>
      </w:r>
      <w:r>
        <w:rPr>
          <w:rFonts w:hint="default" w:ascii="Times New Roman" w:hAnsi="Times New Roman" w:eastAsia="宋体" w:cs="Times New Roman"/>
          <w:color w:val="auto"/>
        </w:rPr>
        <w:t>（1）计算某个室内声源在靠近围护结构处产生的倍频带声压级：</w:t>
      </w:r>
    </w:p>
    <w:p>
      <w:pPr>
        <w:pStyle w:val="227"/>
        <w:spacing w:line="360" w:lineRule="auto"/>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式中：</w:t>
      </w:r>
      <w:r>
        <w:rPr>
          <w:rFonts w:hint="default" w:ascii="Times New Roman" w:hAnsi="Times New Roman" w:eastAsia="宋体" w:cs="Times New Roman"/>
          <w:color w:val="auto"/>
          <w:position w:val="-10"/>
        </w:rPr>
        <w:object>
          <v:shape id="_x0000_i1033" o:spt="75" type="#_x0000_t75" style="height:17pt;width:18pt;" o:ole="t" filled="f" o:preferrelative="t" stroked="f" coordsize="21600,21600">
            <v:path/>
            <v:fill on="f" focussize="0,0"/>
            <v:stroke on="f"/>
            <v:imagedata r:id="rId54" o:title=""/>
            <o:lock v:ext="edit" grouping="f" rotation="f" text="f" aspectratio="t"/>
            <w10:wrap type="none"/>
            <w10:anchorlock/>
          </v:shape>
          <o:OLEObject Type="Embed" ProgID="Equation.3" ShapeID="_x0000_i1033" DrawAspect="Content" ObjectID="_1468075733" r:id="rId53">
            <o:LockedField>false</o:LockedField>
          </o:OLEObject>
        </w:object>
      </w:r>
      <w:r>
        <w:rPr>
          <w:rFonts w:hint="default" w:ascii="Times New Roman" w:hAnsi="Times New Roman" w:eastAsia="宋体" w:cs="Times New Roman"/>
          <w:color w:val="auto"/>
        </w:rPr>
        <w:t xml:space="preserve"> — 某个室内声源在靠近围护结构处产生的倍频带声压级，dB</w:t>
      </w:r>
      <w:r>
        <w:rPr>
          <w:rFonts w:hint="eastAsia" w:ascii="Times New Roman" w:hAnsi="Times New Roman" w:eastAsia="宋体" w:cs="宋体"/>
          <w:color w:val="auto"/>
          <w:lang w:eastAsia="zh-CN"/>
        </w:rPr>
        <w:t>；</w:t>
      </w:r>
    </w:p>
    <w:p>
      <w:pPr>
        <w:pStyle w:val="227"/>
        <w:spacing w:line="360" w:lineRule="auto"/>
        <w:ind w:firstLine="1200" w:firstLineChars="5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12"/>
        </w:rPr>
        <w:object>
          <v:shape id="_x0000_i1034" o:spt="75" type="#_x0000_t75" style="height:18pt;width:17pt;" o:ole="t" filled="f" o:preferrelative="t" stroked="f" coordsize="21600,21600">
            <v:path/>
            <v:fill on="f" focussize="0,0"/>
            <v:stroke on="f"/>
            <v:imagedata r:id="rId56" o:title=""/>
            <o:lock v:ext="edit" grouping="f" rotation="f" text="f" aspectratio="t"/>
            <w10:wrap type="none"/>
            <w10:anchorlock/>
          </v:shape>
          <o:OLEObject Type="Embed" ProgID="Equation.3" ShapeID="_x0000_i1034" DrawAspect="Content" ObjectID="_1468075734" r:id="rId55">
            <o:LockedField>false</o:LockedField>
          </o:OLEObject>
        </w:object>
      </w:r>
      <w:r>
        <w:rPr>
          <w:rFonts w:hint="default" w:ascii="Times New Roman" w:hAnsi="Times New Roman" w:eastAsia="宋体" w:cs="Times New Roman"/>
          <w:color w:val="auto"/>
        </w:rPr>
        <w:t xml:space="preserve"> — 某个声源的倍频带声功率级，dB</w:t>
      </w:r>
      <w:r>
        <w:rPr>
          <w:rFonts w:hint="eastAsia" w:ascii="Times New Roman" w:hAnsi="Times New Roman" w:eastAsia="宋体" w:cs="宋体"/>
          <w:color w:val="auto"/>
          <w:lang w:eastAsia="zh-CN"/>
        </w:rPr>
        <w:t>；</w:t>
      </w:r>
    </w:p>
    <w:p>
      <w:pPr>
        <w:pStyle w:val="227"/>
        <w:spacing w:line="360" w:lineRule="auto"/>
        <w:ind w:firstLine="1200" w:firstLineChars="5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4"/>
        </w:rPr>
        <w:object>
          <v:shape id="_x0000_i1035" o:spt="75" type="#_x0000_t75" style="height:10pt;width:9pt;" o:ole="t" filled="f" o:preferrelative="t" stroked="f" coordsize="21600,21600">
            <v:path/>
            <v:fill on="f" focussize="0,0"/>
            <v:stroke on="f"/>
            <v:imagedata r:id="rId58" o:title=""/>
            <o:lock v:ext="edit" grouping="f" rotation="f" text="f" aspectratio="t"/>
            <w10:wrap type="none"/>
            <w10:anchorlock/>
          </v:shape>
          <o:OLEObject Type="Embed" ProgID="Equation.3" ShapeID="_x0000_i1035" DrawAspect="Content" ObjectID="_1468075735" r:id="rId57">
            <o:LockedField>false</o:LockedField>
          </o:OLEObject>
        </w:object>
      </w:r>
      <w:r>
        <w:rPr>
          <w:rFonts w:hint="default" w:ascii="Times New Roman" w:hAnsi="Times New Roman" w:eastAsia="宋体" w:cs="Times New Roman"/>
          <w:color w:val="auto"/>
        </w:rPr>
        <w:t xml:space="preserve"> — 室内某个声源到靠近围护结构某点处的距离，m</w:t>
      </w:r>
      <w:r>
        <w:rPr>
          <w:rFonts w:hint="eastAsia" w:ascii="Times New Roman" w:hAnsi="Times New Roman" w:eastAsia="宋体" w:cs="宋体"/>
          <w:color w:val="auto"/>
          <w:lang w:eastAsia="zh-CN"/>
        </w:rPr>
        <w:t>；</w:t>
      </w:r>
    </w:p>
    <w:p>
      <w:pPr>
        <w:pStyle w:val="227"/>
        <w:spacing w:line="360" w:lineRule="auto"/>
        <w:ind w:firstLine="1200" w:firstLineChars="5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4"/>
        </w:rPr>
        <w:object>
          <v:shape id="_x0000_i1036" o:spt="75" type="#_x0000_t75" style="height:13pt;width:12pt;" o:ole="t" filled="f" stroked="f" coordsize="21600,21600">
            <v:path/>
            <v:fill on="f" focussize="0,0"/>
            <v:stroke on="f"/>
            <v:imagedata r:id="rId60" o:title=""/>
            <o:lock v:ext="edit" grouping="f" rotation="f" text="f" aspectratio="t"/>
            <w10:wrap type="none"/>
            <w10:anchorlock/>
          </v:shape>
          <o:OLEObject Type="Embed" ProgID="Equation.3" ShapeID="_x0000_i1036" DrawAspect="Content" ObjectID="_1468075736" r:id="rId59">
            <o:LockedField>false</o:LockedField>
          </o:OLEObject>
        </w:object>
      </w:r>
      <w:r>
        <w:rPr>
          <w:rFonts w:hint="default" w:ascii="Times New Roman" w:hAnsi="Times New Roman" w:eastAsia="宋体" w:cs="Times New Roman"/>
          <w:color w:val="auto"/>
        </w:rPr>
        <w:t xml:space="preserve"> — 房间常数，m</w:t>
      </w:r>
      <w:r>
        <w:rPr>
          <w:rFonts w:hint="default" w:ascii="Times New Roman" w:hAnsi="Times New Roman" w:eastAsia="宋体" w:cs="Times New Roman"/>
          <w:color w:val="auto"/>
          <w:vertAlign w:val="superscript"/>
        </w:rPr>
        <w:t>2</w:t>
      </w:r>
      <w:r>
        <w:rPr>
          <w:rFonts w:hint="eastAsia" w:ascii="Times New Roman" w:hAnsi="Times New Roman" w:eastAsia="宋体" w:cs="宋体"/>
          <w:color w:val="auto"/>
          <w:lang w:eastAsia="zh-CN"/>
        </w:rPr>
        <w:t>；</w:t>
      </w:r>
    </w:p>
    <w:p>
      <w:pPr>
        <w:pStyle w:val="227"/>
        <w:spacing w:line="360" w:lineRule="auto"/>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position w:val="-10"/>
        </w:rPr>
        <w:object>
          <v:shape id="_x0000_i1037" o:spt="75" type="#_x0000_t75" style="height:16pt;width:12pt;" o:ole="t" filled="f" stroked="f" coordsize="21600,21600">
            <v:path/>
            <v:fill on="f" focussize="0,0"/>
            <v:stroke on="f"/>
            <v:imagedata r:id="rId62" o:title=""/>
            <o:lock v:ext="edit" grouping="f" rotation="f" text="f" aspectratio="t"/>
            <w10:wrap type="none"/>
            <w10:anchorlock/>
          </v:shape>
          <o:OLEObject Type="Embed" ProgID="Equation.3" ShapeID="_x0000_i1037" DrawAspect="Content" ObjectID="_1468075737" r:id="rId61">
            <o:LockedField>false</o:LockedField>
          </o:OLEObject>
        </w:object>
      </w:r>
      <w:r>
        <w:rPr>
          <w:rFonts w:hint="default" w:ascii="Times New Roman" w:hAnsi="Times New Roman" w:eastAsia="宋体" w:cs="Times New Roman"/>
          <w:color w:val="auto"/>
        </w:rPr>
        <w:t xml:space="preserve"> — 方向性因子。</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80768" behindDoc="0" locked="0" layoutInCell="1" allowOverlap="1">
            <wp:simplePos x="0" y="0"/>
            <wp:positionH relativeFrom="column">
              <wp:posOffset>1444625</wp:posOffset>
            </wp:positionH>
            <wp:positionV relativeFrom="paragraph">
              <wp:posOffset>334010</wp:posOffset>
            </wp:positionV>
            <wp:extent cx="1984375" cy="486410"/>
            <wp:effectExtent l="0" t="0" r="15875" b="8890"/>
            <wp:wrapTopAndBottom/>
            <wp:docPr id="124"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410"/>
                    <pic:cNvPicPr>
                      <a:picLocks noChangeAspect="1"/>
                    </pic:cNvPicPr>
                  </pic:nvPicPr>
                  <pic:blipFill>
                    <a:blip r:embed="rId63"/>
                    <a:stretch>
                      <a:fillRect/>
                    </a:stretch>
                  </pic:blipFill>
                  <pic:spPr>
                    <a:xfrm>
                      <a:off x="0" y="0"/>
                      <a:ext cx="1984375" cy="486410"/>
                    </a:xfrm>
                    <a:prstGeom prst="rect">
                      <a:avLst/>
                    </a:prstGeom>
                    <a:noFill/>
                    <a:ln>
                      <a:noFill/>
                    </a:ln>
                  </pic:spPr>
                </pic:pic>
              </a:graphicData>
            </a:graphic>
          </wp:anchor>
        </w:drawing>
      </w:r>
      <w:r>
        <w:rPr>
          <w:rFonts w:hint="default" w:ascii="Times New Roman" w:hAnsi="Times New Roman" w:eastAsia="宋体" w:cs="Times New Roman"/>
          <w:color w:val="auto"/>
        </w:rPr>
        <w:t>（2）计算所有室内声源在靠近围护结构处产生的总倍频带声压级：</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81792" behindDoc="0" locked="0" layoutInCell="1" allowOverlap="1">
            <wp:simplePos x="0" y="0"/>
            <wp:positionH relativeFrom="column">
              <wp:posOffset>1314450</wp:posOffset>
            </wp:positionH>
            <wp:positionV relativeFrom="paragraph">
              <wp:posOffset>902335</wp:posOffset>
            </wp:positionV>
            <wp:extent cx="2228850" cy="292100"/>
            <wp:effectExtent l="0" t="0" r="0" b="12700"/>
            <wp:wrapTopAndBottom/>
            <wp:docPr id="125"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411"/>
                    <pic:cNvPicPr>
                      <a:picLocks noChangeAspect="1"/>
                    </pic:cNvPicPr>
                  </pic:nvPicPr>
                  <pic:blipFill>
                    <a:blip r:embed="rId64"/>
                    <a:stretch>
                      <a:fillRect/>
                    </a:stretch>
                  </pic:blipFill>
                  <pic:spPr>
                    <a:xfrm>
                      <a:off x="0" y="0"/>
                      <a:ext cx="2228850" cy="292100"/>
                    </a:xfrm>
                    <a:prstGeom prst="rect">
                      <a:avLst/>
                    </a:prstGeom>
                    <a:noFill/>
                    <a:ln>
                      <a:noFill/>
                    </a:ln>
                  </pic:spPr>
                </pic:pic>
              </a:graphicData>
            </a:graphic>
          </wp:anchor>
        </w:drawing>
      </w:r>
      <w:r>
        <w:rPr>
          <w:rFonts w:hint="default" w:ascii="Times New Roman" w:hAnsi="Times New Roman" w:eastAsia="宋体" w:cs="Times New Roman"/>
          <w:color w:val="auto"/>
        </w:rPr>
        <w:t>（3）计算室外靠近围护结构处的声压级：</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82816" behindDoc="0" locked="0" layoutInCell="1" allowOverlap="1">
            <wp:simplePos x="0" y="0"/>
            <wp:positionH relativeFrom="column">
              <wp:posOffset>1600200</wp:posOffset>
            </wp:positionH>
            <wp:positionV relativeFrom="paragraph">
              <wp:posOffset>1049655</wp:posOffset>
            </wp:positionV>
            <wp:extent cx="1714500" cy="241300"/>
            <wp:effectExtent l="0" t="0" r="0" b="6350"/>
            <wp:wrapTopAndBottom/>
            <wp:docPr id="126"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412"/>
                    <pic:cNvPicPr>
                      <a:picLocks noChangeAspect="1"/>
                    </pic:cNvPicPr>
                  </pic:nvPicPr>
                  <pic:blipFill>
                    <a:blip r:embed="rId65"/>
                    <a:stretch>
                      <a:fillRect/>
                    </a:stretch>
                  </pic:blipFill>
                  <pic:spPr>
                    <a:xfrm>
                      <a:off x="0" y="0"/>
                      <a:ext cx="1714500" cy="241300"/>
                    </a:xfrm>
                    <a:prstGeom prst="rect">
                      <a:avLst/>
                    </a:prstGeom>
                    <a:noFill/>
                    <a:ln>
                      <a:noFill/>
                    </a:ln>
                  </pic:spPr>
                </pic:pic>
              </a:graphicData>
            </a:graphic>
          </wp:anchor>
        </w:drawing>
      </w:r>
      <w:r>
        <w:rPr>
          <w:rFonts w:hint="default" w:ascii="Times New Roman" w:hAnsi="Times New Roman" w:eastAsia="宋体" w:cs="Times New Roman"/>
          <w:color w:val="auto"/>
        </w:rPr>
        <w:t>（4）将室外声级</w:t>
      </w:r>
      <w:r>
        <w:rPr>
          <w:rFonts w:hint="default" w:ascii="Times New Roman" w:hAnsi="Times New Roman" w:eastAsia="宋体" w:cs="Times New Roman"/>
          <w:color w:val="auto"/>
          <w:position w:val="-10"/>
        </w:rPr>
        <w:object>
          <v:shape id="_x0000_i1038" o:spt="75" type="#_x0000_t75" style="height:17pt;width:36pt;" o:ole="t" filled="f" o:preferrelative="t" stroked="f" coordsize="21600,21600">
            <v:path/>
            <v:fill on="f" focussize="0,0"/>
            <v:stroke on="f"/>
            <v:imagedata r:id="rId67" o:title=""/>
            <o:lock v:ext="edit" grouping="f" rotation="f" text="f" aspectratio="t"/>
            <w10:wrap type="none"/>
            <w10:anchorlock/>
          </v:shape>
          <o:OLEObject Type="Embed" ProgID="Equation.3" ShapeID="_x0000_i1038" DrawAspect="Content" ObjectID="_1468075738" r:id="rId66">
            <o:LockedField>false</o:LockedField>
          </o:OLEObject>
        </w:object>
      </w:r>
      <w:r>
        <w:rPr>
          <w:rFonts w:hint="default" w:ascii="Times New Roman" w:hAnsi="Times New Roman" w:eastAsia="宋体" w:cs="Times New Roman"/>
          <w:color w:val="auto"/>
        </w:rPr>
        <w:t>和透声面积换算成等效的室外声源，计算等效声源倍频带的声功率级</w:t>
      </w:r>
      <w:r>
        <w:rPr>
          <w:rFonts w:hint="default" w:ascii="Times New Roman" w:hAnsi="Times New Roman" w:eastAsia="宋体" w:cs="Times New Roman"/>
          <w:color w:val="auto"/>
          <w:position w:val="-12"/>
        </w:rPr>
        <w:object>
          <v:shape id="_x0000_i1039" o:spt="75" type="#_x0000_t75" style="height:18pt;width:16pt;" o:ole="t" filled="f" o:preferrelative="t" stroked="f" coordsize="21600,21600">
            <v:path/>
            <v:fill on="f" focussize="0,0"/>
            <v:stroke on="f"/>
            <v:imagedata r:id="rId69" o:title=""/>
            <o:lock v:ext="edit" grouping="f" rotation="f" text="f" aspectratio="t"/>
            <w10:wrap type="none"/>
            <w10:anchorlock/>
          </v:shape>
          <o:OLEObject Type="Embed" ProgID="Equation.3" ShapeID="_x0000_i1039" DrawAspect="Content" ObjectID="_1468075739" r:id="rId68">
            <o:LockedField>false</o:LockedField>
          </o:OLEObject>
        </w:object>
      </w:r>
      <w:r>
        <w:rPr>
          <w:rFonts w:hint="default" w:ascii="Times New Roman" w:hAnsi="Times New Roman" w:eastAsia="宋体" w:cs="Times New Roman"/>
          <w:color w:val="auto"/>
        </w:rPr>
        <w:t>：</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t>式中：</w:t>
      </w:r>
      <w:r>
        <w:rPr>
          <w:rFonts w:hint="default" w:ascii="Times New Roman" w:hAnsi="Times New Roman" w:eastAsia="宋体" w:cs="Times New Roman"/>
          <w:color w:val="auto"/>
          <w:position w:val="-6"/>
        </w:rPr>
        <w:object>
          <v:shape id="_x0000_i1040" o:spt="75" type="#_x0000_t75" style="height:13.95pt;width:11pt;" o:ole="t" filled="f" stroked="f" coordsize="21600,21600">
            <v:path/>
            <v:fill on="f" focussize="0,0"/>
            <v:stroke on="f"/>
            <v:imagedata r:id="rId71" o:title=""/>
            <o:lock v:ext="edit" grouping="f" rotation="f" text="f" aspectratio="t"/>
            <w10:wrap type="none"/>
            <w10:anchorlock/>
          </v:shape>
          <o:OLEObject Type="Embed" ProgID="Equation.3" ShapeID="_x0000_i1040" DrawAspect="Content" ObjectID="_1468075740" r:id="rId70">
            <o:LockedField>false</o:LockedField>
          </o:OLEObject>
        </w:object>
      </w:r>
      <w:r>
        <w:rPr>
          <w:rFonts w:hint="default" w:ascii="Times New Roman" w:hAnsi="Times New Roman" w:eastAsia="宋体" w:cs="Times New Roman"/>
          <w:color w:val="auto"/>
        </w:rPr>
        <w:t xml:space="preserve"> — 透声面积，m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t>（5）等效室外声源的位置为围护结构的位置，其倍频带声功率级为</w:t>
      </w:r>
      <w:r>
        <w:rPr>
          <w:rFonts w:hint="default" w:ascii="Times New Roman" w:hAnsi="Times New Roman" w:eastAsia="宋体" w:cs="Times New Roman"/>
          <w:color w:val="auto"/>
          <w:position w:val="-12"/>
        </w:rPr>
        <w:object>
          <v:shape id="_x0000_i1041" o:spt="75" type="#_x0000_t75" style="height:18pt;width:16pt;" o:ole="t" filled="f" o:preferrelative="t" stroked="f" coordsize="21600,21600">
            <v:path/>
            <v:fill on="f" focussize="0,0"/>
            <v:stroke on="f"/>
            <v:imagedata r:id="rId73" o:title=""/>
            <o:lock v:ext="edit" grouping="f" rotation="f" text="f" aspectratio="t"/>
            <w10:wrap type="none"/>
            <w10:anchorlock/>
          </v:shape>
          <o:OLEObject Type="Embed" ProgID="Equation.3" ShapeID="_x0000_i1041" DrawAspect="Content" ObjectID="_1468075741" r:id="rId72">
            <o:LockedField>false</o:LockedField>
          </o:OLEObject>
        </w:object>
      </w:r>
      <w:r>
        <w:rPr>
          <w:rFonts w:hint="default" w:ascii="Times New Roman" w:hAnsi="Times New Roman" w:eastAsia="宋体" w:cs="Times New Roman"/>
          <w:color w:val="auto"/>
        </w:rPr>
        <w:t>，由此按室外声源方法计算等效室外声源在预测点产生的声级。</w:t>
      </w:r>
    </w:p>
    <w:p>
      <w:pPr>
        <w:pStyle w:val="227"/>
        <w:spacing w:line="520" w:lineRule="exact"/>
        <w:rPr>
          <w:rFonts w:hint="default" w:ascii="Times New Roman" w:hAnsi="Times New Roman" w:eastAsia="宋体" w:cs="Times New Roman"/>
          <w:color w:val="auto"/>
        </w:rPr>
      </w:pPr>
      <w:r>
        <w:rPr>
          <w:rFonts w:hint="default" w:ascii="Times New Roman" w:hAnsi="Times New Roman" w:eastAsia="宋体" w:cs="Times New Roman"/>
          <w:color w:val="auto"/>
        </w:rPr>
        <w:t>（6）计算某个室外声源在预测点产生的声级：</w:t>
      </w:r>
    </w:p>
    <w:p>
      <w:pPr>
        <w:pStyle w:val="227"/>
        <w:spacing w:line="5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L</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=L</w:t>
      </w:r>
      <w:r>
        <w:rPr>
          <w:rFonts w:hint="default" w:ascii="Times New Roman" w:hAnsi="Times New Roman" w:eastAsia="宋体" w:cs="Times New Roman"/>
          <w:color w:val="auto"/>
          <w:vertAlign w:val="subscript"/>
        </w:rPr>
        <w:t>1</w:t>
      </w:r>
      <w:r>
        <w:rPr>
          <w:rFonts w:hint="default" w:ascii="Times New Roman" w:hAnsi="Times New Roman" w:eastAsia="宋体" w:cs="Times New Roman"/>
          <w:color w:val="auto"/>
        </w:rPr>
        <w:t>-20lgr</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/r</w:t>
      </w:r>
      <w:r>
        <w:rPr>
          <w:rFonts w:hint="default" w:ascii="Times New Roman" w:hAnsi="Times New Roman" w:eastAsia="宋体" w:cs="Times New Roman"/>
          <w:color w:val="auto"/>
          <w:vertAlign w:val="subscript"/>
        </w:rPr>
        <w:t>1</w:t>
      </w:r>
    </w:p>
    <w:p>
      <w:pPr>
        <w:pStyle w:val="227"/>
        <w:spacing w:line="520" w:lineRule="exact"/>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式中： </w:t>
      </w:r>
    </w:p>
    <w:p>
      <w:pPr>
        <w:pStyle w:val="227"/>
        <w:spacing w:line="520" w:lineRule="exact"/>
        <w:ind w:firstLine="1200" w:firstLineChars="5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12"/>
        </w:rPr>
        <w:object>
          <v:shape id="_x0000_i1042" o:spt="75" type="#_x0000_t75" style="height:18pt;width:11pt;" o:ole="t" filled="f" o:preferrelative="t" stroked="f" coordsize="21600,21600">
            <v:path/>
            <v:fill on="f" focussize="0,0"/>
            <v:stroke on="f"/>
            <v:imagedata r:id="rId75" o:title=""/>
            <o:lock v:ext="edit" grouping="f" rotation="f" text="f" aspectratio="t"/>
            <w10:wrap type="none"/>
            <w10:anchorlock/>
          </v:shape>
          <o:OLEObject Type="Embed" ProgID="Equation.3" ShapeID="_x0000_i1042" DrawAspect="Content" ObjectID="_1468075742" r:id="rId74">
            <o:LockedField>false</o:LockedField>
          </o:OLEObject>
        </w:object>
      </w:r>
      <w:r>
        <w:rPr>
          <w:rFonts w:hint="default" w:ascii="Times New Roman" w:hAnsi="Times New Roman" w:eastAsia="宋体" w:cs="Times New Roman"/>
          <w:color w:val="auto"/>
        </w:rPr>
        <w:t xml:space="preserve"> — 预测点距声源的距离，m</w:t>
      </w:r>
      <w:r>
        <w:rPr>
          <w:rFonts w:hint="eastAsia" w:ascii="Times New Roman" w:hAnsi="Times New Roman" w:eastAsia="宋体" w:cs="宋体"/>
          <w:color w:val="auto"/>
          <w:lang w:eastAsia="zh-CN"/>
        </w:rPr>
        <w:t>；</w:t>
      </w:r>
    </w:p>
    <w:p>
      <w:pPr>
        <w:pStyle w:val="227"/>
        <w:spacing w:line="520" w:lineRule="exact"/>
        <w:ind w:firstLine="1200" w:firstLineChars="5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12"/>
        </w:rPr>
        <w:object>
          <v:shape id="_x0000_i1043" o:spt="75" type="#_x0000_t75" style="height:18pt;width:10pt;" o:ole="t" filled="f" o:preferrelative="t" stroked="f" coordsize="21600,21600">
            <v:path/>
            <v:fill on="f" focussize="0,0"/>
            <v:stroke on="f"/>
            <v:imagedata r:id="rId77" o:title=""/>
            <o:lock v:ext="edit" grouping="f" rotation="f" text="f" aspectratio="t"/>
            <w10:wrap type="none"/>
            <w10:anchorlock/>
          </v:shape>
          <o:OLEObject Type="Embed" ProgID="Equation.3" ShapeID="_x0000_i1043" DrawAspect="Content" ObjectID="_1468075743" r:id="rId76">
            <o:LockedField>false</o:LockedField>
          </o:OLEObject>
        </w:object>
      </w:r>
      <w:r>
        <w:rPr>
          <w:rFonts w:hint="default" w:ascii="Times New Roman" w:hAnsi="Times New Roman" w:eastAsia="宋体" w:cs="Times New Roman"/>
          <w:color w:val="auto"/>
        </w:rPr>
        <w:t xml:space="preserve"> — 参考位置距声源的距离，m</w:t>
      </w:r>
      <w:r>
        <w:rPr>
          <w:rFonts w:hint="eastAsia" w:ascii="Times New Roman" w:hAnsi="Times New Roman" w:eastAsia="宋体" w:cs="宋体"/>
          <w:color w:val="auto"/>
          <w:lang w:eastAsia="zh-CN"/>
        </w:rPr>
        <w:t>；</w:t>
      </w:r>
    </w:p>
    <w:p>
      <w:pPr>
        <w:pStyle w:val="227"/>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（7）计算噪声贡献值</w:t>
      </w:r>
    </w:p>
    <w:p>
      <w:pPr>
        <w:pStyle w:val="227"/>
        <w:spacing w:line="360" w:lineRule="auto"/>
        <w:jc w:val="left"/>
        <w:rPr>
          <w:rFonts w:hint="default" w:ascii="Times New Roman" w:hAnsi="Times New Roman" w:eastAsia="宋体" w:cs="Times New Roman"/>
          <w:color w:val="auto"/>
        </w:rPr>
      </w:pPr>
      <w:r>
        <w:rPr>
          <w:rFonts w:hint="default" w:ascii="Times New Roman" w:hAnsi="Times New Roman" w:eastAsia="宋体" w:cs="Times New Roman"/>
          <w:color w:val="auto"/>
        </w:rPr>
        <w:t>设第i个室外声源在预测点产生的A声级为L</w:t>
      </w:r>
      <w:r>
        <w:rPr>
          <w:rFonts w:hint="default" w:ascii="Times New Roman" w:hAnsi="Times New Roman" w:eastAsia="宋体" w:cs="Times New Roman"/>
          <w:color w:val="auto"/>
          <w:vertAlign w:val="subscript"/>
        </w:rPr>
        <w:t>Ai</w:t>
      </w:r>
      <w:r>
        <w:rPr>
          <w:rFonts w:hint="default" w:ascii="Times New Roman" w:hAnsi="Times New Roman" w:eastAsia="宋体" w:cs="Times New Roman"/>
          <w:color w:val="auto"/>
        </w:rPr>
        <w:t>，在T时间内该声源工作时间为t</w:t>
      </w:r>
      <w:r>
        <w:rPr>
          <w:rFonts w:hint="default" w:ascii="Times New Roman" w:hAnsi="Times New Roman" w:eastAsia="宋体" w:cs="Times New Roman"/>
          <w:color w:val="auto"/>
          <w:vertAlign w:val="subscript"/>
        </w:rPr>
        <w:t>i</w:t>
      </w:r>
      <w:r>
        <w:rPr>
          <w:rFonts w:hint="eastAsia" w:ascii="Times New Roman" w:hAnsi="Times New Roman" w:eastAsia="宋体" w:cs="宋体"/>
          <w:color w:val="auto"/>
          <w:lang w:eastAsia="zh-CN"/>
        </w:rPr>
        <w:t>；</w:t>
      </w:r>
      <w:r>
        <w:rPr>
          <w:rFonts w:hint="default" w:ascii="Times New Roman" w:hAnsi="Times New Roman" w:eastAsia="宋体" w:cs="Times New Roman"/>
          <w:color w:val="auto"/>
        </w:rPr>
        <w:t>第j个等效室外声源在预测点产生的A声级为L</w:t>
      </w:r>
      <w:r>
        <w:rPr>
          <w:rFonts w:hint="default" w:ascii="Times New Roman" w:hAnsi="Times New Roman" w:eastAsia="宋体" w:cs="Times New Roman"/>
          <w:color w:val="auto"/>
          <w:vertAlign w:val="subscript"/>
        </w:rPr>
        <w:t>Aj</w:t>
      </w:r>
      <w:r>
        <w:rPr>
          <w:rFonts w:hint="default" w:ascii="Times New Roman" w:hAnsi="Times New Roman" w:eastAsia="宋体" w:cs="Times New Roman"/>
          <w:color w:val="auto"/>
        </w:rPr>
        <w:t>，在T时间内该声源工作时间为t</w:t>
      </w:r>
      <w:r>
        <w:rPr>
          <w:rFonts w:hint="default" w:ascii="Times New Roman" w:hAnsi="Times New Roman" w:eastAsia="宋体" w:cs="Times New Roman"/>
          <w:color w:val="auto"/>
          <w:vertAlign w:val="subscript"/>
        </w:rPr>
        <w:t>j</w:t>
      </w:r>
      <w:r>
        <w:rPr>
          <w:rFonts w:hint="default" w:ascii="Times New Roman" w:hAnsi="Times New Roman" w:eastAsia="宋体" w:cs="Times New Roman"/>
          <w:color w:val="auto"/>
        </w:rPr>
        <w:t>，则拟建工程声源对预测点产生的贡献值（L</w:t>
      </w:r>
      <w:r>
        <w:rPr>
          <w:rFonts w:hint="default" w:ascii="Times New Roman" w:hAnsi="Times New Roman" w:eastAsia="宋体" w:cs="Times New Roman"/>
          <w:color w:val="auto"/>
          <w:vertAlign w:val="subscript"/>
        </w:rPr>
        <w:t>eqg</w:t>
      </w:r>
      <w:r>
        <w:rPr>
          <w:rFonts w:hint="default" w:ascii="Times New Roman" w:hAnsi="Times New Roman" w:eastAsia="宋体" w:cs="Times New Roman"/>
          <w:color w:val="auto"/>
        </w:rPr>
        <w:t>）为：</w:t>
      </w:r>
    </w:p>
    <w:p>
      <w:pPr>
        <w:pStyle w:val="22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3086100" cy="570230"/>
            <wp:effectExtent l="0" t="0" r="0" b="1270"/>
            <wp:docPr id="19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413"/>
                    <pic:cNvPicPr>
                      <a:picLocks noChangeAspect="1"/>
                    </pic:cNvPicPr>
                  </pic:nvPicPr>
                  <pic:blipFill>
                    <a:blip r:embed="rId78"/>
                    <a:stretch>
                      <a:fillRect/>
                    </a:stretch>
                  </pic:blipFill>
                  <pic:spPr>
                    <a:xfrm>
                      <a:off x="0" y="0"/>
                      <a:ext cx="3086100" cy="570230"/>
                    </a:xfrm>
                    <a:prstGeom prst="rect">
                      <a:avLst/>
                    </a:prstGeom>
                    <a:noFill/>
                    <a:ln>
                      <a:noFill/>
                    </a:ln>
                  </pic:spPr>
                </pic:pic>
              </a:graphicData>
            </a:graphic>
          </wp:inline>
        </w:drawing>
      </w:r>
    </w:p>
    <w:p>
      <w:pPr>
        <w:pStyle w:val="227"/>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 xml:space="preserve">式中： </w:t>
      </w:r>
      <w:r>
        <w:rPr>
          <w:rFonts w:hint="default" w:ascii="Times New Roman" w:hAnsi="Times New Roman" w:eastAsia="宋体" w:cs="Times New Roman"/>
          <w:color w:val="auto"/>
          <w:position w:val="-4"/>
        </w:rPr>
        <w:object>
          <v:shape id="_x0000_i1044" o:spt="75" type="#_x0000_t75" style="height:13pt;width:11pt;" o:ole="t" filled="f" stroked="f" coordsize="21600,21600">
            <v:path/>
            <v:fill on="f" focussize="0,0"/>
            <v:stroke on="f"/>
            <v:imagedata r:id="rId80" o:title=""/>
            <o:lock v:ext="edit" grouping="f" rotation="f" text="f" aspectratio="t"/>
            <w10:wrap type="none"/>
            <w10:anchorlock/>
          </v:shape>
          <o:OLEObject Type="Embed" ProgID="Equation.3" ShapeID="_x0000_i1044" DrawAspect="Content" ObjectID="_1468075744" r:id="rId79">
            <o:LockedField>false</o:LockedField>
          </o:OLEObject>
        </w:object>
      </w:r>
      <w:r>
        <w:rPr>
          <w:rFonts w:hint="default" w:ascii="Times New Roman" w:hAnsi="Times New Roman" w:eastAsia="宋体" w:cs="Times New Roman"/>
          <w:color w:val="auto"/>
        </w:rPr>
        <w:t xml:space="preserve"> — 计算等效声级的时间，h</w:t>
      </w:r>
      <w:r>
        <w:rPr>
          <w:rFonts w:hint="eastAsia" w:ascii="Times New Roman" w:hAnsi="Times New Roman" w:eastAsia="宋体" w:cs="宋体"/>
          <w:color w:val="auto"/>
          <w:lang w:eastAsia="zh-CN"/>
        </w:rPr>
        <w:t>；</w:t>
      </w:r>
    </w:p>
    <w:p>
      <w:pPr>
        <w:pStyle w:val="227"/>
        <w:ind w:firstLine="1260" w:firstLineChars="525"/>
        <w:rPr>
          <w:rFonts w:hint="eastAsia" w:ascii="Times New Roman" w:hAnsi="Times New Roman" w:eastAsia="宋体" w:cs="Times New Roman"/>
          <w:color w:val="auto"/>
          <w:lang w:eastAsia="zh-CN"/>
        </w:rPr>
      </w:pPr>
      <w:r>
        <w:rPr>
          <w:rFonts w:hint="default" w:ascii="Times New Roman" w:hAnsi="Times New Roman" w:eastAsia="宋体" w:cs="Times New Roman"/>
          <w:color w:val="auto"/>
          <w:position w:val="-6"/>
        </w:rPr>
        <w:object>
          <v:shape id="_x0000_i1045" o:spt="75" type="#_x0000_t75" style="height:13.95pt;width:13.95pt;" o:ole="t" filled="f" stroked="f" coordsize="21600,21600">
            <v:path/>
            <v:fill on="f" focussize="0,0"/>
            <v:stroke on="f"/>
            <v:imagedata r:id="rId82" o:title=""/>
            <o:lock v:ext="edit" grouping="f" rotation="f" text="f" aspectratio="t"/>
            <w10:wrap type="none"/>
            <w10:anchorlock/>
          </v:shape>
          <o:OLEObject Type="Embed" ProgID="Equation.3" ShapeID="_x0000_i1045" DrawAspect="Content" ObjectID="_1468075745" r:id="rId81">
            <o:LockedField>false</o:LockedField>
          </o:OLEObject>
        </w:object>
      </w:r>
      <w:r>
        <w:rPr>
          <w:rFonts w:hint="default" w:ascii="Times New Roman" w:hAnsi="Times New Roman" w:eastAsia="宋体" w:cs="Times New Roman"/>
          <w:color w:val="auto"/>
        </w:rPr>
        <w:t xml:space="preserve"> — 室外声源个数</w:t>
      </w:r>
      <w:r>
        <w:rPr>
          <w:rFonts w:hint="eastAsia" w:ascii="Times New Roman" w:hAnsi="Times New Roman" w:eastAsia="宋体" w:cs="宋体"/>
          <w:color w:val="auto"/>
          <w:lang w:eastAsia="zh-CN"/>
        </w:rPr>
        <w:t>；</w:t>
      </w:r>
    </w:p>
    <w:p>
      <w:pPr>
        <w:snapToGrid w:val="0"/>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position w:val="-4"/>
          <w:sz w:val="24"/>
        </w:rPr>
        <w:object>
          <v:shape id="_x0000_i1046" o:spt="75" type="#_x0000_t75" style="height:13pt;width:16pt;" o:ole="t" filled="f" stroked="f" coordsize="21600,21600">
            <v:path/>
            <v:fill on="f" focussize="0,0"/>
            <v:stroke on="f"/>
            <v:imagedata r:id="rId84" o:title=""/>
            <o:lock v:ext="edit" grouping="f" rotation="f" text="f" aspectratio="t"/>
            <w10:wrap type="none"/>
            <w10:anchorlock/>
          </v:shape>
          <o:OLEObject Type="Embed" ProgID="Equation.3" ShapeID="_x0000_i1046" DrawAspect="Content" ObjectID="_1468075746" r:id="rId83">
            <o:LockedField>false</o:LockedField>
          </o:OLEObject>
        </w:object>
      </w:r>
      <w:r>
        <w:rPr>
          <w:rFonts w:hint="default" w:ascii="Times New Roman" w:hAnsi="Times New Roman" w:eastAsia="宋体" w:cs="Times New Roman"/>
          <w:color w:val="auto"/>
          <w:sz w:val="24"/>
        </w:rPr>
        <w:t xml:space="preserve"> — 等效室外声源个数。</w:t>
      </w:r>
      <w:bookmarkEnd w:id="87"/>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一个大型机器设备的振动表面，车间透声的墙壁，均可以认为是面声源。如果已知面声源单位面积的声功率为</w:t>
      </w:r>
      <w:r>
        <w:rPr>
          <w:rFonts w:hint="default" w:ascii="Times New Roman" w:hAnsi="Times New Roman" w:eastAsia="宋体" w:cs="Times New Roman"/>
          <w:i/>
          <w:iCs/>
          <w:color w:val="auto"/>
        </w:rPr>
        <w:t>W</w:t>
      </w:r>
      <w:r>
        <w:rPr>
          <w:rFonts w:hint="default" w:ascii="Times New Roman" w:hAnsi="Times New Roman" w:eastAsia="宋体" w:cs="Times New Roman"/>
          <w:color w:val="auto"/>
        </w:rPr>
        <w:t xml:space="preserve">，各面积元噪声的位相是随机的，面声源可看做由无数点声源连续分布组合而成，其合成声级可按能量叠加法求出。 </w:t>
      </w:r>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下图</w:t>
      </w:r>
      <w:r>
        <w:rPr>
          <w:rFonts w:hint="default" w:ascii="Times New Roman" w:hAnsi="Times New Roman" w:eastAsia="宋体" w:cs="Times New Roman"/>
          <w:color w:val="auto"/>
        </w:rPr>
        <w:t>给出了长方形面声源中心轴线上的声衰减曲线。当预测点和面声源中心距离</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处于以下条件时，可按下述方法近似计算：</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/π时，几乎不衰减（</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div≈0）</w:t>
      </w:r>
      <w:r>
        <w:rPr>
          <w:rFonts w:hint="eastAsia" w:ascii="Times New Roman" w:hAnsi="Times New Roman" w:eastAsia="宋体" w:cs="宋体"/>
          <w:color w:val="auto"/>
          <w:lang w:eastAsia="zh-CN"/>
        </w:rPr>
        <w:t>；</w:t>
      </w:r>
      <w:r>
        <w:rPr>
          <w:rFonts w:hint="default" w:ascii="Times New Roman" w:hAnsi="Times New Roman" w:eastAsia="宋体" w:cs="Times New Roman"/>
          <w:color w:val="auto"/>
        </w:rPr>
        <w:t>当</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/π＜</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b</w:t>
      </w:r>
      <w:r>
        <w:rPr>
          <w:rFonts w:hint="default" w:ascii="Times New Roman" w:hAnsi="Times New Roman" w:eastAsia="宋体" w:cs="Times New Roman"/>
          <w:color w:val="auto"/>
        </w:rPr>
        <w:t>/π，距离加倍衰减3 dB左右，类似线声源衰减特性[</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div≈10 lg(</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0)]</w:t>
      </w:r>
      <w:r>
        <w:rPr>
          <w:rFonts w:hint="eastAsia" w:ascii="Times New Roman" w:hAnsi="Times New Roman" w:eastAsia="宋体" w:cs="宋体"/>
          <w:color w:val="auto"/>
          <w:lang w:eastAsia="zh-CN"/>
        </w:rPr>
        <w:t>；</w:t>
      </w:r>
      <w:r>
        <w:rPr>
          <w:rFonts w:hint="default" w:ascii="Times New Roman" w:hAnsi="Times New Roman" w:eastAsia="宋体" w:cs="Times New Roman"/>
          <w:color w:val="auto"/>
        </w:rPr>
        <w:t>当</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b</w:t>
      </w:r>
      <w:r>
        <w:rPr>
          <w:rFonts w:hint="default" w:ascii="Times New Roman" w:hAnsi="Times New Roman" w:eastAsia="宋体" w:cs="Times New Roman"/>
          <w:color w:val="auto"/>
        </w:rPr>
        <w:t>/π时，距离加倍衰减趋近于6 dB，类似点声源衰减特性[</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div≈20 lg(</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r</w:t>
      </w:r>
      <w:r>
        <w:rPr>
          <w:rFonts w:hint="default" w:ascii="Times New Roman" w:hAnsi="Times New Roman" w:eastAsia="宋体" w:cs="Times New Roman"/>
          <w:color w:val="auto"/>
        </w:rPr>
        <w:t>0)]。其中面声源的</w:t>
      </w:r>
      <w:r>
        <w:rPr>
          <w:rFonts w:hint="default" w:ascii="Times New Roman" w:hAnsi="Times New Roman" w:eastAsia="宋体" w:cs="Times New Roman"/>
          <w:i/>
          <w:iCs/>
          <w:color w:val="auto"/>
        </w:rPr>
        <w:t>b</w:t>
      </w:r>
      <w:r>
        <w:rPr>
          <w:rFonts w:hint="default" w:ascii="Times New Roman" w:hAnsi="Times New Roman" w:eastAsia="宋体" w:cs="Times New Roman"/>
          <w:color w:val="auto"/>
        </w:rPr>
        <w:t>＞</w:t>
      </w:r>
      <w:r>
        <w:rPr>
          <w:rFonts w:hint="default" w:ascii="Times New Roman" w:hAnsi="Times New Roman" w:eastAsia="宋体" w:cs="Times New Roman"/>
          <w:i/>
          <w:iCs/>
          <w:color w:val="auto"/>
        </w:rPr>
        <w:t>a</w:t>
      </w:r>
      <w:r>
        <w:rPr>
          <w:rFonts w:hint="default" w:ascii="Times New Roman" w:hAnsi="Times New Roman" w:eastAsia="宋体" w:cs="Times New Roman"/>
          <w:color w:val="auto"/>
        </w:rPr>
        <w:t>。图中虚线为实际衰减量。</w:t>
      </w:r>
    </w:p>
    <w:p>
      <w:pPr>
        <w:pStyle w:val="124"/>
        <w:spacing w:before="0" w:line="360" w:lineRule="auto"/>
        <w:ind w:left="0" w:leftChars="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3584575" cy="3053715"/>
            <wp:effectExtent l="0" t="0" r="15875" b="13335"/>
            <wp:docPr id="1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5"/>
                    <pic:cNvPicPr>
                      <a:picLocks noChangeAspect="1"/>
                    </pic:cNvPicPr>
                  </pic:nvPicPr>
                  <pic:blipFill>
                    <a:blip r:embed="rId85"/>
                    <a:stretch>
                      <a:fillRect/>
                    </a:stretch>
                  </pic:blipFill>
                  <pic:spPr>
                    <a:xfrm>
                      <a:off x="0" y="0"/>
                      <a:ext cx="3584575" cy="3053715"/>
                    </a:xfrm>
                    <a:prstGeom prst="rect">
                      <a:avLst/>
                    </a:prstGeom>
                    <a:noFill/>
                    <a:ln>
                      <a:noFill/>
                    </a:ln>
                  </pic:spPr>
                </pic:pic>
              </a:graphicData>
            </a:graphic>
          </wp:inline>
        </w:drawing>
      </w:r>
    </w:p>
    <w:p>
      <w:pPr>
        <w:pStyle w:val="124"/>
        <w:spacing w:before="0" w:line="240" w:lineRule="auto"/>
        <w:ind w:firstLine="482"/>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图</w:t>
      </w:r>
      <w:r>
        <w:rPr>
          <w:rFonts w:hint="eastAsia" w:ascii="Times New Roman" w:hAnsi="Times New Roman" w:eastAsia="宋体" w:cs="Times New Roman"/>
          <w:b/>
          <w:color w:val="auto"/>
          <w:lang w:val="en-US" w:eastAsia="zh-CN"/>
        </w:rPr>
        <w:t>6</w:t>
      </w:r>
      <w:r>
        <w:rPr>
          <w:rFonts w:hint="default" w:ascii="Times New Roman" w:hAnsi="Times New Roman" w:eastAsia="宋体" w:cs="Times New Roman"/>
          <w:b/>
          <w:color w:val="auto"/>
          <w:lang w:val="en-US" w:eastAsia="zh-CN"/>
        </w:rPr>
        <w:t>.2</w:t>
      </w:r>
      <w:r>
        <w:rPr>
          <w:rFonts w:hint="eastAsia" w:ascii="Times New Roman" w:hAnsi="Times New Roman" w:eastAsia="宋体" w:cs="Times New Roman"/>
          <w:b/>
          <w:color w:val="auto"/>
          <w:lang w:val="en-US" w:eastAsia="zh-CN"/>
        </w:rPr>
        <w:t>-</w:t>
      </w:r>
      <w:r>
        <w:rPr>
          <w:rFonts w:hint="default" w:ascii="Times New Roman" w:hAnsi="Times New Roman" w:eastAsia="宋体" w:cs="Times New Roman"/>
          <w:b/>
          <w:color w:val="auto"/>
          <w:lang w:val="en-US" w:eastAsia="zh-CN"/>
        </w:rPr>
        <w:t>1</w:t>
      </w:r>
      <w:r>
        <w:rPr>
          <w:rFonts w:hint="default" w:ascii="Times New Roman" w:hAnsi="Times New Roman" w:eastAsia="宋体" w:cs="Times New Roman"/>
          <w:b/>
          <w:color w:val="auto"/>
        </w:rPr>
        <w:t>长方形面源中心轴线上的衰减特性</w:t>
      </w:r>
    </w:p>
    <w:p>
      <w:pPr>
        <w:pStyle w:val="124"/>
        <w:spacing w:before="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②预测结果</w:t>
      </w:r>
    </w:p>
    <w:p>
      <w:pPr>
        <w:pStyle w:val="124"/>
        <w:spacing w:before="0" w:line="360" w:lineRule="auto"/>
        <w:ind w:firstLine="48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本次评价</w:t>
      </w:r>
      <w:r>
        <w:rPr>
          <w:rFonts w:hint="default" w:ascii="Times New Roman" w:hAnsi="Times New Roman" w:eastAsia="宋体" w:cs="Times New Roman"/>
          <w:color w:val="auto"/>
        </w:rPr>
        <w:t>对冷却塔</w:t>
      </w:r>
      <w:r>
        <w:rPr>
          <w:rFonts w:hint="eastAsia" w:ascii="Times New Roman" w:cs="Times New Roman"/>
          <w:color w:val="auto"/>
          <w:lang w:eastAsia="zh-CN"/>
        </w:rPr>
        <w:t>南北路两侧病房</w:t>
      </w:r>
      <w:r>
        <w:rPr>
          <w:rFonts w:hint="default" w:ascii="Times New Roman" w:hAnsi="Times New Roman" w:eastAsia="宋体" w:cs="Times New Roman"/>
          <w:color w:val="auto"/>
        </w:rPr>
        <w:t>进行了预测，噪声影响预测结果见表</w:t>
      </w:r>
      <w:r>
        <w:rPr>
          <w:rFonts w:hint="eastAsia" w:ascii="Times New Roman" w:hAnsi="Times New Roman" w:eastAsia="宋体" w:cs="Times New Roman"/>
          <w:color w:val="auto"/>
          <w:lang w:val="en-US" w:eastAsia="zh-CN"/>
        </w:rPr>
        <w:t>6</w:t>
      </w:r>
      <w:r>
        <w:rPr>
          <w:rFonts w:hint="default" w:ascii="Times New Roman" w:hAnsi="Times New Roman" w:eastAsia="宋体" w:cs="Times New Roman"/>
          <w:color w:val="auto"/>
        </w:rPr>
        <w:t>.</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rPr>
        <w:t>-2</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rPr>
        <w:t>。</w:t>
      </w:r>
    </w:p>
    <w:p>
      <w:pPr>
        <w:spacing w:line="500" w:lineRule="exact"/>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1"/>
          <w:szCs w:val="21"/>
        </w:rPr>
        <w:t>表</w:t>
      </w:r>
      <w:r>
        <w:rPr>
          <w:rFonts w:hint="eastAsia" w:ascii="Times New Roman" w:hAnsi="Times New Roman" w:eastAsia="宋体" w:cs="Times New Roman"/>
          <w:b/>
          <w:color w:val="auto"/>
          <w:sz w:val="21"/>
          <w:szCs w:val="21"/>
          <w:lang w:val="en-US" w:eastAsia="zh-CN"/>
        </w:rPr>
        <w:t>6</w:t>
      </w:r>
      <w:r>
        <w:rPr>
          <w:rFonts w:hint="default" w:ascii="Times New Roman" w:hAnsi="Times New Roman" w:eastAsia="宋体" w:cs="Times New Roman"/>
          <w:b/>
          <w:color w:val="auto"/>
          <w:sz w:val="21"/>
          <w:szCs w:val="21"/>
          <w:lang w:val="en-US" w:eastAsia="zh-CN"/>
        </w:rPr>
        <w:t>.2</w:t>
      </w:r>
      <w:r>
        <w:rPr>
          <w:rFonts w:hint="default" w:ascii="Times New Roman" w:hAnsi="Times New Roman" w:eastAsia="宋体" w:cs="Times New Roman"/>
          <w:b/>
          <w:color w:val="auto"/>
          <w:sz w:val="21"/>
          <w:szCs w:val="21"/>
        </w:rPr>
        <w:t>-2</w:t>
      </w:r>
      <w:r>
        <w:rPr>
          <w:rFonts w:hint="eastAsia" w:ascii="Times New Roman" w:hAnsi="Times New Roman" w:eastAsia="宋体" w:cs="Times New Roman"/>
          <w:b/>
          <w:color w:val="auto"/>
          <w:sz w:val="21"/>
          <w:szCs w:val="21"/>
          <w:lang w:val="en-US" w:eastAsia="zh-CN"/>
        </w:rPr>
        <w:t>3</w:t>
      </w:r>
      <w:r>
        <w:rPr>
          <w:rFonts w:hint="default" w:ascii="Times New Roman" w:hAnsi="Times New Roman" w:eastAsia="宋体" w:cs="Times New Roman"/>
          <w:b/>
          <w:color w:val="auto"/>
          <w:sz w:val="21"/>
          <w:szCs w:val="21"/>
        </w:rPr>
        <w:t xml:space="preserve">  冷却塔噪声预测情况</w:t>
      </w:r>
    </w:p>
    <w:tbl>
      <w:tblPr>
        <w:tblStyle w:val="48"/>
        <w:tblW w:w="499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944"/>
        <w:gridCol w:w="1888"/>
        <w:gridCol w:w="1840"/>
        <w:gridCol w:w="1840"/>
        <w:gridCol w:w="1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52" w:hRule="atLeast"/>
          <w:jc w:val="center"/>
        </w:trPr>
        <w:tc>
          <w:tcPr>
            <w:tcW w:w="1726" w:type="pct"/>
            <w:vMerge w:val="restart"/>
            <w:tcBorders>
              <w:top w:val="single" w:color="auto" w:sz="4" w:space="0"/>
              <w:left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w:t>
            </w:r>
          </w:p>
        </w:tc>
        <w:tc>
          <w:tcPr>
            <w:tcW w:w="1107" w:type="pct"/>
            <w:vMerge w:val="restart"/>
            <w:tcBorders>
              <w:top w:val="single" w:color="auto" w:sz="4" w:space="0"/>
              <w:left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r>
              <w:rPr>
                <w:rFonts w:hint="eastAsia" w:ascii="Times New Roman" w:cs="Times New Roman"/>
                <w:color w:val="auto"/>
                <w:sz w:val="21"/>
                <w:szCs w:val="21"/>
                <w:lang w:eastAsia="zh-CN"/>
              </w:rPr>
              <w:t>病房</w:t>
            </w:r>
            <w:r>
              <w:rPr>
                <w:rFonts w:hint="default" w:ascii="Times New Roman" w:hAnsi="Times New Roman" w:eastAsia="宋体" w:cs="Times New Roman"/>
                <w:color w:val="auto"/>
                <w:sz w:val="21"/>
                <w:szCs w:val="21"/>
              </w:rPr>
              <w:t>楼层</w:t>
            </w:r>
          </w:p>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eastAsia="zh-CN"/>
              </w:rPr>
            </w:pPr>
            <w:r>
              <w:rPr>
                <w:rFonts w:hint="eastAsia" w:ascii="Times New Roman" w:cs="Times New Roman"/>
                <w:color w:val="auto"/>
                <w:sz w:val="21"/>
                <w:szCs w:val="21"/>
                <w:lang w:eastAsia="zh-CN"/>
              </w:rPr>
              <w:t>（楼层标高</w:t>
            </w:r>
            <w:r>
              <w:rPr>
                <w:rFonts w:hint="eastAsia" w:ascii="Times New Roman" w:cs="Times New Roman"/>
                <w:color w:val="auto"/>
                <w:sz w:val="21"/>
                <w:szCs w:val="21"/>
                <w:lang w:val="en-US" w:eastAsia="zh-CN"/>
              </w:rPr>
              <w:t>4.2m</w:t>
            </w:r>
            <w:r>
              <w:rPr>
                <w:rFonts w:hint="eastAsia" w:ascii="Times New Roman" w:cs="Times New Roman"/>
                <w:color w:val="auto"/>
                <w:sz w:val="21"/>
                <w:szCs w:val="21"/>
                <w:lang w:eastAsia="zh-CN"/>
              </w:rPr>
              <w:t>）</w:t>
            </w:r>
          </w:p>
        </w:tc>
        <w:tc>
          <w:tcPr>
            <w:tcW w:w="2165" w:type="pct"/>
            <w:gridSpan w:val="3"/>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eastAsia="宋体" w:cs="Times New Roman"/>
                <w:color w:val="auto"/>
                <w:sz w:val="21"/>
                <w:szCs w:val="21"/>
                <w:lang w:val="en-US" w:eastAsia="zh-CN"/>
              </w:rPr>
            </w:pPr>
            <w:r>
              <w:rPr>
                <w:rFonts w:hint="eastAsia" w:ascii="Times New Roman" w:cs="Times New Roman"/>
                <w:color w:val="auto"/>
                <w:sz w:val="21"/>
                <w:szCs w:val="21"/>
                <w:lang w:eastAsia="zh-CN"/>
              </w:rPr>
              <w:t>噪声</w:t>
            </w:r>
            <w:r>
              <w:rPr>
                <w:rFonts w:hint="default" w:ascii="Times New Roman" w:hAnsi="Times New Roman" w:eastAsia="宋体" w:cs="Times New Roman"/>
                <w:color w:val="auto"/>
                <w:sz w:val="21"/>
                <w:szCs w:val="21"/>
              </w:rPr>
              <w:t>贡献值dB（A）</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75" w:hRule="atLeast"/>
          <w:jc w:val="center"/>
        </w:trPr>
        <w:tc>
          <w:tcPr>
            <w:tcW w:w="1726" w:type="pct"/>
            <w:vMerge w:val="continue"/>
            <w:tcBorders>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1107" w:type="pct"/>
            <w:vMerge w:val="continue"/>
            <w:tcBorders>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cs="Times New Roman"/>
                <w:color w:val="auto"/>
                <w:sz w:val="21"/>
                <w:szCs w:val="21"/>
                <w:lang w:eastAsia="zh-CN"/>
              </w:rPr>
            </w:pP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cs="Times New Roman"/>
                <w:color w:val="auto"/>
                <w:sz w:val="21"/>
                <w:szCs w:val="21"/>
                <w:lang w:eastAsia="zh-CN"/>
              </w:rPr>
            </w:pPr>
            <w:r>
              <w:rPr>
                <w:rFonts w:hint="eastAsia" w:ascii="Times New Roman" w:cs="Times New Roman"/>
                <w:color w:val="auto"/>
                <w:sz w:val="21"/>
                <w:szCs w:val="21"/>
                <w:lang w:val="en-US" w:eastAsia="zh-CN"/>
              </w:rPr>
              <w:t>南楼（25.3m）</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cs="Times New Roman"/>
                <w:color w:val="auto"/>
                <w:sz w:val="21"/>
                <w:szCs w:val="21"/>
                <w:lang w:eastAsia="zh-CN"/>
              </w:rPr>
            </w:pPr>
            <w:r>
              <w:rPr>
                <w:rFonts w:hint="eastAsia" w:ascii="Times New Roman" w:cs="Times New Roman"/>
                <w:color w:val="auto"/>
                <w:sz w:val="21"/>
                <w:szCs w:val="21"/>
                <w:lang w:eastAsia="zh-CN"/>
              </w:rPr>
              <w:t>北楼（</w:t>
            </w:r>
            <w:r>
              <w:rPr>
                <w:rFonts w:hint="eastAsia" w:ascii="Times New Roman" w:cs="Times New Roman"/>
                <w:color w:val="auto"/>
                <w:sz w:val="21"/>
                <w:szCs w:val="21"/>
                <w:lang w:val="en-US" w:eastAsia="zh-CN"/>
              </w:rPr>
              <w:t>28.6m</w:t>
            </w:r>
            <w:r>
              <w:rPr>
                <w:rFonts w:hint="eastAsia" w:ascii="Times New Roman" w:cs="Times New Roman"/>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restart"/>
            <w:tcBorders>
              <w:top w:val="single" w:color="auto" w:sz="4" w:space="0"/>
              <w:left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冷却塔</w:t>
            </w:r>
          </w:p>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r>
              <w:rPr>
                <w:rFonts w:hint="eastAsia" w:ascii="Times New Roman" w:cs="Times New Roman"/>
                <w:color w:val="auto"/>
                <w:sz w:val="21"/>
                <w:szCs w:val="21"/>
                <w:lang w:eastAsia="zh-CN"/>
              </w:rPr>
              <w:t>尺寸：</w:t>
            </w:r>
            <w:r>
              <w:rPr>
                <w:rFonts w:hint="eastAsia" w:ascii="Times New Roman" w:cs="Times New Roman"/>
                <w:color w:val="auto"/>
                <w:sz w:val="21"/>
                <w:szCs w:val="21"/>
                <w:lang w:val="en-US" w:eastAsia="zh-CN"/>
              </w:rPr>
              <w:t>8.44</w:t>
            </w:r>
            <w:r>
              <w:rPr>
                <w:rFonts w:hint="default" w:ascii="Times New Roman" w:hAnsi="Times New Roman" w:eastAsia="宋体" w:cs="Times New Roman"/>
                <w:color w:val="auto"/>
                <w:sz w:val="21"/>
                <w:szCs w:val="21"/>
              </w:rPr>
              <w:t>m×6</w:t>
            </w:r>
            <w:r>
              <w:rPr>
                <w:rFonts w:hint="eastAsia" w:ascii="Times New Roman" w:cs="Times New Roman"/>
                <w:color w:val="auto"/>
                <w:sz w:val="21"/>
                <w:szCs w:val="21"/>
                <w:lang w:val="en-US" w:eastAsia="zh-CN"/>
              </w:rPr>
              <w:t>.55</w:t>
            </w:r>
            <w:r>
              <w:rPr>
                <w:rFonts w:hint="default" w:ascii="Times New Roman" w:hAnsi="Times New Roman" w:eastAsia="宋体" w:cs="Times New Roman"/>
                <w:color w:val="auto"/>
                <w:sz w:val="21"/>
                <w:szCs w:val="21"/>
              </w:rPr>
              <w:t>m×</w:t>
            </w:r>
            <w:r>
              <w:rPr>
                <w:rFonts w:hint="eastAsia" w:ascii="Times New Roman" w:cs="Times New Roman"/>
                <w:color w:val="auto"/>
                <w:sz w:val="21"/>
                <w:szCs w:val="21"/>
                <w:lang w:val="en-US" w:eastAsia="zh-CN"/>
              </w:rPr>
              <w:t>6.47</w:t>
            </w:r>
            <w:r>
              <w:rPr>
                <w:rFonts w:hint="default" w:ascii="Times New Roman" w:hAnsi="Times New Roman" w:eastAsia="宋体" w:cs="Times New Roman"/>
                <w:color w:val="auto"/>
                <w:sz w:val="21"/>
                <w:szCs w:val="21"/>
              </w:rPr>
              <w:t>m）</w:t>
            </w: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6</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47.47</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47.11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7</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47.65</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8</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47.83</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47.45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9</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48.03</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47.64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10</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48.24</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47.83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11</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48.46</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12</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48.68</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48.23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13</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48.91</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48.44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14</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49.09</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48.64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15</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49.2</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48.79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16</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49.28</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48.93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7" w:type="pct"/>
          <w:cantSplit/>
          <w:trHeight w:val="397" w:hRule="atLeast"/>
          <w:jc w:val="center"/>
        </w:trPr>
        <w:tc>
          <w:tcPr>
            <w:tcW w:w="1726"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07" w:type="pct"/>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bidi="ar-SA"/>
              </w:rPr>
            </w:pPr>
            <w:r>
              <w:rPr>
                <w:rFonts w:hint="eastAsia" w:ascii="Times New Roman" w:cs="Times New Roman"/>
                <w:color w:val="auto"/>
                <w:sz w:val="21"/>
                <w:szCs w:val="21"/>
                <w:lang w:val="en-US" w:eastAsia="zh-CN"/>
              </w:rPr>
              <w:t>17</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49.34</w:t>
            </w:r>
          </w:p>
        </w:tc>
        <w:tc>
          <w:tcPr>
            <w:tcW w:w="1840" w:type="dxa"/>
            <w:tcBorders>
              <w:top w:val="single" w:color="auto" w:sz="4" w:space="0"/>
              <w:left w:val="single" w:color="auto" w:sz="4" w:space="0"/>
              <w:bottom w:val="single" w:color="auto" w:sz="4" w:space="0"/>
              <w:right w:val="single" w:color="auto" w:sz="4" w:space="0"/>
            </w:tcBorders>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49.01</w:t>
            </w:r>
          </w:p>
        </w:tc>
      </w:tr>
    </w:tbl>
    <w:p>
      <w:pPr>
        <w:spacing w:line="360" w:lineRule="auto"/>
        <w:ind w:left="0" w:leftChars="0" w:firstLine="0" w:firstLineChars="0"/>
        <w:rPr>
          <w:color w:val="auto"/>
        </w:rPr>
      </w:pPr>
    </w:p>
    <w:p>
      <w:pPr>
        <w:spacing w:line="360" w:lineRule="auto"/>
        <w:ind w:left="0" w:leftChars="0" w:firstLine="0" w:firstLineChars="0"/>
        <w:rPr>
          <w:color w:val="auto"/>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w:t>
      </w:r>
      <w:r>
        <w:rPr>
          <w:rFonts w:hint="default" w:ascii="Times New Roman" w:hAnsi="Times New Roman" w:eastAsia="宋体" w:cs="Times New Roman"/>
          <w:color w:val="auto"/>
          <w:sz w:val="24"/>
          <w:lang w:eastAsia="zh-CN"/>
        </w:rPr>
        <w:t>上表</w:t>
      </w:r>
      <w:r>
        <w:rPr>
          <w:rFonts w:hint="default" w:ascii="Times New Roman" w:hAnsi="Times New Roman" w:eastAsia="宋体" w:cs="Times New Roman"/>
          <w:color w:val="auto"/>
          <w:sz w:val="24"/>
        </w:rPr>
        <w:t>预测结果可知，项目冷却塔经采取选用低噪声设备，采用消声器进风，顶部风机设阻抗复合消声器，设减振基座等措施后，产生的噪声对内部敏感点</w:t>
      </w:r>
      <w:r>
        <w:rPr>
          <w:rFonts w:hint="eastAsia" w:ascii="Times New Roman" w:cs="Times New Roman"/>
          <w:color w:val="auto"/>
          <w:sz w:val="24"/>
          <w:lang w:eastAsia="zh-CN"/>
        </w:rPr>
        <w:t>（病房）</w:t>
      </w:r>
      <w:r>
        <w:rPr>
          <w:rFonts w:hint="default" w:ascii="Times New Roman" w:hAnsi="Times New Roman" w:eastAsia="宋体" w:cs="Times New Roman"/>
          <w:color w:val="auto"/>
          <w:sz w:val="24"/>
        </w:rPr>
        <w:t>贡献值较小，能够满足</w:t>
      </w:r>
      <w:r>
        <w:rPr>
          <w:rFonts w:hint="eastAsia"/>
          <w:color w:val="auto"/>
          <w:w w:val="100"/>
          <w:kern w:val="21"/>
          <w:lang w:val="en-US" w:eastAsia="zh-CN"/>
        </w:rPr>
        <w:t>《声环境质量标准》（GB3096-2008）2类标准</w:t>
      </w:r>
      <w:r>
        <w:rPr>
          <w:rFonts w:hint="default" w:ascii="Times New Roman" w:hAnsi="Times New Roman" w:eastAsia="宋体" w:cs="Times New Roman"/>
          <w:color w:val="auto"/>
          <w:sz w:val="24"/>
        </w:rPr>
        <w:t>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auto"/>
          <w:lang w:val="en-US" w:eastAsia="zh-CN"/>
        </w:rPr>
      </w:pPr>
      <w:r>
        <w:rPr>
          <w:rFonts w:hint="eastAsia"/>
          <w:color w:val="auto"/>
          <w:lang w:val="en-US" w:eastAsia="zh-CN"/>
        </w:rPr>
        <w:t>根据本项目地面设备噪声源强分布，利用上述的噪声预测模式，预测出本项目的主要设备噪声源在采取相应的降噪措施后对边界环境噪声的贡献值及敏感点的预测值，项目噪声预测如下所示。</w:t>
      </w:r>
    </w:p>
    <w:p>
      <w:pPr>
        <w:keepNext w:val="0"/>
        <w:keepLines w:val="0"/>
        <w:pageBreakBefore w:val="0"/>
        <w:widowControl w:val="0"/>
        <w:tabs>
          <w:tab w:val="left" w:pos="4839"/>
        </w:tabs>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color w:val="auto"/>
          <w:sz w:val="21"/>
          <w:lang w:val="en-US" w:eastAsia="zh-CN"/>
        </w:rPr>
      </w:pPr>
      <w:r>
        <w:rPr>
          <w:rFonts w:hint="default" w:ascii="Times New Roman" w:hAnsi="Times New Roman" w:cs="Times New Roman"/>
          <w:b/>
          <w:color w:val="auto"/>
          <w:sz w:val="21"/>
        </w:rPr>
        <w:t>表</w:t>
      </w:r>
      <w:r>
        <w:rPr>
          <w:rFonts w:hint="eastAsia" w:ascii="Times New Roman" w:hAnsi="Times New Roman" w:cs="Times New Roman"/>
          <w:b/>
          <w:color w:val="auto"/>
          <w:sz w:val="21"/>
          <w:lang w:val="en-US" w:eastAsia="zh-CN"/>
        </w:rPr>
        <w:t>6.2</w:t>
      </w:r>
      <w:r>
        <w:rPr>
          <w:rFonts w:hint="default" w:ascii="Times New Roman" w:hAnsi="Times New Roman" w:cs="Times New Roman"/>
          <w:b/>
          <w:color w:val="auto"/>
          <w:sz w:val="21"/>
          <w:lang w:val="en-US" w:eastAsia="zh-CN"/>
        </w:rPr>
        <w:t>-</w:t>
      </w:r>
      <w:r>
        <w:rPr>
          <w:rFonts w:hint="eastAsia" w:ascii="Times New Roman" w:hAnsi="Times New Roman" w:cs="Times New Roman"/>
          <w:b/>
          <w:color w:val="auto"/>
          <w:sz w:val="21"/>
          <w:lang w:val="en-US" w:eastAsia="zh-CN"/>
        </w:rPr>
        <w:t>24</w:t>
      </w:r>
      <w:r>
        <w:rPr>
          <w:rFonts w:hint="default" w:ascii="Times New Roman" w:hAnsi="Times New Roman" w:cs="Times New Roman"/>
          <w:b/>
          <w:color w:val="auto"/>
          <w:sz w:val="21"/>
          <w:lang w:val="en-US" w:eastAsia="zh-CN"/>
        </w:rPr>
        <w:t xml:space="preserve">  </w:t>
      </w:r>
      <w:r>
        <w:rPr>
          <w:rFonts w:hint="default" w:ascii="Times New Roman" w:hAnsi="Times New Roman" w:cs="Times New Roman"/>
          <w:b/>
          <w:color w:val="auto"/>
          <w:spacing w:val="6"/>
          <w:sz w:val="21"/>
        </w:rPr>
        <w:t>项</w:t>
      </w:r>
      <w:r>
        <w:rPr>
          <w:rFonts w:hint="default" w:ascii="Times New Roman" w:hAnsi="Times New Roman" w:cs="Times New Roman"/>
          <w:b/>
          <w:color w:val="auto"/>
          <w:sz w:val="21"/>
        </w:rPr>
        <w:t>目</w:t>
      </w:r>
      <w:r>
        <w:rPr>
          <w:rFonts w:hint="default" w:ascii="Times New Roman" w:hAnsi="Times New Roman" w:cs="Times New Roman"/>
          <w:b/>
          <w:color w:val="auto"/>
          <w:sz w:val="21"/>
          <w:lang w:val="en-US" w:eastAsia="zh-CN"/>
        </w:rPr>
        <w:t>院区边</w:t>
      </w:r>
      <w:r>
        <w:rPr>
          <w:rFonts w:hint="default" w:ascii="Times New Roman" w:hAnsi="Times New Roman" w:cs="Times New Roman"/>
          <w:b/>
          <w:color w:val="auto"/>
          <w:spacing w:val="6"/>
          <w:sz w:val="21"/>
        </w:rPr>
        <w:t>界</w:t>
      </w:r>
      <w:r>
        <w:rPr>
          <w:rFonts w:hint="default" w:ascii="Times New Roman" w:hAnsi="Times New Roman" w:cs="Times New Roman"/>
          <w:b/>
          <w:color w:val="auto"/>
          <w:sz w:val="21"/>
        </w:rPr>
        <w:t>噪声预</w:t>
      </w:r>
      <w:r>
        <w:rPr>
          <w:rFonts w:hint="default" w:ascii="Times New Roman" w:hAnsi="Times New Roman" w:cs="Times New Roman"/>
          <w:b/>
          <w:color w:val="auto"/>
          <w:spacing w:val="6"/>
          <w:sz w:val="21"/>
        </w:rPr>
        <w:t>测</w:t>
      </w:r>
      <w:r>
        <w:rPr>
          <w:rFonts w:hint="default" w:ascii="Times New Roman" w:hAnsi="Times New Roman" w:cs="Times New Roman"/>
          <w:b/>
          <w:color w:val="auto"/>
          <w:sz w:val="21"/>
        </w:rPr>
        <w:t>结果</w:t>
      </w:r>
      <w:r>
        <w:rPr>
          <w:rFonts w:hint="default" w:ascii="Times New Roman" w:hAnsi="Times New Roman" w:cs="Times New Roman"/>
          <w:b/>
          <w:color w:val="auto"/>
          <w:sz w:val="21"/>
          <w:lang w:val="en-US" w:eastAsia="zh-CN"/>
        </w:rPr>
        <w:t xml:space="preserve">  单位：dB(A)</w:t>
      </w:r>
    </w:p>
    <w:tbl>
      <w:tblPr>
        <w:tblStyle w:val="48"/>
        <w:tblW w:w="834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8"/>
        <w:gridCol w:w="830"/>
        <w:gridCol w:w="974"/>
        <w:gridCol w:w="974"/>
        <w:gridCol w:w="974"/>
        <w:gridCol w:w="974"/>
        <w:gridCol w:w="974"/>
        <w:gridCol w:w="974"/>
        <w:gridCol w:w="554"/>
        <w:gridCol w:w="5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88" w:type="dxa"/>
            <w:gridSpan w:val="2"/>
            <w:vMerge w:val="restart"/>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预测点</w:t>
            </w:r>
          </w:p>
        </w:tc>
        <w:tc>
          <w:tcPr>
            <w:tcW w:w="1948" w:type="dxa"/>
            <w:gridSpan w:val="2"/>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贡献值</w:t>
            </w:r>
          </w:p>
        </w:tc>
        <w:tc>
          <w:tcPr>
            <w:tcW w:w="1948" w:type="dxa"/>
            <w:gridSpan w:val="2"/>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eastAsia" w:ascii="Times New Roman" w:hAnsi="Times New Roman" w:eastAsia="宋体" w:cs="Times New Roman"/>
                <w:color w:val="auto"/>
                <w:w w:val="100"/>
                <w:kern w:val="21"/>
                <w:sz w:val="21"/>
                <w:szCs w:val="21"/>
                <w:lang w:val="en-US" w:eastAsia="zh-CN"/>
              </w:rPr>
            </w:pPr>
            <w:r>
              <w:rPr>
                <w:rFonts w:hint="eastAsia" w:eastAsia="宋体" w:cs="Times New Roman"/>
                <w:color w:val="auto"/>
                <w:w w:val="100"/>
                <w:kern w:val="21"/>
                <w:sz w:val="21"/>
                <w:szCs w:val="21"/>
                <w:lang w:val="en-US" w:eastAsia="zh-CN"/>
              </w:rPr>
              <w:t>背景值</w:t>
            </w:r>
          </w:p>
        </w:tc>
        <w:tc>
          <w:tcPr>
            <w:tcW w:w="1948" w:type="dxa"/>
            <w:gridSpan w:val="2"/>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eastAsia" w:eastAsia="宋体" w:cs="Times New Roman"/>
                <w:color w:val="auto"/>
                <w:w w:val="100"/>
                <w:kern w:val="21"/>
                <w:sz w:val="21"/>
                <w:szCs w:val="21"/>
                <w:lang w:val="en-US" w:eastAsia="zh-CN"/>
              </w:rPr>
              <w:t>预测值</w:t>
            </w:r>
          </w:p>
        </w:tc>
        <w:tc>
          <w:tcPr>
            <w:tcW w:w="1115" w:type="dxa"/>
            <w:gridSpan w:val="2"/>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评价标准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88"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昼间</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夜间</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eastAsia="宋体" w:cs="Times New Roman"/>
                <w:color w:val="auto"/>
                <w:w w:val="100"/>
                <w:kern w:val="21"/>
                <w:sz w:val="21"/>
                <w:szCs w:val="21"/>
                <w:highlight w:val="none"/>
              </w:rPr>
              <w:t>昼间</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eastAsia="宋体" w:cs="Times New Roman"/>
                <w:color w:val="auto"/>
                <w:w w:val="100"/>
                <w:kern w:val="21"/>
                <w:sz w:val="21"/>
                <w:szCs w:val="21"/>
                <w:highlight w:val="none"/>
              </w:rPr>
              <w:t>夜间</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textAlignment w:val="auto"/>
              <w:rPr>
                <w:rFonts w:hint="default" w:ascii="Times New Roman" w:hAnsi="Times New Roman" w:cs="Times New Roman"/>
                <w:color w:val="auto"/>
                <w:w w:val="100"/>
                <w:kern w:val="21"/>
                <w:sz w:val="21"/>
                <w:szCs w:val="21"/>
              </w:rPr>
            </w:pPr>
            <w:r>
              <w:rPr>
                <w:rFonts w:hint="default" w:ascii="Times New Roman" w:hAnsi="Times New Roman" w:eastAsia="宋体" w:cs="Times New Roman"/>
                <w:color w:val="auto"/>
                <w:w w:val="100"/>
                <w:kern w:val="21"/>
                <w:sz w:val="21"/>
                <w:szCs w:val="21"/>
                <w:highlight w:val="none"/>
              </w:rPr>
              <w:t>昼间</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eastAsia="宋体" w:cs="Times New Roman"/>
                <w:color w:val="auto"/>
                <w:w w:val="100"/>
                <w:kern w:val="21"/>
                <w:sz w:val="21"/>
                <w:szCs w:val="21"/>
                <w:highlight w:val="none"/>
              </w:rPr>
              <w:t>夜间</w:t>
            </w:r>
          </w:p>
        </w:tc>
        <w:tc>
          <w:tcPr>
            <w:tcW w:w="55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昼间</w:t>
            </w:r>
          </w:p>
        </w:tc>
        <w:tc>
          <w:tcPr>
            <w:tcW w:w="561"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58" w:type="dxa"/>
            <w:vMerge w:val="restart"/>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w w:val="100"/>
                <w:kern w:val="21"/>
                <w:sz w:val="21"/>
                <w:szCs w:val="21"/>
              </w:rPr>
            </w:pPr>
            <w:r>
              <w:rPr>
                <w:rFonts w:hint="eastAsia" w:ascii="Times New Roman" w:hAnsi="Times New Roman" w:eastAsia="宋体" w:cs="Times New Roman"/>
                <w:color w:val="auto"/>
                <w:w w:val="100"/>
                <w:kern w:val="21"/>
                <w:sz w:val="21"/>
                <w:szCs w:val="21"/>
                <w:lang w:eastAsia="zh-CN"/>
              </w:rPr>
              <w:t>院区边</w:t>
            </w:r>
            <w:r>
              <w:rPr>
                <w:rFonts w:hint="default" w:ascii="Times New Roman" w:hAnsi="Times New Roman" w:cs="Times New Roman"/>
                <w:color w:val="auto"/>
                <w:w w:val="100"/>
                <w:kern w:val="21"/>
                <w:sz w:val="21"/>
                <w:szCs w:val="21"/>
              </w:rPr>
              <w:t>界</w:t>
            </w:r>
          </w:p>
        </w:tc>
        <w:tc>
          <w:tcPr>
            <w:tcW w:w="830"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东</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31.18</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bidi="zh-CN"/>
              </w:rPr>
            </w:pPr>
            <w:r>
              <w:rPr>
                <w:rFonts w:hint="eastAsia" w:eastAsia="宋体" w:cs="Times New Roman"/>
                <w:color w:val="auto"/>
                <w:w w:val="100"/>
                <w:kern w:val="21"/>
                <w:sz w:val="21"/>
                <w:szCs w:val="21"/>
                <w:highlight w:val="none"/>
                <w:lang w:val="en-US" w:eastAsia="zh-CN"/>
              </w:rPr>
              <w:t>31.18</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53</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45</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53.03</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45.18</w:t>
            </w:r>
          </w:p>
        </w:tc>
        <w:tc>
          <w:tcPr>
            <w:tcW w:w="55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r>
              <w:rPr>
                <w:rFonts w:hint="eastAsia" w:cs="Times New Roman"/>
                <w:color w:val="auto"/>
                <w:w w:val="100"/>
                <w:kern w:val="21"/>
                <w:sz w:val="21"/>
                <w:szCs w:val="21"/>
                <w:lang w:val="en-US" w:eastAsia="zh-CN"/>
              </w:rPr>
              <w:t>70</w:t>
            </w:r>
          </w:p>
        </w:tc>
        <w:tc>
          <w:tcPr>
            <w:tcW w:w="56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r>
              <w:rPr>
                <w:rFonts w:hint="eastAsia" w:cs="Times New Roman"/>
                <w:color w:val="auto"/>
                <w:w w:val="100"/>
                <w:kern w:val="21"/>
                <w:sz w:val="21"/>
                <w:szCs w:val="21"/>
                <w:lang w:val="en-US" w:eastAsia="zh-CN"/>
              </w:rPr>
              <w:t>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5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c>
          <w:tcPr>
            <w:tcW w:w="830"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南</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37.74</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bidi="zh-CN"/>
              </w:rPr>
            </w:pPr>
            <w:r>
              <w:rPr>
                <w:rFonts w:hint="eastAsia" w:eastAsia="宋体" w:cs="Times New Roman"/>
                <w:color w:val="auto"/>
                <w:w w:val="100"/>
                <w:kern w:val="21"/>
                <w:sz w:val="21"/>
                <w:szCs w:val="21"/>
                <w:highlight w:val="none"/>
                <w:lang w:val="en-US" w:eastAsia="zh-CN"/>
              </w:rPr>
              <w:t>37.74</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57</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49</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57.05</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49.31</w:t>
            </w:r>
          </w:p>
        </w:tc>
        <w:tc>
          <w:tcPr>
            <w:tcW w:w="55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p>
        </w:tc>
        <w:tc>
          <w:tcPr>
            <w:tcW w:w="56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5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c>
          <w:tcPr>
            <w:tcW w:w="830"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西</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35.78</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bidi="zh-CN"/>
              </w:rPr>
            </w:pPr>
            <w:r>
              <w:rPr>
                <w:rFonts w:hint="eastAsia" w:eastAsia="宋体" w:cs="Times New Roman"/>
                <w:color w:val="auto"/>
                <w:w w:val="100"/>
                <w:kern w:val="21"/>
                <w:sz w:val="21"/>
                <w:szCs w:val="21"/>
                <w:highlight w:val="none"/>
                <w:lang w:val="en-US" w:eastAsia="zh-CN"/>
              </w:rPr>
              <w:t>35.78</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58</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48</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58.03</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48.25</w:t>
            </w:r>
          </w:p>
        </w:tc>
        <w:tc>
          <w:tcPr>
            <w:tcW w:w="554" w:type="dxa"/>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c>
          <w:tcPr>
            <w:tcW w:w="561" w:type="dxa"/>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5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w w:val="100"/>
                <w:kern w:val="21"/>
                <w:sz w:val="21"/>
                <w:szCs w:val="21"/>
              </w:rPr>
            </w:pPr>
          </w:p>
        </w:tc>
        <w:tc>
          <w:tcPr>
            <w:tcW w:w="830"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right="0" w:firstLine="0" w:firstLineChars="0"/>
              <w:jc w:val="center"/>
              <w:textAlignment w:val="auto"/>
              <w:rPr>
                <w:rFonts w:hint="default" w:ascii="Times New Roman" w:hAnsi="Times New Roman" w:cs="Times New Roman"/>
                <w:color w:val="auto"/>
                <w:w w:val="100"/>
                <w:kern w:val="21"/>
                <w:sz w:val="21"/>
                <w:szCs w:val="21"/>
              </w:rPr>
            </w:pPr>
            <w:r>
              <w:rPr>
                <w:rFonts w:hint="default" w:ascii="Times New Roman" w:hAnsi="Times New Roman" w:cs="Times New Roman"/>
                <w:color w:val="auto"/>
                <w:w w:val="100"/>
                <w:kern w:val="21"/>
                <w:sz w:val="21"/>
                <w:szCs w:val="21"/>
              </w:rPr>
              <w:t>北</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37.14</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w w:val="100"/>
                <w:kern w:val="21"/>
                <w:sz w:val="21"/>
                <w:szCs w:val="21"/>
                <w:highlight w:val="none"/>
                <w:lang w:val="en-US" w:eastAsia="zh-CN" w:bidi="zh-CN"/>
              </w:rPr>
            </w:pPr>
            <w:r>
              <w:rPr>
                <w:rFonts w:hint="eastAsia" w:eastAsia="宋体" w:cs="Times New Roman"/>
                <w:color w:val="auto"/>
                <w:w w:val="100"/>
                <w:kern w:val="21"/>
                <w:sz w:val="21"/>
                <w:szCs w:val="21"/>
                <w:highlight w:val="none"/>
                <w:lang w:val="en-US" w:eastAsia="zh-CN"/>
              </w:rPr>
              <w:t>37.14</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54</w:t>
            </w:r>
          </w:p>
        </w:tc>
        <w:tc>
          <w:tcPr>
            <w:tcW w:w="974" w:type="dxa"/>
            <w:tcBorders>
              <w:tl2br w:val="nil"/>
              <w:tr2bl w:val="nil"/>
            </w:tcBorders>
            <w:noWrap w:val="0"/>
            <w:vAlign w:val="center"/>
          </w:tcPr>
          <w:p>
            <w:pPr>
              <w:pStyle w:val="33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46</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54.09</w:t>
            </w:r>
          </w:p>
        </w:tc>
        <w:tc>
          <w:tcPr>
            <w:tcW w:w="974"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eastAsia="宋体" w:cs="Times New Roman"/>
                <w:color w:val="auto"/>
                <w:w w:val="100"/>
                <w:kern w:val="21"/>
                <w:sz w:val="21"/>
                <w:szCs w:val="21"/>
                <w:highlight w:val="none"/>
                <w:lang w:val="en-US" w:eastAsia="zh-CN"/>
              </w:rPr>
            </w:pPr>
            <w:r>
              <w:rPr>
                <w:rFonts w:hint="eastAsia" w:eastAsia="宋体" w:cs="Times New Roman"/>
                <w:color w:val="auto"/>
                <w:w w:val="100"/>
                <w:kern w:val="21"/>
                <w:sz w:val="21"/>
                <w:szCs w:val="21"/>
                <w:highlight w:val="none"/>
                <w:lang w:val="en-US" w:eastAsia="zh-CN"/>
              </w:rPr>
              <w:t>46.53</w:t>
            </w:r>
          </w:p>
        </w:tc>
        <w:tc>
          <w:tcPr>
            <w:tcW w:w="554"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r>
              <w:rPr>
                <w:rFonts w:hint="eastAsia" w:ascii="Times New Roman" w:hAnsi="Times New Roman" w:eastAsia="宋体" w:cs="Times New Roman"/>
                <w:color w:val="auto"/>
                <w:w w:val="100"/>
                <w:kern w:val="21"/>
                <w:sz w:val="21"/>
                <w:szCs w:val="21"/>
                <w:lang w:val="en-US" w:eastAsia="zh-CN"/>
              </w:rPr>
              <w:t>60</w:t>
            </w:r>
          </w:p>
        </w:tc>
        <w:tc>
          <w:tcPr>
            <w:tcW w:w="561"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w w:val="100"/>
                <w:kern w:val="21"/>
                <w:sz w:val="21"/>
                <w:szCs w:val="21"/>
                <w:lang w:val="en-US" w:eastAsia="zh-CN"/>
              </w:rPr>
            </w:pPr>
            <w:r>
              <w:rPr>
                <w:rFonts w:hint="eastAsia" w:ascii="Times New Roman" w:hAnsi="Times New Roman" w:eastAsia="宋体" w:cs="Times New Roman"/>
                <w:color w:val="auto"/>
                <w:w w:val="100"/>
                <w:kern w:val="21"/>
                <w:sz w:val="21"/>
                <w:szCs w:val="21"/>
                <w:lang w:val="en-US" w:eastAsia="zh-CN"/>
              </w:rPr>
              <w:t>50</w:t>
            </w:r>
          </w:p>
        </w:tc>
      </w:tr>
    </w:tbl>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color w:val="auto"/>
          <w:w w:val="100"/>
          <w:kern w:val="21"/>
          <w:sz w:val="24"/>
          <w:szCs w:val="24"/>
          <w:lang w:val="en-US" w:eastAsia="zh-CN"/>
        </w:rPr>
      </w:pPr>
      <w:r>
        <w:rPr>
          <w:rFonts w:hint="eastAsia"/>
          <w:color w:val="auto"/>
          <w:w w:val="100"/>
          <w:kern w:val="21"/>
          <w:sz w:val="24"/>
          <w:szCs w:val="24"/>
          <w:lang w:val="en-US" w:eastAsia="zh-CN"/>
        </w:rPr>
        <w:t>根据上表可知，院区边界均能满足《工业企业厂界环境噪声排放标准》（GB12348-2008）中2类标准要求。</w:t>
      </w:r>
    </w:p>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b/>
          <w:color w:val="auto"/>
          <w:w w:val="100"/>
          <w:kern w:val="21"/>
          <w:sz w:val="21"/>
        </w:rPr>
      </w:pPr>
      <w:r>
        <w:rPr>
          <w:rFonts w:hint="eastAsia"/>
          <w:color w:val="auto"/>
          <w:w w:val="100"/>
          <w:kern w:val="21"/>
          <w:sz w:val="24"/>
          <w:szCs w:val="24"/>
          <w:lang w:val="en-US" w:eastAsia="zh-CN"/>
        </w:rPr>
        <w:t>项目</w:t>
      </w:r>
      <w:r>
        <w:rPr>
          <w:color w:val="auto"/>
          <w:w w:val="100"/>
          <w:kern w:val="21"/>
          <w:sz w:val="24"/>
          <w:szCs w:val="24"/>
        </w:rPr>
        <w:t>冷却塔产生的噪声对</w:t>
      </w:r>
      <w:r>
        <w:rPr>
          <w:color w:val="auto"/>
          <w:spacing w:val="-2"/>
          <w:w w:val="100"/>
          <w:kern w:val="21"/>
          <w:sz w:val="24"/>
          <w:szCs w:val="24"/>
        </w:rPr>
        <w:t>噪声</w:t>
      </w:r>
      <w:r>
        <w:rPr>
          <w:rFonts w:hint="eastAsia"/>
          <w:color w:val="auto"/>
          <w:spacing w:val="-2"/>
          <w:w w:val="100"/>
          <w:kern w:val="21"/>
          <w:sz w:val="24"/>
          <w:szCs w:val="24"/>
          <w:lang w:eastAsia="zh-CN"/>
        </w:rPr>
        <w:t>敏感点</w:t>
      </w:r>
      <w:r>
        <w:rPr>
          <w:rFonts w:hint="eastAsia"/>
          <w:color w:val="auto"/>
          <w:spacing w:val="-2"/>
          <w:w w:val="100"/>
          <w:kern w:val="21"/>
          <w:sz w:val="24"/>
          <w:szCs w:val="24"/>
          <w:lang w:val="en-US" w:eastAsia="zh-CN"/>
        </w:rPr>
        <w:t>贡献值</w:t>
      </w:r>
      <w:r>
        <w:rPr>
          <w:color w:val="auto"/>
          <w:spacing w:val="-2"/>
          <w:w w:val="100"/>
          <w:kern w:val="21"/>
          <w:sz w:val="24"/>
          <w:szCs w:val="24"/>
        </w:rPr>
        <w:t>预测结果见</w:t>
      </w:r>
      <w:r>
        <w:rPr>
          <w:rFonts w:hint="eastAsia"/>
          <w:color w:val="auto"/>
          <w:spacing w:val="-2"/>
          <w:w w:val="100"/>
          <w:kern w:val="21"/>
          <w:sz w:val="24"/>
          <w:szCs w:val="24"/>
          <w:lang w:val="en-US" w:eastAsia="zh-CN"/>
        </w:rPr>
        <w:t>下表</w:t>
      </w:r>
      <w:r>
        <w:rPr>
          <w:color w:val="auto"/>
          <w:w w:val="100"/>
          <w:kern w:val="21"/>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cs="Times New Roman"/>
          <w:b/>
          <w:color w:val="auto"/>
          <w:w w:val="100"/>
          <w:kern w:val="21"/>
          <w:sz w:val="21"/>
        </w:rPr>
      </w:pPr>
      <w:r>
        <w:rPr>
          <w:rFonts w:hint="default" w:ascii="Times New Roman" w:hAnsi="Times New Roman" w:cs="Times New Roman"/>
          <w:b/>
          <w:color w:val="auto"/>
          <w:w w:val="100"/>
          <w:kern w:val="21"/>
          <w:sz w:val="21"/>
        </w:rPr>
        <w:t>表</w:t>
      </w:r>
      <w:r>
        <w:rPr>
          <w:rFonts w:hint="eastAsia" w:ascii="Times New Roman" w:hAnsi="Times New Roman" w:cs="Times New Roman"/>
          <w:b/>
          <w:color w:val="auto"/>
          <w:w w:val="100"/>
          <w:kern w:val="21"/>
          <w:sz w:val="21"/>
          <w:lang w:val="en-US" w:eastAsia="zh-CN"/>
        </w:rPr>
        <w:t>6.2</w:t>
      </w:r>
      <w:r>
        <w:rPr>
          <w:rFonts w:hint="default" w:ascii="Times New Roman" w:hAnsi="Times New Roman" w:cs="Times New Roman"/>
          <w:b/>
          <w:color w:val="auto"/>
          <w:w w:val="100"/>
          <w:kern w:val="21"/>
          <w:sz w:val="21"/>
          <w:lang w:val="en-US" w:eastAsia="zh-CN"/>
        </w:rPr>
        <w:t>-</w:t>
      </w:r>
      <w:r>
        <w:rPr>
          <w:rFonts w:hint="eastAsia" w:ascii="Times New Roman" w:hAnsi="Times New Roman" w:cs="Times New Roman"/>
          <w:b/>
          <w:color w:val="auto"/>
          <w:w w:val="100"/>
          <w:kern w:val="21"/>
          <w:sz w:val="21"/>
          <w:lang w:val="en-US" w:eastAsia="zh-CN"/>
        </w:rPr>
        <w:t>25</w:t>
      </w:r>
      <w:r>
        <w:rPr>
          <w:rFonts w:hint="default" w:ascii="Times New Roman" w:hAnsi="Times New Roman" w:cs="Times New Roman"/>
          <w:b/>
          <w:color w:val="auto"/>
          <w:w w:val="100"/>
          <w:kern w:val="21"/>
          <w:sz w:val="21"/>
          <w:lang w:val="en-US" w:eastAsia="zh-CN"/>
        </w:rPr>
        <w:t xml:space="preserve"> </w:t>
      </w:r>
      <w:r>
        <w:rPr>
          <w:rFonts w:hint="default" w:ascii="Times New Roman" w:hAnsi="Times New Roman" w:cs="Times New Roman"/>
          <w:b/>
          <w:color w:val="auto"/>
          <w:w w:val="100"/>
          <w:kern w:val="21"/>
          <w:sz w:val="21"/>
        </w:rPr>
        <w:t>项目</w:t>
      </w:r>
      <w:r>
        <w:rPr>
          <w:rFonts w:hint="default" w:ascii="Times New Roman" w:hAnsi="Times New Roman" w:cs="Times New Roman"/>
          <w:b/>
          <w:color w:val="auto"/>
          <w:w w:val="100"/>
          <w:kern w:val="21"/>
          <w:sz w:val="21"/>
          <w:lang w:val="en-US" w:eastAsia="zh-CN"/>
        </w:rPr>
        <w:t>对</w:t>
      </w:r>
      <w:r>
        <w:rPr>
          <w:rFonts w:hint="default" w:ascii="Times New Roman" w:hAnsi="Times New Roman" w:cs="Times New Roman"/>
          <w:b/>
          <w:color w:val="auto"/>
          <w:w w:val="100"/>
          <w:kern w:val="21"/>
          <w:sz w:val="21"/>
        </w:rPr>
        <w:t>敏感点噪声预测结果</w:t>
      </w:r>
      <w:r>
        <w:rPr>
          <w:rFonts w:hint="default" w:ascii="Times New Roman" w:hAnsi="Times New Roman" w:cs="Times New Roman"/>
          <w:b/>
          <w:color w:val="auto"/>
          <w:sz w:val="21"/>
          <w:lang w:val="en-US" w:eastAsia="zh-CN"/>
        </w:rPr>
        <w:t xml:space="preserve">  单位：dB(A)</w:t>
      </w:r>
    </w:p>
    <w:tbl>
      <w:tblPr>
        <w:tblStyle w:val="48"/>
        <w:tblW w:w="505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78"/>
        <w:gridCol w:w="945"/>
        <w:gridCol w:w="947"/>
        <w:gridCol w:w="945"/>
        <w:gridCol w:w="947"/>
        <w:gridCol w:w="945"/>
        <w:gridCol w:w="950"/>
        <w:gridCol w:w="596"/>
        <w:gridCol w:w="6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vMerge w:val="restart"/>
            <w:tcBorders>
              <w:tl2br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项目</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敏感点</w:t>
            </w:r>
          </w:p>
        </w:tc>
        <w:tc>
          <w:tcPr>
            <w:tcW w:w="1123" w:type="pct"/>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项目贡献值</w:t>
            </w:r>
          </w:p>
        </w:tc>
        <w:tc>
          <w:tcPr>
            <w:tcW w:w="1123" w:type="pct"/>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背景值</w:t>
            </w:r>
          </w:p>
        </w:tc>
        <w:tc>
          <w:tcPr>
            <w:tcW w:w="1125" w:type="pct"/>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预测值</w:t>
            </w:r>
          </w:p>
        </w:tc>
        <w:tc>
          <w:tcPr>
            <w:tcW w:w="749" w:type="pct"/>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标准值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昼间</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夜间</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
              </w:rPr>
            </w:pPr>
            <w:r>
              <w:rPr>
                <w:rFonts w:hint="default" w:ascii="Times New Roman" w:hAnsi="Times New Roman" w:eastAsia="宋体" w:cs="Times New Roman"/>
                <w:i w:val="0"/>
                <w:color w:val="auto"/>
                <w:kern w:val="0"/>
                <w:sz w:val="21"/>
                <w:szCs w:val="21"/>
                <w:highlight w:val="none"/>
                <w:u w:val="none"/>
                <w:lang w:val="en-US" w:eastAsia="zh-CN" w:bidi="ar"/>
              </w:rPr>
              <w:t>昼间</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
              </w:rPr>
            </w:pPr>
            <w:r>
              <w:rPr>
                <w:rFonts w:hint="default" w:ascii="Times New Roman" w:hAnsi="Times New Roman" w:eastAsia="宋体" w:cs="Times New Roman"/>
                <w:i w:val="0"/>
                <w:color w:val="auto"/>
                <w:kern w:val="0"/>
                <w:sz w:val="21"/>
                <w:szCs w:val="21"/>
                <w:highlight w:val="none"/>
                <w:u w:val="none"/>
                <w:lang w:val="en-US" w:eastAsia="zh-CN" w:bidi="ar"/>
              </w:rPr>
              <w:t>夜间</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昼间</w:t>
            </w:r>
          </w:p>
        </w:tc>
        <w:tc>
          <w:tcPr>
            <w:tcW w:w="5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
              </w:rPr>
            </w:pPr>
            <w:r>
              <w:rPr>
                <w:rFonts w:hint="default" w:ascii="Times New Roman" w:hAnsi="Times New Roman" w:eastAsia="宋体" w:cs="Times New Roman"/>
                <w:i w:val="0"/>
                <w:color w:val="auto"/>
                <w:kern w:val="0"/>
                <w:sz w:val="21"/>
                <w:szCs w:val="21"/>
                <w:highlight w:val="none"/>
                <w:u w:val="none"/>
                <w:lang w:val="en-US" w:eastAsia="zh-CN" w:bidi="ar"/>
              </w:rPr>
              <w:t>夜间</w:t>
            </w:r>
          </w:p>
        </w:tc>
        <w:tc>
          <w:tcPr>
            <w:tcW w:w="35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昼间</w:t>
            </w:r>
          </w:p>
        </w:tc>
        <w:tc>
          <w:tcPr>
            <w:tcW w:w="3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安徽省立医院老年医学康复中心（在建）</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38.64</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38.64</w:t>
            </w:r>
          </w:p>
        </w:tc>
        <w:tc>
          <w:tcPr>
            <w:tcW w:w="561"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55</w:t>
            </w:r>
          </w:p>
        </w:tc>
        <w:tc>
          <w:tcPr>
            <w:tcW w:w="562"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46</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55.1</w:t>
            </w:r>
          </w:p>
        </w:tc>
        <w:tc>
          <w:tcPr>
            <w:tcW w:w="5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46.73</w:t>
            </w:r>
          </w:p>
        </w:tc>
        <w:tc>
          <w:tcPr>
            <w:tcW w:w="354"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60</w:t>
            </w:r>
          </w:p>
        </w:tc>
        <w:tc>
          <w:tcPr>
            <w:tcW w:w="394"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招商雍华府</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43.39</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43.39</w:t>
            </w:r>
          </w:p>
        </w:tc>
        <w:tc>
          <w:tcPr>
            <w:tcW w:w="561"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57</w:t>
            </w:r>
          </w:p>
        </w:tc>
        <w:tc>
          <w:tcPr>
            <w:tcW w:w="562"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48</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57.19</w:t>
            </w:r>
          </w:p>
        </w:tc>
        <w:tc>
          <w:tcPr>
            <w:tcW w:w="5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49.29</w:t>
            </w:r>
          </w:p>
        </w:tc>
        <w:tc>
          <w:tcPr>
            <w:tcW w:w="35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c>
          <w:tcPr>
            <w:tcW w:w="39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郡和府（在建小区）</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41.71</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41.71</w:t>
            </w:r>
          </w:p>
        </w:tc>
        <w:tc>
          <w:tcPr>
            <w:tcW w:w="561"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55</w:t>
            </w:r>
          </w:p>
        </w:tc>
        <w:tc>
          <w:tcPr>
            <w:tcW w:w="562"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45</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55.2</w:t>
            </w:r>
          </w:p>
        </w:tc>
        <w:tc>
          <w:tcPr>
            <w:tcW w:w="5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46.67</w:t>
            </w:r>
          </w:p>
        </w:tc>
        <w:tc>
          <w:tcPr>
            <w:tcW w:w="35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c>
          <w:tcPr>
            <w:tcW w:w="39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7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cs="Times New Roman"/>
                <w:i w:val="0"/>
                <w:color w:val="auto"/>
                <w:kern w:val="0"/>
                <w:sz w:val="21"/>
                <w:szCs w:val="21"/>
                <w:highlight w:val="none"/>
                <w:u w:val="none"/>
                <w:lang w:val="en-US" w:eastAsia="zh-CN" w:bidi="ar"/>
              </w:rPr>
            </w:pPr>
            <w:r>
              <w:rPr>
                <w:rFonts w:hint="eastAsia" w:ascii="Times New Roman" w:cs="Times New Roman"/>
                <w:i w:val="0"/>
                <w:color w:val="auto"/>
                <w:kern w:val="0"/>
                <w:sz w:val="21"/>
                <w:szCs w:val="21"/>
                <w:highlight w:val="none"/>
                <w:u w:val="none"/>
                <w:lang w:val="en-US" w:eastAsia="zh-CN" w:bidi="ar"/>
              </w:rPr>
              <w:t>滨湖医院项目办</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25.01</w:t>
            </w:r>
          </w:p>
        </w:tc>
        <w:tc>
          <w:tcPr>
            <w:tcW w:w="56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25.01</w:t>
            </w:r>
          </w:p>
        </w:tc>
        <w:tc>
          <w:tcPr>
            <w:tcW w:w="561"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47</w:t>
            </w:r>
          </w:p>
        </w:tc>
        <w:tc>
          <w:tcPr>
            <w:tcW w:w="562"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42</w:t>
            </w:r>
          </w:p>
        </w:tc>
        <w:tc>
          <w:tcPr>
            <w:tcW w:w="5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47.03</w:t>
            </w:r>
          </w:p>
        </w:tc>
        <w:tc>
          <w:tcPr>
            <w:tcW w:w="5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42.09</w:t>
            </w:r>
          </w:p>
        </w:tc>
        <w:tc>
          <w:tcPr>
            <w:tcW w:w="35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c>
          <w:tcPr>
            <w:tcW w:w="394"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 w:val="24"/>
        </w:rPr>
        <w:t>综上所述，本项目营运期各公建设施在采取相应的降噪措施后，对</w:t>
      </w:r>
      <w:r>
        <w:rPr>
          <w:rFonts w:hint="eastAsia" w:ascii="Times New Roman" w:cs="Times New Roman"/>
          <w:color w:val="auto"/>
          <w:sz w:val="24"/>
          <w:lang w:eastAsia="zh-CN"/>
        </w:rPr>
        <w:t>院区内部及</w:t>
      </w:r>
      <w:r>
        <w:rPr>
          <w:rFonts w:hint="default" w:ascii="Times New Roman" w:hAnsi="Times New Roman" w:eastAsia="宋体" w:cs="Times New Roman"/>
          <w:color w:val="auto"/>
          <w:sz w:val="24"/>
        </w:rPr>
        <w:t>周边敏感点声环境影响较小</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声环境质量现状均能满足《声环境质量标准》（GB3096-2008）2类标准要求</w:t>
      </w:r>
      <w:r>
        <w:rPr>
          <w:rFonts w:hint="default" w:ascii="Times New Roman" w:hAnsi="Times New Roman" w:eastAsia="宋体" w:cs="Times New Roman"/>
          <w:color w:val="auto"/>
          <w:sz w:val="24"/>
        </w:rPr>
        <w:t>。</w:t>
      </w:r>
    </w:p>
    <w:p>
      <w:pPr>
        <w:bidi w:val="0"/>
        <w:spacing w:line="240" w:lineRule="auto"/>
        <w:ind w:left="0" w:leftChars="0" w:firstLine="0" w:firstLineChars="0"/>
        <w:jc w:val="center"/>
        <w:rPr>
          <w:rFonts w:hint="eastAsia" w:eastAsia="宋体"/>
          <w:color w:val="auto"/>
          <w:lang w:eastAsia="zh-CN"/>
        </w:rPr>
      </w:pPr>
    </w:p>
    <w:p>
      <w:pPr>
        <w:pStyle w:val="2"/>
        <w:keepNext/>
        <w:keepLines/>
        <w:pageBreakBefore w:val="0"/>
        <w:widowControl w:val="0"/>
        <w:numPr>
          <w:ilvl w:val="3"/>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lang w:eastAsia="zh-CN"/>
        </w:rPr>
      </w:pPr>
      <w:bookmarkStart w:id="88" w:name="_Toc297300161"/>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rPr>
        <w:t>.2.3.3</w:t>
      </w:r>
      <w:r>
        <w:rPr>
          <w:rFonts w:hint="default" w:ascii="Times New Roman" w:hAnsi="Times New Roman" w:eastAsia="宋体" w:cs="Times New Roman"/>
          <w:color w:val="auto"/>
          <w:sz w:val="24"/>
          <w:szCs w:val="24"/>
          <w:lang w:eastAsia="zh-CN"/>
        </w:rPr>
        <w:t>交通噪声环境影响</w:t>
      </w:r>
      <w:r>
        <w:rPr>
          <w:rFonts w:hint="eastAsia" w:ascii="Times New Roman" w:hAnsi="Times New Roman" w:eastAsia="宋体" w:cs="Times New Roman"/>
          <w:color w:val="auto"/>
          <w:sz w:val="24"/>
          <w:szCs w:val="24"/>
          <w:lang w:eastAsia="zh-CN"/>
        </w:rPr>
        <w:t>分析</w:t>
      </w:r>
    </w:p>
    <w:bookmarkEnd w:id="88"/>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本项目为</w:t>
      </w:r>
      <w:r>
        <w:rPr>
          <w:rFonts w:hint="default" w:ascii="Times New Roman" w:hAnsi="Times New Roman" w:eastAsia="宋体" w:cs="Times New Roman"/>
          <w:color w:val="auto"/>
          <w:sz w:val="24"/>
          <w:lang w:eastAsia="zh-CN"/>
        </w:rPr>
        <w:t>医院</w:t>
      </w:r>
      <w:r>
        <w:rPr>
          <w:rFonts w:hint="default" w:ascii="Times New Roman" w:hAnsi="Times New Roman" w:eastAsia="宋体" w:cs="Times New Roman"/>
          <w:color w:val="auto"/>
          <w:sz w:val="24"/>
        </w:rPr>
        <w:t>，项目建成后自身也将成为环境敏感点，因此，项目在规划、设计、建设过程中应充分考虑周边环境的适应性。</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根据现场调查</w:t>
      </w:r>
      <w:r>
        <w:rPr>
          <w:rFonts w:hint="eastAsia" w:cs="Times New Roman"/>
          <w:color w:val="auto"/>
          <w:sz w:val="24"/>
          <w:lang w:eastAsia="zh-CN"/>
        </w:rPr>
        <w:t>及</w:t>
      </w:r>
      <w:r>
        <w:rPr>
          <w:rFonts w:hint="eastAsia" w:ascii="Times New Roman" w:hAnsi="Times New Roman" w:eastAsia="宋体" w:cs="Times New Roman"/>
          <w:color w:val="auto"/>
          <w:sz w:val="24"/>
          <w:lang w:val="en-US" w:eastAsia="zh-CN"/>
        </w:rPr>
        <w:t>《合肥市区声环境功能区（2020修订）划分方案》</w:t>
      </w:r>
      <w:r>
        <w:rPr>
          <w:rFonts w:hint="default" w:ascii="Times New Roman" w:hAnsi="Times New Roman" w:eastAsia="宋体" w:cs="Times New Roman"/>
          <w:color w:val="auto"/>
          <w:sz w:val="24"/>
        </w:rPr>
        <w:t>，本项目</w:t>
      </w:r>
      <w:r>
        <w:rPr>
          <w:rFonts w:hint="eastAsia" w:cs="Times New Roman"/>
          <w:color w:val="auto"/>
          <w:sz w:val="24"/>
          <w:lang w:eastAsia="zh-CN"/>
        </w:rPr>
        <w:t>位于声环境质量</w:t>
      </w:r>
      <w:r>
        <w:rPr>
          <w:rFonts w:hint="eastAsia" w:cs="Times New Roman"/>
          <w:color w:val="auto"/>
          <w:sz w:val="24"/>
          <w:lang w:val="en-US" w:eastAsia="zh-CN"/>
        </w:rPr>
        <w:t>2类区范围内，项目区北侧隔空地为锦绣大道，为城市主干路，其路段两侧35m范围内执行4a类声环境功能区</w:t>
      </w:r>
      <w:r>
        <w:rPr>
          <w:rFonts w:hint="eastAsia" w:cs="宋体"/>
          <w:color w:val="auto"/>
          <w:sz w:val="24"/>
          <w:lang w:eastAsia="zh-CN"/>
        </w:rPr>
        <w:t>，</w:t>
      </w:r>
      <w:r>
        <w:rPr>
          <w:rFonts w:hint="default" w:ascii="Times New Roman" w:hAnsi="Times New Roman" w:eastAsia="宋体" w:cs="Times New Roman"/>
          <w:color w:val="auto"/>
          <w:sz w:val="24"/>
        </w:rPr>
        <w:t>项目建成后，</w:t>
      </w:r>
      <w:r>
        <w:rPr>
          <w:rFonts w:hint="eastAsia" w:cs="Times New Roman"/>
          <w:color w:val="auto"/>
          <w:sz w:val="24"/>
          <w:lang w:eastAsia="zh-CN"/>
        </w:rPr>
        <w:t>锦绣大道</w:t>
      </w:r>
      <w:r>
        <w:rPr>
          <w:rFonts w:hint="eastAsia" w:ascii="Times New Roman" w:cs="Times New Roman"/>
          <w:color w:val="auto"/>
          <w:sz w:val="24"/>
          <w:lang w:eastAsia="zh-CN"/>
        </w:rPr>
        <w:t>产生的</w:t>
      </w:r>
      <w:r>
        <w:rPr>
          <w:rFonts w:hint="default" w:ascii="Times New Roman" w:hAnsi="Times New Roman" w:eastAsia="宋体" w:cs="Times New Roman"/>
          <w:color w:val="auto"/>
          <w:sz w:val="24"/>
        </w:rPr>
        <w:t>交通噪声会对本项目环境造成一定的负面影响。</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cs="Times New Roman"/>
          <w:color w:val="auto"/>
          <w:sz w:val="24"/>
          <w:lang w:eastAsia="zh-CN"/>
        </w:rPr>
      </w:pPr>
      <w:r>
        <w:rPr>
          <w:rFonts w:hint="eastAsia" w:ascii="Times New Roman" w:hAnsi="Times New Roman" w:cs="Times New Roman"/>
          <w:color w:val="auto"/>
          <w:sz w:val="24"/>
          <w:lang w:val="en-US" w:eastAsia="zh-CN"/>
        </w:rPr>
        <w:t>根据</w:t>
      </w:r>
      <w:r>
        <w:rPr>
          <w:rFonts w:hint="eastAsia" w:ascii="Times New Roman" w:cs="Times New Roman"/>
          <w:color w:val="auto"/>
          <w:sz w:val="24"/>
          <w:lang w:eastAsia="zh-CN"/>
        </w:rPr>
        <w:t>道路规划设计资料及咨询当地政府部门，</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cs="Times New Roman"/>
          <w:color w:val="auto"/>
          <w:sz w:val="24"/>
          <w:lang w:eastAsia="zh-CN"/>
        </w:rPr>
      </w:pPr>
      <w:r>
        <w:rPr>
          <w:rFonts w:hint="eastAsia" w:ascii="Times New Roman" w:cs="Times New Roman"/>
          <w:color w:val="auto"/>
          <w:sz w:val="24"/>
          <w:lang w:eastAsia="zh-CN"/>
        </w:rPr>
        <w:t>目前蜀峰湖路和泰山路道路交通流量基本已达到稳定状态。</w:t>
      </w:r>
      <w:r>
        <w:rPr>
          <w:rFonts w:hint="eastAsia" w:ascii="Times New Roman" w:hAnsi="Times New Roman" w:eastAsia="宋体" w:cs="Times New Roman"/>
          <w:color w:val="auto"/>
          <w:sz w:val="24"/>
          <w:lang w:val="en-US" w:eastAsia="zh-CN"/>
        </w:rPr>
        <w:t>本次</w:t>
      </w:r>
      <w:r>
        <w:rPr>
          <w:rFonts w:hint="eastAsia" w:ascii="Times New Roman" w:hAnsi="Times New Roman" w:cs="Times New Roman"/>
          <w:color w:val="auto"/>
          <w:sz w:val="24"/>
          <w:lang w:val="en-US" w:eastAsia="zh-CN"/>
        </w:rPr>
        <w:t>评价委托了安徽省国众检测科技有限公司对</w:t>
      </w:r>
      <w:r>
        <w:rPr>
          <w:rFonts w:hint="eastAsia" w:ascii="Times New Roman" w:cs="Times New Roman"/>
          <w:color w:val="auto"/>
          <w:sz w:val="24"/>
          <w:lang w:eastAsia="zh-CN"/>
        </w:rPr>
        <w:t>蜀峰湖路和泰山路交通噪声、车流量和拟建感染楼南侧</w:t>
      </w:r>
      <w:r>
        <w:rPr>
          <w:rFonts w:hint="eastAsia" w:ascii="Times New Roman" w:cs="Times New Roman"/>
          <w:color w:val="auto"/>
          <w:sz w:val="24"/>
          <w:lang w:val="en-US" w:eastAsia="zh-CN"/>
        </w:rPr>
        <w:t>1m</w:t>
      </w:r>
      <w:r>
        <w:rPr>
          <w:rFonts w:hint="eastAsia" w:ascii="Times New Roman" w:cs="Times New Roman"/>
          <w:color w:val="auto"/>
          <w:sz w:val="24"/>
          <w:lang w:eastAsia="zh-CN"/>
        </w:rPr>
        <w:t>、拟建感染楼西侧</w:t>
      </w:r>
      <w:r>
        <w:rPr>
          <w:rFonts w:hint="eastAsia" w:ascii="Times New Roman" w:cs="Times New Roman"/>
          <w:color w:val="auto"/>
          <w:sz w:val="24"/>
          <w:lang w:val="en-US" w:eastAsia="zh-CN"/>
        </w:rPr>
        <w:t>1m</w:t>
      </w:r>
      <w:r>
        <w:rPr>
          <w:rFonts w:hint="eastAsia" w:ascii="Times New Roman" w:cs="Times New Roman"/>
          <w:color w:val="auto"/>
          <w:sz w:val="24"/>
          <w:lang w:eastAsia="zh-CN"/>
        </w:rPr>
        <w:t>环境噪声</w:t>
      </w:r>
      <w:r>
        <w:rPr>
          <w:rFonts w:hint="eastAsia" w:ascii="Times New Roman" w:cs="Times New Roman"/>
          <w:color w:val="auto"/>
          <w:sz w:val="24"/>
          <w:lang w:val="en-US" w:eastAsia="zh-CN"/>
        </w:rPr>
        <w:t>、一期住院楼</w:t>
      </w:r>
      <w:r>
        <w:rPr>
          <w:rFonts w:hint="eastAsia"/>
          <w:color w:val="auto"/>
          <w:lang w:eastAsia="zh-CN"/>
        </w:rPr>
        <w:t>南楼</w:t>
      </w:r>
      <w:r>
        <w:rPr>
          <w:rFonts w:hint="eastAsia"/>
          <w:color w:val="auto"/>
          <w:lang w:val="en-US" w:eastAsia="zh-CN"/>
        </w:rPr>
        <w:t>2、6、10、14、18层开窗、关窗状态下</w:t>
      </w:r>
      <w:r>
        <w:rPr>
          <w:rFonts w:hint="eastAsia" w:ascii="Times New Roman" w:cs="Times New Roman"/>
          <w:color w:val="auto"/>
          <w:sz w:val="24"/>
          <w:lang w:eastAsia="zh-CN"/>
        </w:rPr>
        <w:t>环境噪声进行了现状监测（详见附件）</w:t>
      </w:r>
      <w:r>
        <w:rPr>
          <w:rFonts w:hint="eastAsia" w:ascii="Times New Roman" w:cs="Times New Roman"/>
          <w:color w:val="auto"/>
          <w:sz w:val="24"/>
          <w:lang w:eastAsia="zh-CN"/>
        </w:rPr>
        <w:t>，得到的噪声值如下：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sz w:val="24"/>
          <w:lang w:val="en-US" w:eastAsia="zh-CN"/>
        </w:rPr>
      </w:pPr>
      <w:r>
        <w:rPr>
          <w:rFonts w:hint="eastAsia" w:ascii="Times New Roman" w:cs="Times New Roman"/>
          <w:b/>
          <w:bCs/>
          <w:color w:val="auto"/>
          <w:sz w:val="21"/>
          <w:szCs w:val="16"/>
          <w:lang w:eastAsia="zh-CN"/>
        </w:rPr>
        <w:t>表</w:t>
      </w:r>
      <w:r>
        <w:rPr>
          <w:rFonts w:hint="eastAsia" w:ascii="Times New Roman" w:cs="Times New Roman"/>
          <w:b/>
          <w:bCs/>
          <w:color w:val="auto"/>
          <w:sz w:val="21"/>
          <w:szCs w:val="16"/>
          <w:lang w:val="en-US" w:eastAsia="zh-CN"/>
        </w:rPr>
        <w:t xml:space="preserve">6.2-26 </w:t>
      </w:r>
      <w:r>
        <w:rPr>
          <w:rFonts w:hint="eastAsia" w:ascii="Times New Roman" w:cs="Times New Roman"/>
          <w:b/>
          <w:bCs/>
          <w:color w:val="auto"/>
          <w:sz w:val="21"/>
          <w:szCs w:val="16"/>
          <w:lang w:eastAsia="zh-CN"/>
        </w:rPr>
        <w:t>蜀峰湖路和泰山路交通噪声监测结果</w:t>
      </w:r>
    </w:p>
    <w:tbl>
      <w:tblPr>
        <w:tblStyle w:val="4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65"/>
        <w:gridCol w:w="1078"/>
        <w:gridCol w:w="936"/>
        <w:gridCol w:w="1550"/>
        <w:gridCol w:w="1190"/>
        <w:gridCol w:w="1160"/>
        <w:gridCol w:w="11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restart"/>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采样点位</w:t>
            </w:r>
          </w:p>
        </w:tc>
        <w:tc>
          <w:tcPr>
            <w:tcW w:w="1207" w:type="pct"/>
            <w:gridSpan w:val="2"/>
            <w:vMerge w:val="restart"/>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检测日期</w:t>
            </w:r>
          </w:p>
        </w:tc>
        <w:tc>
          <w:tcPr>
            <w:tcW w:w="929" w:type="pct"/>
            <w:vMerge w:val="restart"/>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监测时间</w:t>
            </w:r>
          </w:p>
        </w:tc>
        <w:tc>
          <w:tcPr>
            <w:tcW w:w="2103" w:type="pct"/>
            <w:gridSpan w:val="3"/>
            <w:tcBorders>
              <w:bottom w:val="single" w:color="auto" w:sz="4" w:space="0"/>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1207" w:type="pct"/>
            <w:gridSpan w:val="2"/>
            <w:vMerge w:val="continue"/>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929" w:type="pct"/>
            <w:vMerge w:val="continue"/>
            <w:tcBorders>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1408" w:type="pct"/>
            <w:gridSpan w:val="2"/>
            <w:tcBorders>
              <w:top w:val="single" w:color="auto" w:sz="4" w:space="0"/>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噪声</w:t>
            </w:r>
          </w:p>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(Leq〔dB(A)〕)</w:t>
            </w:r>
          </w:p>
        </w:tc>
        <w:tc>
          <w:tcPr>
            <w:tcW w:w="695" w:type="pct"/>
            <w:tcBorders>
              <w:top w:val="single" w:color="auto" w:sz="4" w:space="0"/>
              <w:tl2br w:val="nil"/>
              <w:tr2bl w:val="nil"/>
            </w:tcBorders>
            <w:noWrap w:val="0"/>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车流量</w:t>
            </w:r>
          </w:p>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（辆/小时）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restart"/>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锦绣大道</w:t>
            </w:r>
          </w:p>
        </w:tc>
        <w:tc>
          <w:tcPr>
            <w:tcW w:w="646" w:type="pct"/>
            <w:vMerge w:val="restart"/>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2022.</w:t>
            </w:r>
            <w:r>
              <w:rPr>
                <w:rFonts w:hint="eastAsia" w:cs="Times New Roman"/>
                <w:color w:val="auto"/>
                <w:sz w:val="21"/>
                <w:szCs w:val="21"/>
                <w:lang w:val="en-US" w:eastAsia="zh-CN"/>
              </w:rPr>
              <w:t>12.20</w:t>
            </w:r>
          </w:p>
        </w:tc>
        <w:tc>
          <w:tcPr>
            <w:tcW w:w="561"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昼间</w:t>
            </w: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06:00-07:00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95"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07:00-08:00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08:00-09:00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09:00-10:00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10:00-11:00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11:00-12:00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12:00-13:00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13:00-14:00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14:00-15:00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15:00-16:00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16:00-17:00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17:00-18:00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17:59-18:59</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19:00-20:00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19:59-20:59</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21:00-22:00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561"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夜间</w:t>
            </w: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22:00-23:00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53</w:t>
            </w:r>
          </w:p>
        </w:tc>
        <w:tc>
          <w:tcPr>
            <w:tcW w:w="695"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w:t>
            </w: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23:00-00:00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00:00-01:00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01:00-02:00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02:00-03:00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03:00-04:00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04:00-05:00</w:t>
            </w:r>
          </w:p>
        </w:tc>
        <w:tc>
          <w:tcPr>
            <w:tcW w:w="1145"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695"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bottom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929"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05:00-06:00</w:t>
            </w:r>
          </w:p>
        </w:tc>
        <w:tc>
          <w:tcPr>
            <w:tcW w:w="1145"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695"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restart"/>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安徽路</w:t>
            </w:r>
          </w:p>
        </w:tc>
        <w:tc>
          <w:tcPr>
            <w:tcW w:w="646" w:type="pct"/>
            <w:vMerge w:val="restart"/>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2022</w:t>
            </w:r>
            <w:r>
              <w:rPr>
                <w:rFonts w:hint="eastAsia" w:cs="Times New Roman"/>
                <w:color w:val="auto"/>
                <w:sz w:val="21"/>
                <w:szCs w:val="21"/>
                <w:lang w:val="en-US" w:eastAsia="zh-CN"/>
              </w:rPr>
              <w:t>.12.20</w:t>
            </w:r>
          </w:p>
        </w:tc>
        <w:tc>
          <w:tcPr>
            <w:tcW w:w="561"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昼间</w:t>
            </w: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05:59-06:59</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62</w:t>
            </w: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07:00-08:00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08:00-09:00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09:00-10:00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10:00-11:00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11:00-12:00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12:00-13:00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13:00-14:00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14:00-15:00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15:00-16:00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16:00-17:00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17:00-18:00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18:00-19:00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19:00-20:00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20:00-21:00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21:00-22:00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561"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夜间</w:t>
            </w: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22:00-23:00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53</w:t>
            </w:r>
          </w:p>
        </w:tc>
        <w:tc>
          <w:tcPr>
            <w:tcW w:w="695" w:type="pct"/>
            <w:vMerge w:val="restar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23:00-00:00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53</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00:00-01:00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01:00-02:00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02:00-03:00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03:00-04:00</w:t>
            </w:r>
          </w:p>
        </w:tc>
        <w:tc>
          <w:tcPr>
            <w:tcW w:w="1145"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695" w:type="pct"/>
            <w:vMerge w:val="continue"/>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tcBorders>
              <w:tl2br w:val="nil"/>
              <w:tr2bl w:val="nil"/>
            </w:tcBorders>
            <w:noWrap/>
            <w:tcMar>
              <w:top w:w="15" w:type="dxa"/>
              <w:left w:w="15" w:type="dxa"/>
              <w:right w:w="15" w:type="dxa"/>
            </w:tcMar>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929"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04:00-05:00</w:t>
            </w:r>
          </w:p>
        </w:tc>
        <w:tc>
          <w:tcPr>
            <w:tcW w:w="1145"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695"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59" w:type="pct"/>
            <w:vMerge w:val="continue"/>
            <w:tcBorders>
              <w:right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646" w:type="pct"/>
            <w:vMerge w:val="continue"/>
            <w:tcBorders>
              <w:left w:val="single" w:color="auto" w:sz="4" w:space="0"/>
              <w:bottom w:val="single" w:color="auto" w:sz="4" w:space="0"/>
            </w:tcBorders>
            <w:noWrap w:val="0"/>
            <w:vAlign w:val="top"/>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561"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p>
        </w:tc>
        <w:tc>
          <w:tcPr>
            <w:tcW w:w="929" w:type="pct"/>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05:00-06:00</w:t>
            </w:r>
          </w:p>
        </w:tc>
        <w:tc>
          <w:tcPr>
            <w:tcW w:w="1145"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695" w:type="pct"/>
            <w:vMerge w:val="continue"/>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1117" w:type="dxa"/>
            <w:noWrap w:val="0"/>
            <w:vAlign w:val="center"/>
          </w:tcPr>
          <w:p>
            <w:pPr>
              <w:pStyle w:val="335"/>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b/>
          <w:bCs/>
          <w:color w:val="auto"/>
          <w:sz w:val="21"/>
          <w:szCs w:val="16"/>
          <w:lang w:eastAsia="zh-CN"/>
        </w:rPr>
      </w:pPr>
      <w:r>
        <w:rPr>
          <w:rFonts w:hint="eastAsia" w:ascii="Times New Roman" w:cs="Times New Roman"/>
          <w:b/>
          <w:bCs/>
          <w:color w:val="auto"/>
          <w:sz w:val="21"/>
          <w:szCs w:val="16"/>
          <w:lang w:eastAsia="zh-CN"/>
        </w:rPr>
        <w:t>表</w:t>
      </w:r>
      <w:r>
        <w:rPr>
          <w:rFonts w:hint="eastAsia" w:ascii="Times New Roman" w:cs="Times New Roman"/>
          <w:b/>
          <w:bCs/>
          <w:color w:val="auto"/>
          <w:sz w:val="21"/>
          <w:szCs w:val="16"/>
          <w:lang w:val="en-US" w:eastAsia="zh-CN"/>
        </w:rPr>
        <w:t xml:space="preserve">6.2-27 </w:t>
      </w:r>
      <w:r>
        <w:rPr>
          <w:rFonts w:hint="eastAsia" w:ascii="Times New Roman" w:cs="Times New Roman"/>
          <w:b/>
          <w:bCs/>
          <w:color w:val="auto"/>
          <w:sz w:val="21"/>
          <w:szCs w:val="16"/>
          <w:lang w:eastAsia="zh-CN"/>
        </w:rPr>
        <w:t>拟建感染楼南侧1m、拟建感染楼西侧1m</w:t>
      </w:r>
    </w:p>
    <w:tbl>
      <w:tblPr>
        <w:tblStyle w:val="4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00"/>
        <w:gridCol w:w="3132"/>
        <w:gridCol w:w="1907"/>
        <w:gridCol w:w="19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restart"/>
            <w:tcBorders>
              <w:tl2br w:val="nil"/>
              <w:tr2bl w:val="nil"/>
            </w:tcBorders>
            <w:noWrap w:val="0"/>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检测日期</w:t>
            </w:r>
          </w:p>
        </w:tc>
        <w:tc>
          <w:tcPr>
            <w:tcW w:w="1877" w:type="pct"/>
            <w:vMerge w:val="restart"/>
            <w:tcBorders>
              <w:tl2br w:val="nil"/>
              <w:tr2bl w:val="nil"/>
            </w:tcBorders>
            <w:noWrap w:val="0"/>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采样点位</w:t>
            </w:r>
          </w:p>
        </w:tc>
        <w:tc>
          <w:tcPr>
            <w:tcW w:w="2283" w:type="pct"/>
            <w:gridSpan w:val="2"/>
            <w:tcBorders>
              <w:bottom w:val="single" w:color="auto" w:sz="4" w:space="0"/>
              <w:tl2br w:val="nil"/>
              <w:tr2bl w:val="nil"/>
            </w:tcBorders>
            <w:noWrap w:val="0"/>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检测结果(Leq〔dB(A)〕)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val="0"/>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1877" w:type="pct"/>
            <w:vMerge w:val="continue"/>
            <w:tcBorders>
              <w:tl2br w:val="nil"/>
              <w:tr2bl w:val="nil"/>
            </w:tcBorders>
            <w:noWrap w:val="0"/>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1143" w:type="pct"/>
            <w:tcBorders>
              <w:top w:val="single" w:color="auto" w:sz="4" w:space="0"/>
              <w:tl2br w:val="nil"/>
              <w:tr2bl w:val="nil"/>
            </w:tcBorders>
            <w:noWrap w:val="0"/>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昼间</w:t>
            </w:r>
          </w:p>
        </w:tc>
        <w:tc>
          <w:tcPr>
            <w:tcW w:w="1140" w:type="pct"/>
            <w:tcBorders>
              <w:top w:val="single" w:color="auto" w:sz="4" w:space="0"/>
              <w:tl2br w:val="nil"/>
              <w:tr2bl w:val="nil"/>
            </w:tcBorders>
            <w:noWrap w:val="0"/>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restart"/>
            <w:tcBorders>
              <w:top w:val="single" w:color="auto" w:sz="4" w:space="0"/>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2022.01.12</w:t>
            </w:r>
          </w:p>
        </w:tc>
        <w:tc>
          <w:tcPr>
            <w:tcW w:w="1877" w:type="pct"/>
            <w:tcBorders>
              <w:tl2br w:val="nil"/>
              <w:tr2bl w:val="nil"/>
            </w:tcBorders>
            <w:noWrap/>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△Z15 拟建感染楼南</w:t>
            </w:r>
          </w:p>
        </w:tc>
        <w:tc>
          <w:tcPr>
            <w:tcW w:w="1143" w:type="pct"/>
            <w:tcBorders>
              <w:tl2br w:val="nil"/>
              <w:tr2bl w:val="nil"/>
            </w:tcBorders>
            <w:noWrap/>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56</w:t>
            </w:r>
          </w:p>
        </w:tc>
        <w:tc>
          <w:tcPr>
            <w:tcW w:w="1140" w:type="pct"/>
            <w:tcBorders>
              <w:tl2br w:val="nil"/>
              <w:tr2bl w:val="nil"/>
            </w:tcBorders>
            <w:noWrap/>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1877" w:type="pct"/>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△Z16拟建感染楼西</w:t>
            </w:r>
          </w:p>
        </w:tc>
        <w:tc>
          <w:tcPr>
            <w:tcW w:w="1143" w:type="pct"/>
            <w:tcBorders>
              <w:tl2br w:val="nil"/>
              <w:tr2bl w:val="nil"/>
            </w:tcBorders>
            <w:noWrap/>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58</w:t>
            </w:r>
          </w:p>
        </w:tc>
        <w:tc>
          <w:tcPr>
            <w:tcW w:w="1140" w:type="pct"/>
            <w:tcBorders>
              <w:tl2br w:val="nil"/>
              <w:tr2bl w:val="nil"/>
            </w:tcBorders>
            <w:noWrap/>
            <w:tcMar>
              <w:top w:w="15" w:type="dxa"/>
              <w:left w:w="15" w:type="dxa"/>
              <w:right w:w="15" w:type="dxa"/>
            </w:tcMar>
            <w:vAlign w:val="center"/>
          </w:tcPr>
          <w:p>
            <w:pPr>
              <w:pStyle w:val="89"/>
              <w:adjustRightInd/>
              <w:snapToGrid/>
              <w:spacing w:line="240" w:lineRule="auto"/>
              <w:rPr>
                <w:rFonts w:hint="default"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restart"/>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2"/>
                <w:szCs w:val="21"/>
                <w:lang w:val="en-US" w:eastAsia="zh-CN"/>
              </w:rPr>
              <w:t>2022.02.19</w:t>
            </w: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一期住院楼南楼2层开窗时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40</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一期住院楼南楼6层开窗时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43</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一期住院楼南楼10层开窗时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42</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一期住院楼南楼14层开窗时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46</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一期住院楼南楼18层开窗时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41</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一期住院楼南楼2层关窗时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37</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一期住院楼南楼6层关窗时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43</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一期住院楼南楼10层关窗时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40</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一期住院楼南楼14层关窗时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39</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9" w:type="pct"/>
            <w:vMerge w:val="continue"/>
            <w:tcBorders>
              <w:tl2br w:val="nil"/>
              <w:tr2bl w:val="nil"/>
            </w:tcBorders>
            <w:noWrap/>
            <w:tcMar>
              <w:top w:w="15" w:type="dxa"/>
              <w:left w:w="15" w:type="dxa"/>
              <w:right w:w="15" w:type="dxa"/>
            </w:tcMar>
            <w:vAlign w:val="center"/>
          </w:tcPr>
          <w:p>
            <w:pPr>
              <w:pStyle w:val="89"/>
              <w:adjustRightInd/>
              <w:snapToGrid/>
              <w:spacing w:line="240" w:lineRule="auto"/>
              <w:rPr>
                <w:rFonts w:hint="eastAsia" w:ascii="Times New Roman" w:hAnsi="Times New Roman" w:eastAsia="宋体" w:cs="Times New Roman"/>
                <w:color w:val="auto"/>
                <w:kern w:val="2"/>
                <w:szCs w:val="21"/>
                <w:lang w:val="en-US" w:eastAsia="zh-CN"/>
              </w:rPr>
            </w:pPr>
          </w:p>
        </w:tc>
        <w:tc>
          <w:tcPr>
            <w:tcW w:w="3132"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一期住院楼南楼18层关窗时</w:t>
            </w:r>
          </w:p>
        </w:tc>
        <w:tc>
          <w:tcPr>
            <w:tcW w:w="1143"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39</w:t>
            </w:r>
          </w:p>
        </w:tc>
        <w:tc>
          <w:tcPr>
            <w:tcW w:w="114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Cs w:val="21"/>
                <w:lang w:val="en-US" w:eastAsia="zh-CN"/>
              </w:rPr>
            </w:pPr>
            <w:r>
              <w:rPr>
                <w:rFonts w:hint="eastAsia" w:ascii="Times New Roman" w:hAnsi="Times New Roman" w:eastAsia="宋体" w:cs="Times New Roman"/>
                <w:color w:val="auto"/>
                <w:kern w:val="0"/>
                <w:sz w:val="21"/>
                <w:szCs w:val="21"/>
                <w:lang w:val="en-US" w:eastAsia="zh-CN" w:bidi="ar-SA"/>
              </w:rPr>
              <w:t>35</w:t>
            </w:r>
          </w:p>
        </w:tc>
      </w:tr>
    </w:tbl>
    <w:p>
      <w:pPr>
        <w:spacing w:line="360" w:lineRule="auto"/>
        <w:ind w:firstLine="480" w:firstLineChars="200"/>
        <w:rPr>
          <w:rFonts w:hint="eastAsia" w:hAnsi="宋体" w:eastAsia="宋体"/>
          <w:color w:val="auto"/>
          <w:szCs w:val="21"/>
          <w:lang w:eastAsia="zh-CN"/>
        </w:rPr>
      </w:pPr>
      <w:r>
        <w:rPr>
          <w:rFonts w:hint="eastAsia" w:ascii="Times New Roman" w:cs="Times New Roman"/>
          <w:color w:val="auto"/>
          <w:sz w:val="24"/>
          <w:lang w:val="en-US" w:eastAsia="zh-CN"/>
        </w:rPr>
        <w:t>根据噪声现状监测结果，</w:t>
      </w:r>
      <w:r>
        <w:rPr>
          <w:rFonts w:hint="eastAsia" w:ascii="Times New Roman" w:cs="Times New Roman"/>
          <w:color w:val="auto"/>
          <w:sz w:val="24"/>
          <w:lang w:eastAsia="zh-CN"/>
        </w:rPr>
        <w:t>蜀峰湖路和泰山路交通噪声经衰减后至项目边界噪声能够</w:t>
      </w:r>
      <w:r>
        <w:rPr>
          <w:rFonts w:hint="eastAsia" w:ascii="Times New Roman" w:cs="Times New Roman"/>
          <w:color w:val="auto"/>
          <w:sz w:val="24"/>
          <w:lang w:val="en-US" w:eastAsia="zh-CN"/>
        </w:rPr>
        <w:t>满足</w:t>
      </w:r>
      <w:r>
        <w:rPr>
          <w:rFonts w:hint="eastAsia" w:ascii="Times New Roman" w:hAnsi="Times New Roman" w:eastAsia="宋体" w:cs="Times New Roman"/>
          <w:color w:val="auto"/>
          <w:sz w:val="24"/>
          <w:lang w:val="en-US" w:eastAsia="zh-CN"/>
        </w:rPr>
        <w:t>《声环境质量标准》（GB3096-2008）2类标准要求</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一</w:t>
      </w:r>
      <w:r>
        <w:rPr>
          <w:rFonts w:hint="eastAsia"/>
          <w:color w:val="auto"/>
          <w:lang w:eastAsia="zh-CN"/>
        </w:rPr>
        <w:t>期住院楼病房</w:t>
      </w:r>
      <w:r>
        <w:rPr>
          <w:rFonts w:hint="eastAsia"/>
          <w:color w:val="auto"/>
          <w:lang w:val="en-US" w:eastAsia="zh-CN"/>
        </w:rPr>
        <w:t>在开窗的时候室内有出现超标现象，但在关窗情况下室内声环境质量均能满足满足</w:t>
      </w:r>
      <w:r>
        <w:rPr>
          <w:rFonts w:hint="eastAsia" w:hAnsi="宋体" w:eastAsia="宋体"/>
          <w:color w:val="auto"/>
          <w:szCs w:val="21"/>
          <w:lang w:eastAsia="zh-CN"/>
        </w:rPr>
        <w:t>《社会生活环境噪声排放标准》（GB22337-2008）表2（A类房间）标准，说明病房窗户能起到一定隔声效果。要求本项目临路建筑选取双层中空玻璃窗，隔声效果不低于</w:t>
      </w:r>
      <w:r>
        <w:rPr>
          <w:rFonts w:hint="eastAsia" w:hAnsi="宋体" w:eastAsia="宋体"/>
          <w:color w:val="auto"/>
          <w:szCs w:val="21"/>
          <w:lang w:val="en-US" w:eastAsia="zh-CN"/>
        </w:rPr>
        <w:t>5</w:t>
      </w:r>
      <w:r>
        <w:rPr>
          <w:rFonts w:hint="eastAsia" w:ascii="Times New Roman" w:hAnsi="Times New Roman" w:eastAsia="宋体" w:cs="Times New Roman"/>
          <w:color w:val="auto"/>
          <w:kern w:val="2"/>
          <w:szCs w:val="21"/>
          <w:lang w:val="en-US" w:eastAsia="zh-CN"/>
        </w:rPr>
        <w:t>dB</w:t>
      </w:r>
      <w:r>
        <w:rPr>
          <w:rFonts w:hint="eastAsia" w:hAnsi="宋体" w:eastAsia="宋体"/>
          <w:color w:val="auto"/>
          <w:szCs w:val="21"/>
          <w:lang w:eastAsia="zh-CN"/>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为进一步减小道路交通噪声对本项目的影响，评价建议采取的交通噪声防治措施如下：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（1）在项目区进出道路设计以及防止外部汽车噪声的措施方案时，采取隔音措施，如增加树木绿化等，减少外部汽车噪声对本项目的影响。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（2）提高</w:t>
      </w:r>
      <w:r>
        <w:rPr>
          <w:rFonts w:hint="eastAsia" w:ascii="Times New Roman" w:cs="Times New Roman"/>
          <w:color w:val="auto"/>
          <w:sz w:val="24"/>
          <w:lang w:eastAsia="zh-CN"/>
        </w:rPr>
        <w:t>临路建筑、住院病房</w:t>
      </w:r>
      <w:r>
        <w:rPr>
          <w:rFonts w:hint="default" w:ascii="Times New Roman" w:hAnsi="Times New Roman" w:eastAsia="宋体" w:cs="Times New Roman"/>
          <w:color w:val="auto"/>
          <w:sz w:val="24"/>
        </w:rPr>
        <w:t>门窗的隔声性能，采用窗户增加橡胶条、窗缝注密封胶，且采取符合国家</w:t>
      </w:r>
      <w:r>
        <w:rPr>
          <w:rFonts w:hint="eastAsia" w:ascii="Times New Roman" w:hAnsi="Times New Roman" w:eastAsia="宋体" w:cs="宋体"/>
          <w:color w:val="auto"/>
          <w:sz w:val="24"/>
          <w:lang w:eastAsia="zh-CN"/>
        </w:rPr>
        <w:t>“</w:t>
      </w:r>
      <w:r>
        <w:rPr>
          <w:rFonts w:hint="default" w:ascii="Times New Roman" w:hAnsi="Times New Roman" w:eastAsia="宋体" w:cs="Times New Roman"/>
          <w:color w:val="auto"/>
          <w:sz w:val="24"/>
        </w:rPr>
        <w:t>三性</w:t>
      </w:r>
      <w:r>
        <w:rPr>
          <w:rFonts w:hint="eastAsia" w:ascii="Times New Roman" w:hAnsi="Times New Roman" w:eastAsia="宋体" w:cs="宋体"/>
          <w:color w:val="auto"/>
          <w:sz w:val="24"/>
          <w:lang w:eastAsia="zh-CN"/>
        </w:rPr>
        <w:t>”</w:t>
      </w:r>
      <w:r>
        <w:rPr>
          <w:rFonts w:hint="default" w:ascii="Times New Roman" w:hAnsi="Times New Roman" w:eastAsia="宋体" w:cs="Times New Roman"/>
          <w:color w:val="auto"/>
          <w:sz w:val="24"/>
        </w:rPr>
        <w:t>（气密性、水密性、隔声性）标准的玻璃</w:t>
      </w:r>
      <w:r>
        <w:rPr>
          <w:rFonts w:hint="eastAsia" w:ascii="Times New Roman" w:hAnsi="Times New Roman" w:eastAsia="宋体" w:cs="宋体"/>
          <w:color w:val="auto"/>
          <w:sz w:val="24"/>
          <w:lang w:eastAsia="zh-CN"/>
        </w:rPr>
        <w:t>；</w:t>
      </w:r>
      <w:r>
        <w:rPr>
          <w:rFonts w:hint="default" w:ascii="Times New Roman" w:hAnsi="Times New Roman" w:eastAsia="宋体" w:cs="Times New Roman"/>
          <w:color w:val="auto"/>
          <w:sz w:val="24"/>
        </w:rPr>
        <w:t>门窗进行嵌缝，嵌缝后平均隔声量可提高10分贝，减少汽车经过时噪声的影响。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（3）建设项目四周设置绿化带，可以起到隔噪音作用。建议种植乔木、灌木等四季常青的树种，以高低错落布置保证一定密度，并考虑种植可净化空气的树种，如夹竹桃、大叶黄杨、石榴、紫穗槐等。</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采取以上措施后，将会有效减少周边道路的交通噪声对本建设项目环境的影响。</w:t>
      </w:r>
    </w:p>
    <w:p>
      <w:pPr>
        <w:pStyle w:val="5"/>
        <w:pageBreakBefore w:val="0"/>
        <w:widowControl w:val="0"/>
        <w:numPr>
          <w:ilvl w:val="0"/>
          <w:numId w:val="0"/>
        </w:numPr>
        <w:kinsoku/>
        <w:wordWrap/>
        <w:overflowPunct/>
        <w:topLinePunct w:val="0"/>
        <w:autoSpaceDE/>
        <w:autoSpaceDN/>
        <w:bidi w:val="0"/>
        <w:adjustRightInd/>
        <w:snapToGrid/>
        <w:spacing w:before="120" w:line="360" w:lineRule="auto"/>
        <w:ind w:leftChars="0" w:right="0" w:rightChars="0"/>
        <w:textAlignment w:val="auto"/>
        <w:rPr>
          <w:rFonts w:hint="eastAsia"/>
          <w:color w:val="auto"/>
        </w:rPr>
      </w:pPr>
      <w:r>
        <w:rPr>
          <w:rFonts w:hint="eastAsia"/>
          <w:color w:val="auto"/>
          <w:lang w:val="en-US" w:eastAsia="zh-CN"/>
        </w:rPr>
        <w:t>5.2.4</w:t>
      </w:r>
      <w:r>
        <w:rPr>
          <w:rFonts w:hint="eastAsia"/>
          <w:color w:val="auto"/>
        </w:rPr>
        <w:t>固废环境影响评价</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highlight w:val="none"/>
        </w:rPr>
      </w:pPr>
      <w:r>
        <w:rPr>
          <w:color w:val="auto"/>
          <w:highlight w:val="none"/>
        </w:rPr>
        <w:t>项目产生的固体废物</w:t>
      </w:r>
      <w:r>
        <w:rPr>
          <w:rFonts w:hint="eastAsia"/>
          <w:color w:val="auto"/>
          <w:highlight w:val="none"/>
        </w:rPr>
        <w:t>主要为医疗废物、生活垃圾</w:t>
      </w:r>
      <w:r>
        <w:rPr>
          <w:rFonts w:hint="eastAsia"/>
          <w:color w:val="auto"/>
          <w:highlight w:val="none"/>
          <w:lang w:eastAsia="zh-CN"/>
        </w:rPr>
        <w:t>、</w:t>
      </w:r>
      <w:r>
        <w:rPr>
          <w:rFonts w:hint="eastAsia"/>
          <w:color w:val="auto"/>
          <w:highlight w:val="none"/>
        </w:rPr>
        <w:t>污水处理站污泥</w:t>
      </w:r>
      <w:r>
        <w:rPr>
          <w:rFonts w:hint="eastAsia"/>
          <w:color w:val="auto"/>
          <w:highlight w:val="none"/>
          <w:lang w:val="en-US" w:eastAsia="zh-CN"/>
        </w:rPr>
        <w:t>以及未被污染的</w:t>
      </w:r>
      <w:r>
        <w:rPr>
          <w:rFonts w:hint="eastAsia" w:ascii="Times New Roman" w:hAnsi="Times New Roman" w:eastAsia="宋体" w:cs="Times New Roman"/>
          <w:color w:val="auto"/>
          <w:highlight w:val="none"/>
          <w:lang w:val="en-US" w:eastAsia="zh-CN"/>
        </w:rPr>
        <w:t>输液瓶（袋）</w:t>
      </w:r>
      <w:r>
        <w:rPr>
          <w:rFonts w:hint="eastAsia"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1、一般固废：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lang w:val="en-US" w:eastAsia="zh-CN"/>
        </w:rPr>
      </w:pPr>
      <w:r>
        <w:rPr>
          <w:rFonts w:hint="eastAsia"/>
          <w:color w:val="auto"/>
          <w:lang w:val="en-US" w:eastAsia="zh-CN"/>
        </w:rPr>
        <w:t>未被污染的输液瓶（袋）经统一收集后</w:t>
      </w:r>
      <w:r>
        <w:rPr>
          <w:rFonts w:hint="eastAsia"/>
          <w:color w:val="auto"/>
          <w:sz w:val="24"/>
          <w:lang w:val="en-US" w:eastAsia="zh-CN"/>
        </w:rPr>
        <w:t>回收处理</w:t>
      </w:r>
      <w:r>
        <w:rPr>
          <w:rFonts w:hint="eastAsia" w:cs="宋体"/>
          <w:color w:val="auto"/>
          <w:sz w:val="24"/>
          <w:lang w:val="en-US" w:eastAsia="zh-CN"/>
        </w:rPr>
        <w:t>；</w:t>
      </w:r>
      <w:r>
        <w:rPr>
          <w:rFonts w:hint="eastAsia" w:ascii="Times New Roman" w:hAnsi="Times New Roman" w:eastAsia="宋体" w:cs="Times New Roman"/>
          <w:color w:val="auto"/>
          <w:lang w:val="en-US" w:eastAsia="zh-CN"/>
        </w:rPr>
        <w:t>废离子交换树脂、废空气过滤器每次更换后由设备厂商带走。</w:t>
      </w:r>
    </w:p>
    <w:p>
      <w:pPr>
        <w:pStyle w:val="47"/>
        <w:keepNext w:val="0"/>
        <w:keepLines w:val="0"/>
        <w:pageBreakBefore w:val="0"/>
        <w:widowControl w:val="0"/>
        <w:kinsoku/>
        <w:wordWrap/>
        <w:overflowPunct/>
        <w:topLinePunct w:val="0"/>
        <w:autoSpaceDE/>
        <w:autoSpaceDN/>
        <w:bidi w:val="0"/>
        <w:adjustRightInd/>
        <w:snapToGrid/>
        <w:spacing w:line="360" w:lineRule="auto"/>
        <w:ind w:left="0" w:leftChars="0"/>
        <w:textAlignment w:val="auto"/>
        <w:rPr>
          <w:rFonts w:hint="default"/>
          <w:color w:val="auto"/>
          <w:lang w:val="en-US" w:eastAsia="zh-CN"/>
        </w:rPr>
      </w:pPr>
      <w:r>
        <w:rPr>
          <w:rFonts w:hint="eastAsia"/>
          <w:color w:val="auto"/>
          <w:sz w:val="24"/>
          <w:lang w:val="en-US" w:eastAsia="zh-CN"/>
        </w:rPr>
        <w:t>2、危险废物</w:t>
      </w:r>
    </w:p>
    <w:p>
      <w:pPr>
        <w:spacing w:line="360" w:lineRule="auto"/>
        <w:ind w:firstLine="480" w:firstLineChars="200"/>
        <w:rPr>
          <w:rFonts w:hint="eastAsia" w:cs="Times New Roman"/>
          <w:color w:val="auto"/>
          <w:sz w:val="24"/>
          <w:lang w:val="en-US" w:eastAsia="zh-CN"/>
        </w:rPr>
      </w:pPr>
      <w:r>
        <w:rPr>
          <w:rFonts w:hint="eastAsia"/>
          <w:color w:val="auto"/>
          <w:sz w:val="24"/>
          <w:lang w:val="en-US" w:eastAsia="zh-CN"/>
        </w:rPr>
        <w:t>医疗废物含医疗过程中产生的废弃物，包括一次性医疗器具、手术产生的病理废弃物、化验检验用废试剂、废样品等，置于</w:t>
      </w:r>
      <w:r>
        <w:rPr>
          <w:rFonts w:hint="eastAsia"/>
          <w:color w:val="auto"/>
          <w:sz w:val="24"/>
        </w:rPr>
        <w:t>医疗废物</w:t>
      </w:r>
      <w:r>
        <w:rPr>
          <w:rFonts w:hint="eastAsia"/>
          <w:color w:val="auto"/>
          <w:sz w:val="24"/>
          <w:lang w:val="en-US" w:eastAsia="zh-CN"/>
        </w:rPr>
        <w:t>暂存间</w:t>
      </w:r>
      <w:r>
        <w:rPr>
          <w:color w:val="auto"/>
          <w:sz w:val="24"/>
        </w:rPr>
        <w:t>暂存后</w:t>
      </w:r>
      <w:r>
        <w:rPr>
          <w:rFonts w:hint="eastAsia"/>
          <w:color w:val="auto"/>
          <w:sz w:val="24"/>
          <w:lang w:eastAsia="zh-CN"/>
        </w:rPr>
        <w:t>交</w:t>
      </w:r>
      <w:r>
        <w:rPr>
          <w:color w:val="auto"/>
          <w:sz w:val="24"/>
        </w:rPr>
        <w:t>由</w:t>
      </w:r>
      <w:r>
        <w:rPr>
          <w:rFonts w:hint="eastAsia"/>
          <w:color w:val="auto"/>
          <w:sz w:val="24"/>
          <w:lang w:eastAsia="zh-CN"/>
        </w:rPr>
        <w:t>有资质的单位</w:t>
      </w:r>
      <w:r>
        <w:rPr>
          <w:rFonts w:hint="eastAsia"/>
          <w:color w:val="auto"/>
          <w:sz w:val="24"/>
          <w:lang w:val="en-US" w:eastAsia="zh-CN"/>
        </w:rPr>
        <w:t>处理处置</w:t>
      </w:r>
      <w:r>
        <w:rPr>
          <w:rFonts w:hint="eastAsia" w:cs="宋体"/>
          <w:color w:val="auto"/>
          <w:sz w:val="24"/>
          <w:lang w:eastAsia="zh-CN"/>
        </w:rPr>
        <w:t>；</w:t>
      </w:r>
      <w:r>
        <w:rPr>
          <w:rFonts w:hint="eastAsia"/>
          <w:color w:val="auto"/>
          <w:sz w:val="24"/>
          <w:lang w:val="en-US" w:eastAsia="zh-CN"/>
        </w:rPr>
        <w:t>污水处理站污泥通过</w:t>
      </w:r>
      <w:r>
        <w:rPr>
          <w:rFonts w:hint="default" w:ascii="Times New Roman" w:hAnsi="Times New Roman" w:cs="Times New Roman"/>
          <w:color w:val="auto"/>
          <w:sz w:val="24"/>
        </w:rPr>
        <w:t>在污泥消毒池内投加</w:t>
      </w:r>
      <w:r>
        <w:rPr>
          <w:rFonts w:hint="default" w:ascii="Times New Roman" w:hAnsi="Times New Roman" w:cs="Times New Roman"/>
          <w:color w:val="auto"/>
          <w:sz w:val="24"/>
        </w:rPr>
        <w:t>石灰进行消毒</w:t>
      </w:r>
      <w:r>
        <w:rPr>
          <w:rFonts w:hint="default" w:ascii="Times New Roman" w:hAnsi="Times New Roman" w:cs="Times New Roman"/>
          <w:color w:val="auto"/>
          <w:sz w:val="24"/>
        </w:rPr>
        <w:t>，消毒脱水后交由有资质单位集中处理</w:t>
      </w:r>
      <w:r>
        <w:rPr>
          <w:rFonts w:hint="eastAsia" w:cs="Times New Roman"/>
          <w:color w:val="auto"/>
          <w:sz w:val="24"/>
          <w:lang w:eastAsia="zh-CN"/>
        </w:rPr>
        <w:t>（</w:t>
      </w:r>
      <w:r>
        <w:rPr>
          <w:rFonts w:hint="default" w:ascii="Times New Roman" w:hAnsi="Times New Roman" w:cs="Times New Roman"/>
          <w:color w:val="auto"/>
          <w:sz w:val="24"/>
        </w:rPr>
        <w:t>在定期清淘前应进行监测，将污泥控制在：粪大肠菌群数≤100MPN/g、蛔虫卵死亡率&gt;95%的水平</w:t>
      </w:r>
      <w:r>
        <w:rPr>
          <w:rFonts w:hint="eastAsia" w:cs="Times New Roman"/>
          <w:color w:val="auto"/>
          <w:sz w:val="24"/>
          <w:lang w:eastAsia="zh-CN"/>
        </w:rPr>
        <w:t>）</w:t>
      </w:r>
      <w:r>
        <w:rPr>
          <w:rFonts w:hint="eastAsia" w:cs="宋体"/>
          <w:color w:val="auto"/>
          <w:sz w:val="24"/>
          <w:lang w:eastAsia="zh-CN"/>
        </w:rPr>
        <w:t>；</w:t>
      </w:r>
      <w:r>
        <w:rPr>
          <w:rFonts w:hint="eastAsia" w:cs="Times New Roman"/>
          <w:color w:val="auto"/>
          <w:sz w:val="24"/>
          <w:lang w:eastAsia="zh-CN"/>
        </w:rPr>
        <w:t>废活性炭、废</w:t>
      </w:r>
      <w:r>
        <w:rPr>
          <w:rFonts w:hint="eastAsia" w:cs="Times New Roman"/>
          <w:color w:val="auto"/>
          <w:sz w:val="24"/>
          <w:lang w:val="en-US" w:eastAsia="zh-CN"/>
        </w:rPr>
        <w:t>UV灯管</w:t>
      </w:r>
      <w:r>
        <w:rPr>
          <w:rFonts w:hint="eastAsia" w:cs="Times New Roman"/>
          <w:color w:val="auto"/>
          <w:sz w:val="24"/>
          <w:lang w:eastAsia="zh-CN"/>
        </w:rPr>
        <w:t>，</w:t>
      </w:r>
      <w:r>
        <w:rPr>
          <w:rFonts w:hint="eastAsia" w:cs="Times New Roman"/>
          <w:color w:val="auto"/>
          <w:sz w:val="24"/>
          <w:lang w:val="en-US" w:eastAsia="zh-CN"/>
        </w:rPr>
        <w:t>集中收集后定期委托资质单位处理。</w:t>
      </w:r>
    </w:p>
    <w:p>
      <w:pPr>
        <w:pStyle w:val="30"/>
        <w:spacing w:line="360" w:lineRule="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医疗废物间位于</w:t>
      </w:r>
      <w:r>
        <w:rPr>
          <w:rFonts w:hint="eastAsia" w:ascii="Times New Roman" w:eastAsia="宋体" w:cs="Times New Roman"/>
          <w:color w:val="auto"/>
          <w:kern w:val="2"/>
          <w:sz w:val="24"/>
          <w:szCs w:val="24"/>
          <w:lang w:val="en-US" w:eastAsia="zh-CN" w:bidi="ar-SA"/>
        </w:rPr>
        <w:t>地下二层</w:t>
      </w:r>
      <w:r>
        <w:rPr>
          <w:rFonts w:hint="default" w:ascii="Times New Roman" w:hAnsi="Times New Roman" w:eastAsia="宋体" w:cs="Times New Roman"/>
          <w:color w:val="auto"/>
          <w:kern w:val="2"/>
          <w:sz w:val="24"/>
          <w:szCs w:val="24"/>
          <w:lang w:val="en-US" w:eastAsia="zh-CN" w:bidi="ar-SA"/>
        </w:rPr>
        <w:t>，建筑面积约为</w:t>
      </w:r>
      <w:r>
        <w:rPr>
          <w:rFonts w:hint="eastAsia" w:ascii="Times New Roman" w:eastAsia="宋体" w:cs="Times New Roman"/>
          <w:color w:val="auto"/>
          <w:kern w:val="2"/>
          <w:sz w:val="24"/>
          <w:szCs w:val="24"/>
          <w:lang w:val="en-US" w:eastAsia="zh-CN" w:bidi="ar-SA"/>
        </w:rPr>
        <w:t>80</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该</w:t>
      </w:r>
      <w:r>
        <w:rPr>
          <w:rFonts w:hint="default" w:ascii="Times New Roman" w:hAnsi="Times New Roman" w:eastAsia="宋体" w:cs="Times New Roman"/>
          <w:color w:val="auto"/>
          <w:kern w:val="2"/>
          <w:sz w:val="24"/>
          <w:szCs w:val="24"/>
          <w:lang w:val="en-US" w:eastAsia="zh-CN" w:bidi="ar-SA"/>
        </w:rPr>
        <w:t>医疗废物间属于医疗废物集中转移点，工作人员每日定点将院区各分散</w:t>
      </w:r>
      <w:r>
        <w:rPr>
          <w:rFonts w:hint="eastAsia" w:ascii="Times New Roman" w:hAnsi="Times New Roman" w:eastAsia="宋体" w:cs="Times New Roman"/>
          <w:color w:val="auto"/>
          <w:kern w:val="2"/>
          <w:sz w:val="24"/>
          <w:szCs w:val="24"/>
          <w:lang w:val="en-US" w:eastAsia="zh-CN" w:bidi="ar-SA"/>
        </w:rPr>
        <w:t>收集</w:t>
      </w:r>
      <w:r>
        <w:rPr>
          <w:rFonts w:hint="default" w:ascii="Times New Roman" w:hAnsi="Times New Roman" w:eastAsia="宋体" w:cs="Times New Roman"/>
          <w:color w:val="auto"/>
          <w:kern w:val="2"/>
          <w:sz w:val="24"/>
          <w:szCs w:val="24"/>
          <w:lang w:val="en-US" w:eastAsia="zh-CN" w:bidi="ar-SA"/>
        </w:rPr>
        <w:t>点的医疗废物转移至此</w:t>
      </w:r>
      <w:r>
        <w:rPr>
          <w:rFonts w:hint="eastAsia" w:ascii="Times New Roman" w:hAnsi="Times New Roman" w:eastAsia="宋体" w:cs="Times New Roman"/>
          <w:color w:val="auto"/>
          <w:kern w:val="2"/>
          <w:sz w:val="24"/>
          <w:szCs w:val="24"/>
          <w:lang w:val="en-US" w:eastAsia="zh-CN" w:bidi="ar-SA"/>
        </w:rPr>
        <w:t>处</w:t>
      </w:r>
      <w:r>
        <w:rPr>
          <w:rFonts w:hint="default" w:ascii="Times New Roman" w:hAnsi="Times New Roman" w:eastAsia="宋体" w:cs="Times New Roman"/>
          <w:color w:val="auto"/>
          <w:kern w:val="2"/>
          <w:sz w:val="24"/>
          <w:szCs w:val="24"/>
          <w:lang w:val="en-US" w:eastAsia="zh-CN" w:bidi="ar-SA"/>
        </w:rPr>
        <w:t>，由</w:t>
      </w:r>
      <w:r>
        <w:rPr>
          <w:rFonts w:hint="eastAsia" w:ascii="Times New Roman" w:eastAsia="宋体" w:cs="Times New Roman"/>
          <w:color w:val="auto"/>
          <w:kern w:val="2"/>
          <w:sz w:val="24"/>
          <w:szCs w:val="24"/>
          <w:lang w:val="en-US" w:eastAsia="zh-CN" w:bidi="ar-SA"/>
        </w:rPr>
        <w:t>有资质的单位</w:t>
      </w:r>
      <w:r>
        <w:rPr>
          <w:rFonts w:hint="eastAsia" w:ascii="Times New Roman" w:hAnsi="Times New Roman" w:eastAsia="宋体" w:cs="Times New Roman"/>
          <w:color w:val="auto"/>
          <w:kern w:val="2"/>
          <w:sz w:val="24"/>
          <w:szCs w:val="24"/>
          <w:lang w:val="en-US" w:eastAsia="zh-CN" w:bidi="ar-SA"/>
        </w:rPr>
        <w:t>清运</w:t>
      </w:r>
      <w:r>
        <w:rPr>
          <w:rFonts w:hint="default" w:ascii="Times New Roman" w:hAnsi="Times New Roman" w:eastAsia="宋体" w:cs="Times New Roman"/>
          <w:color w:val="auto"/>
          <w:kern w:val="2"/>
          <w:sz w:val="24"/>
          <w:szCs w:val="24"/>
          <w:lang w:val="en-US" w:eastAsia="zh-CN" w:bidi="ar-SA"/>
        </w:rPr>
        <w:t>处理</w:t>
      </w:r>
      <w:r>
        <w:rPr>
          <w:rFonts w:hint="eastAsia" w:ascii="Times New Roman" w:hAnsi="Times New Roman" w:eastAsia="宋体" w:cs="Times New Roman"/>
          <w:color w:val="auto"/>
          <w:kern w:val="2"/>
          <w:sz w:val="24"/>
          <w:szCs w:val="24"/>
          <w:lang w:val="en-US" w:eastAsia="zh-CN" w:bidi="ar-SA"/>
        </w:rPr>
        <w:t>。</w:t>
      </w:r>
    </w:p>
    <w:p>
      <w:pPr>
        <w:numPr>
          <w:ilvl w:val="0"/>
          <w:numId w:val="0"/>
        </w:numPr>
        <w:spacing w:line="360" w:lineRule="auto"/>
        <w:ind w:leftChars="200"/>
        <w:rPr>
          <w:rFonts w:hint="eastAsia"/>
          <w:color w:val="auto"/>
          <w:sz w:val="24"/>
          <w:lang w:val="en-US" w:eastAsia="zh-CN"/>
        </w:rPr>
      </w:pPr>
      <w:r>
        <w:rPr>
          <w:rFonts w:hint="eastAsia"/>
          <w:color w:val="auto"/>
          <w:sz w:val="24"/>
          <w:lang w:val="en-US" w:eastAsia="zh-CN"/>
        </w:rPr>
        <w:t>3、生活垃圾</w:t>
      </w:r>
    </w:p>
    <w:p>
      <w:pPr>
        <w:numPr>
          <w:ilvl w:val="0"/>
          <w:numId w:val="0"/>
        </w:numPr>
        <w:spacing w:line="360" w:lineRule="auto"/>
        <w:ind w:leftChars="200"/>
        <w:rPr>
          <w:rFonts w:hint="eastAsia" w:ascii="Times New Roman" w:hAnsi="Times New Roman" w:eastAsia="长城黑体" w:cs="Times New Roman"/>
          <w:snapToGrid/>
          <w:color w:val="auto"/>
          <w:spacing w:val="0"/>
          <w:kern w:val="2"/>
          <w:sz w:val="24"/>
          <w:szCs w:val="24"/>
          <w:lang w:val="en-US" w:eastAsia="zh-CN" w:bidi="ar-SA"/>
        </w:rPr>
      </w:pPr>
      <w:r>
        <w:rPr>
          <w:rFonts w:hint="eastAsia" w:ascii="Times New Roman" w:hAnsi="Times New Roman" w:eastAsia="长城黑体" w:cs="Times New Roman"/>
          <w:snapToGrid/>
          <w:color w:val="auto"/>
          <w:spacing w:val="0"/>
          <w:kern w:val="2"/>
          <w:sz w:val="24"/>
          <w:szCs w:val="24"/>
          <w:lang w:val="en-US" w:eastAsia="zh-CN" w:bidi="ar-SA"/>
        </w:rPr>
        <w:t>生活垃圾集中收集后交由环卫部门处理。</w:t>
      </w:r>
    </w:p>
    <w:p>
      <w:pPr>
        <w:pStyle w:val="30"/>
        <w:spacing w:line="360" w:lineRule="auto"/>
        <w:rPr>
          <w:rFonts w:hint="default" w:ascii="Times New Roman" w:hAnsi="Times New Roman" w:eastAsia="宋体" w:cs="Times New Roman"/>
          <w:snapToGrid/>
          <w:color w:val="auto"/>
          <w:spacing w:val="0"/>
          <w:kern w:val="2"/>
          <w:sz w:val="24"/>
          <w:szCs w:val="24"/>
          <w:lang w:val="en-US" w:eastAsia="zh-CN" w:bidi="ar-SA"/>
        </w:rPr>
      </w:pPr>
      <w:r>
        <w:rPr>
          <w:rFonts w:hint="eastAsia" w:ascii="Times New Roman" w:hAnsi="Times New Roman" w:cs="Times New Roman"/>
          <w:snapToGrid/>
          <w:color w:val="auto"/>
          <w:spacing w:val="0"/>
          <w:kern w:val="2"/>
          <w:sz w:val="24"/>
          <w:szCs w:val="24"/>
          <w:lang w:val="en-US" w:eastAsia="zh-CN" w:bidi="ar-SA"/>
        </w:rPr>
        <w:t>项目</w:t>
      </w:r>
      <w:r>
        <w:rPr>
          <w:rFonts w:hint="eastAsia" w:ascii="Times New Roman" w:hAnsi="Times New Roman" w:eastAsia="长城黑体" w:cs="Times New Roman"/>
          <w:snapToGrid/>
          <w:color w:val="auto"/>
          <w:spacing w:val="0"/>
          <w:kern w:val="2"/>
          <w:sz w:val="24"/>
          <w:szCs w:val="24"/>
          <w:lang w:val="en-US" w:eastAsia="zh-CN" w:bidi="ar-SA"/>
        </w:rPr>
        <w:t>生活垃圾集中收集点位于</w:t>
      </w:r>
      <w:r>
        <w:rPr>
          <w:rFonts w:hint="default" w:ascii="Times New Roman" w:hAnsi="Times New Roman" w:eastAsia="宋体" w:cs="Times New Roman"/>
          <w:color w:val="auto"/>
          <w:kern w:val="2"/>
          <w:sz w:val="24"/>
          <w:szCs w:val="24"/>
          <w:lang w:val="en-US" w:eastAsia="zh-CN" w:bidi="ar-SA"/>
        </w:rPr>
        <w:t>一期污水处理站站房</w:t>
      </w:r>
      <w:r>
        <w:rPr>
          <w:rFonts w:hint="eastAsia" w:ascii="Times New Roman" w:hAnsi="Times New Roman" w:eastAsia="宋体" w:cs="Times New Roman"/>
          <w:color w:val="auto"/>
          <w:kern w:val="2"/>
          <w:sz w:val="24"/>
          <w:szCs w:val="24"/>
          <w:lang w:val="en-US" w:eastAsia="zh-CN" w:bidi="ar-SA"/>
        </w:rPr>
        <w:t>南边，为简易彩钢板房，面积约80</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2</w:t>
      </w:r>
      <w:r>
        <w:rPr>
          <w:rFonts w:hint="eastAsia" w:ascii="Times New Roman" w:hAnsi="Times New Roman" w:cs="Times New Roman"/>
          <w:snapToGrid/>
          <w:color w:val="auto"/>
          <w:spacing w:val="0"/>
          <w:kern w:val="2"/>
          <w:sz w:val="24"/>
          <w:szCs w:val="24"/>
          <w:lang w:val="en-US" w:eastAsia="zh-CN" w:bidi="ar-SA"/>
        </w:rPr>
        <w:t>，生活垃圾每日委托环卫部门清运处理。</w:t>
      </w:r>
    </w:p>
    <w:p>
      <w:pPr>
        <w:numPr>
          <w:ilvl w:val="0"/>
          <w:numId w:val="0"/>
        </w:numPr>
        <w:spacing w:line="360" w:lineRule="auto"/>
        <w:ind w:leftChars="200"/>
        <w:rPr>
          <w:color w:val="auto"/>
          <w:sz w:val="24"/>
        </w:rPr>
      </w:pPr>
      <w:r>
        <w:rPr>
          <w:color w:val="auto"/>
          <w:sz w:val="24"/>
        </w:rPr>
        <w:t>项目固体废物处置措施见表</w:t>
      </w:r>
      <w:r>
        <w:rPr>
          <w:rFonts w:hint="eastAsia"/>
          <w:color w:val="auto"/>
          <w:sz w:val="24"/>
          <w:lang w:val="en-US" w:eastAsia="zh-CN"/>
        </w:rPr>
        <w:t>6.2-28</w:t>
      </w:r>
      <w:r>
        <w:rPr>
          <w:color w:val="auto"/>
          <w:sz w:val="24"/>
        </w:rPr>
        <w:t>。</w:t>
      </w:r>
    </w:p>
    <w:p>
      <w:pPr>
        <w:keepNext w:val="0"/>
        <w:keepLines w:val="0"/>
        <w:pageBreakBefore w:val="0"/>
        <w:widowControl w:val="0"/>
        <w:tabs>
          <w:tab w:val="left" w:pos="3794"/>
        </w:tabs>
        <w:kinsoku/>
        <w:wordWrap/>
        <w:overflowPunct/>
        <w:topLinePunct w:val="0"/>
        <w:autoSpaceDE/>
        <w:autoSpaceDN/>
        <w:bidi w:val="0"/>
        <w:adjustRightInd/>
        <w:snapToGrid/>
        <w:spacing w:line="240" w:lineRule="auto"/>
        <w:ind w:firstLine="0" w:firstLineChars="0"/>
        <w:jc w:val="center"/>
        <w:textAlignment w:val="auto"/>
        <w:outlineLvl w:val="9"/>
        <w:rPr>
          <w:b/>
          <w:color w:val="auto"/>
          <w:sz w:val="21"/>
          <w:szCs w:val="21"/>
        </w:rPr>
      </w:pPr>
      <w:r>
        <w:rPr>
          <w:b/>
          <w:color w:val="auto"/>
          <w:sz w:val="21"/>
          <w:szCs w:val="21"/>
        </w:rPr>
        <w:t>表</w:t>
      </w:r>
      <w:r>
        <w:rPr>
          <w:rFonts w:hint="eastAsia"/>
          <w:b/>
          <w:color w:val="auto"/>
          <w:sz w:val="21"/>
          <w:szCs w:val="21"/>
          <w:lang w:val="en-US" w:eastAsia="zh-CN"/>
        </w:rPr>
        <w:t>6.2-28</w:t>
      </w:r>
      <w:r>
        <w:rPr>
          <w:b/>
          <w:color w:val="auto"/>
          <w:sz w:val="21"/>
          <w:szCs w:val="21"/>
        </w:rPr>
        <w:t xml:space="preserve"> </w:t>
      </w:r>
      <w:r>
        <w:rPr>
          <w:rFonts w:hint="eastAsia"/>
          <w:b/>
          <w:color w:val="auto"/>
          <w:sz w:val="21"/>
          <w:szCs w:val="21"/>
          <w:lang w:val="en-US" w:eastAsia="zh-CN"/>
        </w:rPr>
        <w:t xml:space="preserve"> </w:t>
      </w:r>
      <w:r>
        <w:rPr>
          <w:b/>
          <w:color w:val="auto"/>
          <w:sz w:val="21"/>
          <w:szCs w:val="21"/>
        </w:rPr>
        <w:t>固体废物处置措施一览表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9"/>
        <w:gridCol w:w="3224"/>
        <w:gridCol w:w="1191"/>
        <w:gridCol w:w="2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固体废物类别</w:t>
            </w: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名称</w:t>
            </w:r>
          </w:p>
        </w:tc>
        <w:tc>
          <w:tcPr>
            <w:tcW w:w="1191"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产生量(t/a)</w:t>
            </w:r>
          </w:p>
        </w:tc>
        <w:tc>
          <w:tcPr>
            <w:tcW w:w="253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办公、生活垃圾</w:t>
            </w:r>
          </w:p>
        </w:tc>
        <w:tc>
          <w:tcPr>
            <w:tcW w:w="3224" w:type="dxa"/>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普通病人生活垃圾</w:t>
            </w:r>
          </w:p>
        </w:tc>
        <w:tc>
          <w:tcPr>
            <w:tcW w:w="1191"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542.025</w:t>
            </w:r>
          </w:p>
        </w:tc>
        <w:tc>
          <w:tcPr>
            <w:tcW w:w="2534"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集中收集后定期由</w:t>
            </w:r>
            <w:r>
              <w:rPr>
                <w:rFonts w:hint="eastAsia"/>
                <w:color w:val="auto"/>
                <w:sz w:val="21"/>
                <w:szCs w:val="21"/>
                <w:lang w:val="en-US" w:eastAsia="zh-CN"/>
              </w:rPr>
              <w:t>环卫</w:t>
            </w:r>
            <w:r>
              <w:rPr>
                <w:color w:val="auto"/>
                <w:sz w:val="21"/>
                <w:szCs w:val="21"/>
              </w:rPr>
              <w:t>部门统一处置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rFonts w:hint="eastAsia"/>
                <w:color w:val="auto"/>
                <w:sz w:val="21"/>
                <w:szCs w:val="21"/>
              </w:rPr>
              <w:t>门诊产生生活垃圾</w:t>
            </w:r>
          </w:p>
        </w:tc>
        <w:tc>
          <w:tcPr>
            <w:tcW w:w="1191"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color w:val="auto"/>
                <w:sz w:val="21"/>
                <w:szCs w:val="21"/>
              </w:rPr>
            </w:pPr>
          </w:p>
        </w:tc>
        <w:tc>
          <w:tcPr>
            <w:tcW w:w="2534"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医务、管理人员办公垃圾</w:t>
            </w:r>
          </w:p>
        </w:tc>
        <w:tc>
          <w:tcPr>
            <w:tcW w:w="1191" w:type="dxa"/>
            <w:vMerge w:val="continue"/>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2534" w:type="dxa"/>
            <w:vMerge w:val="continue"/>
            <w:tcBorders>
              <w:bottom w:val="single" w:color="auto" w:sz="4" w:space="0"/>
            </w:tcBorders>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一般固体废物</w:t>
            </w: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未被污染输液瓶（袋）</w:t>
            </w:r>
          </w:p>
        </w:tc>
        <w:tc>
          <w:tcPr>
            <w:tcW w:w="1191"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15</w:t>
            </w:r>
          </w:p>
        </w:tc>
        <w:tc>
          <w:tcPr>
            <w:tcW w:w="253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color w:val="auto"/>
                <w:sz w:val="21"/>
                <w:szCs w:val="21"/>
              </w:rPr>
              <w:t>集中收集</w:t>
            </w:r>
            <w:r>
              <w:rPr>
                <w:rFonts w:hint="eastAsia"/>
                <w:color w:val="auto"/>
                <w:sz w:val="21"/>
                <w:szCs w:val="21"/>
                <w:lang w:val="en-US" w:eastAsia="zh-CN"/>
              </w:rPr>
              <w:t>后交</w:t>
            </w:r>
            <w:r>
              <w:rPr>
                <w:rFonts w:hint="eastAsia"/>
                <w:b w:val="0"/>
                <w:bCs w:val="0"/>
                <w:color w:val="auto"/>
                <w:sz w:val="21"/>
                <w:szCs w:val="21"/>
                <w:highlight w:val="none"/>
                <w:lang w:val="en-US" w:eastAsia="zh-CN"/>
              </w:rPr>
              <w:t>安徽灵春科技环保有限公司处置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color w:val="auto"/>
                <w:sz w:val="21"/>
                <w:szCs w:val="21"/>
                <w:lang w:val="en-US" w:eastAsia="zh-CN"/>
              </w:rPr>
            </w:pPr>
            <w:r>
              <w:rPr>
                <w:rFonts w:hint="eastAsia"/>
                <w:color w:val="auto"/>
                <w:sz w:val="21"/>
                <w:szCs w:val="21"/>
                <w:lang w:val="en-US" w:eastAsia="zh-CN"/>
              </w:rPr>
              <w:t>废离子交换树脂</w:t>
            </w:r>
          </w:p>
        </w:tc>
        <w:tc>
          <w:tcPr>
            <w:tcW w:w="1191"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color w:val="auto"/>
                <w:sz w:val="21"/>
                <w:szCs w:val="21"/>
                <w:lang w:val="en-US" w:eastAsia="zh-CN"/>
              </w:rPr>
            </w:pPr>
            <w:r>
              <w:rPr>
                <w:rFonts w:hint="eastAsia"/>
                <w:color w:val="auto"/>
                <w:sz w:val="21"/>
                <w:szCs w:val="21"/>
                <w:lang w:val="en-US" w:eastAsia="zh-CN"/>
              </w:rPr>
              <w:t>2</w:t>
            </w:r>
          </w:p>
        </w:tc>
        <w:tc>
          <w:tcPr>
            <w:tcW w:w="253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eastAsia="宋体"/>
                <w:color w:val="auto"/>
                <w:sz w:val="21"/>
                <w:szCs w:val="21"/>
                <w:lang w:eastAsia="zh-CN"/>
              </w:rPr>
            </w:pPr>
            <w:r>
              <w:rPr>
                <w:rFonts w:hint="eastAsia"/>
                <w:color w:val="auto"/>
                <w:sz w:val="21"/>
                <w:szCs w:val="21"/>
                <w:lang w:eastAsia="zh-CN"/>
              </w:rPr>
              <w:t>由设备厂商更换带走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危险固体废物</w:t>
            </w: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olor w:val="auto"/>
                <w:kern w:val="2"/>
                <w:sz w:val="21"/>
                <w:szCs w:val="21"/>
                <w:lang w:val="en-US" w:eastAsia="zh-CN" w:bidi="ar-SA"/>
              </w:rPr>
            </w:pPr>
            <w:r>
              <w:rPr>
                <w:rFonts w:hint="eastAsia"/>
                <w:color w:val="auto"/>
                <w:sz w:val="21"/>
                <w:szCs w:val="21"/>
                <w:lang w:eastAsia="zh-CN"/>
              </w:rPr>
              <w:t>感染性废物（</w:t>
            </w:r>
            <w:r>
              <w:rPr>
                <w:color w:val="auto"/>
                <w:kern w:val="0"/>
                <w:sz w:val="21"/>
                <w:szCs w:val="21"/>
              </w:rPr>
              <w:t>HW8</w:t>
            </w:r>
            <w:r>
              <w:rPr>
                <w:rFonts w:hint="eastAsia"/>
                <w:color w:val="auto"/>
                <w:kern w:val="0"/>
                <w:sz w:val="21"/>
                <w:szCs w:val="21"/>
                <w:lang w:val="en-US" w:eastAsia="zh-CN"/>
              </w:rPr>
              <w:t>4</w:t>
            </w:r>
            <w:r>
              <w:rPr>
                <w:color w:val="auto"/>
                <w:kern w:val="0"/>
                <w:sz w:val="21"/>
                <w:szCs w:val="21"/>
              </w:rPr>
              <w:t>1-00</w:t>
            </w:r>
            <w:r>
              <w:rPr>
                <w:rFonts w:hint="eastAsia"/>
                <w:color w:val="auto"/>
                <w:kern w:val="0"/>
                <w:sz w:val="21"/>
                <w:szCs w:val="21"/>
                <w:lang w:val="en-US" w:eastAsia="zh-CN"/>
              </w:rPr>
              <w:t>1</w:t>
            </w:r>
            <w:r>
              <w:rPr>
                <w:color w:val="auto"/>
                <w:kern w:val="0"/>
                <w:sz w:val="21"/>
                <w:szCs w:val="21"/>
              </w:rPr>
              <w:t>-01</w:t>
            </w:r>
            <w:r>
              <w:rPr>
                <w:rFonts w:hint="eastAsia"/>
                <w:color w:val="auto"/>
                <w:sz w:val="21"/>
                <w:szCs w:val="21"/>
                <w:lang w:eastAsia="zh-CN"/>
              </w:rPr>
              <w:t>）</w:t>
            </w:r>
          </w:p>
        </w:tc>
        <w:tc>
          <w:tcPr>
            <w:tcW w:w="1191"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547.5</w:t>
            </w:r>
          </w:p>
        </w:tc>
        <w:tc>
          <w:tcPr>
            <w:tcW w:w="2534" w:type="dxa"/>
            <w:vMerge w:val="restart"/>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rFonts w:hint="eastAsia"/>
                <w:color w:val="auto"/>
                <w:sz w:val="21"/>
                <w:szCs w:val="21"/>
              </w:rPr>
              <w:t>交由</w:t>
            </w:r>
            <w:r>
              <w:rPr>
                <w:rFonts w:hint="eastAsia"/>
                <w:color w:val="auto"/>
                <w:sz w:val="21"/>
                <w:szCs w:val="21"/>
                <w:lang w:val="en-US" w:eastAsia="zh-CN"/>
              </w:rPr>
              <w:t>阜阳市利康医疗废物处置有限公司</w:t>
            </w:r>
            <w:r>
              <w:rPr>
                <w:rFonts w:hint="eastAsia"/>
                <w:color w:val="auto"/>
                <w:sz w:val="21"/>
                <w:szCs w:val="21"/>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olor w:val="auto"/>
                <w:kern w:val="2"/>
                <w:sz w:val="21"/>
                <w:szCs w:val="21"/>
                <w:lang w:val="en-US" w:eastAsia="zh-CN" w:bidi="ar-SA"/>
              </w:rPr>
            </w:pPr>
            <w:r>
              <w:rPr>
                <w:color w:val="auto"/>
                <w:sz w:val="21"/>
                <w:szCs w:val="21"/>
              </w:rPr>
              <w:t>损伤性废物（</w:t>
            </w:r>
            <w:r>
              <w:rPr>
                <w:color w:val="auto"/>
                <w:kern w:val="0"/>
                <w:sz w:val="21"/>
                <w:szCs w:val="21"/>
              </w:rPr>
              <w:t>HW8</w:t>
            </w:r>
            <w:r>
              <w:rPr>
                <w:rFonts w:hint="eastAsia"/>
                <w:color w:val="auto"/>
                <w:kern w:val="0"/>
                <w:sz w:val="21"/>
                <w:szCs w:val="21"/>
                <w:lang w:val="en-US" w:eastAsia="zh-CN"/>
              </w:rPr>
              <w:t>4</w:t>
            </w:r>
            <w:r>
              <w:rPr>
                <w:color w:val="auto"/>
                <w:kern w:val="0"/>
                <w:sz w:val="21"/>
                <w:szCs w:val="21"/>
              </w:rPr>
              <w:t>1-00</w:t>
            </w:r>
            <w:r>
              <w:rPr>
                <w:rFonts w:hint="eastAsia"/>
                <w:color w:val="auto"/>
                <w:kern w:val="0"/>
                <w:sz w:val="21"/>
                <w:szCs w:val="21"/>
                <w:lang w:val="en-US" w:eastAsia="zh-CN"/>
              </w:rPr>
              <w:t>2</w:t>
            </w:r>
            <w:r>
              <w:rPr>
                <w:color w:val="auto"/>
                <w:kern w:val="0"/>
                <w:sz w:val="21"/>
                <w:szCs w:val="21"/>
              </w:rPr>
              <w:t>-01）</w:t>
            </w:r>
          </w:p>
        </w:tc>
        <w:tc>
          <w:tcPr>
            <w:tcW w:w="1191"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color w:val="auto"/>
                <w:sz w:val="21"/>
                <w:szCs w:val="21"/>
                <w:lang w:val="en-US" w:eastAsia="zh-CN"/>
              </w:rPr>
            </w:pPr>
          </w:p>
        </w:tc>
        <w:tc>
          <w:tcPr>
            <w:tcW w:w="2534"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病理性废物（</w:t>
            </w:r>
            <w:r>
              <w:rPr>
                <w:color w:val="auto"/>
                <w:kern w:val="0"/>
                <w:sz w:val="21"/>
                <w:szCs w:val="21"/>
              </w:rPr>
              <w:t>HW8</w:t>
            </w:r>
            <w:r>
              <w:rPr>
                <w:rFonts w:hint="eastAsia"/>
                <w:color w:val="auto"/>
                <w:kern w:val="0"/>
                <w:sz w:val="21"/>
                <w:szCs w:val="21"/>
                <w:lang w:val="en-US" w:eastAsia="zh-CN"/>
              </w:rPr>
              <w:t>4</w:t>
            </w:r>
            <w:r>
              <w:rPr>
                <w:color w:val="auto"/>
                <w:kern w:val="0"/>
                <w:sz w:val="21"/>
                <w:szCs w:val="21"/>
              </w:rPr>
              <w:t>1-00</w:t>
            </w:r>
            <w:r>
              <w:rPr>
                <w:rFonts w:hint="eastAsia"/>
                <w:color w:val="auto"/>
                <w:kern w:val="0"/>
                <w:sz w:val="21"/>
                <w:szCs w:val="21"/>
                <w:lang w:val="en-US" w:eastAsia="zh-CN"/>
              </w:rPr>
              <w:t>3</w:t>
            </w:r>
            <w:r>
              <w:rPr>
                <w:color w:val="auto"/>
                <w:kern w:val="0"/>
                <w:sz w:val="21"/>
                <w:szCs w:val="21"/>
              </w:rPr>
              <w:t>-01）</w:t>
            </w:r>
          </w:p>
        </w:tc>
        <w:tc>
          <w:tcPr>
            <w:tcW w:w="1191"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2534"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化学性废物（HW8</w:t>
            </w:r>
            <w:r>
              <w:rPr>
                <w:rFonts w:hint="eastAsia"/>
                <w:color w:val="auto"/>
                <w:sz w:val="21"/>
                <w:szCs w:val="21"/>
                <w:lang w:val="en-US" w:eastAsia="zh-CN"/>
              </w:rPr>
              <w:t>4</w:t>
            </w:r>
            <w:r>
              <w:rPr>
                <w:color w:val="auto"/>
                <w:sz w:val="21"/>
                <w:szCs w:val="21"/>
              </w:rPr>
              <w:t>1-00</w:t>
            </w:r>
            <w:r>
              <w:rPr>
                <w:rFonts w:hint="eastAsia"/>
                <w:color w:val="auto"/>
                <w:sz w:val="21"/>
                <w:szCs w:val="21"/>
                <w:lang w:val="en-US" w:eastAsia="zh-CN"/>
              </w:rPr>
              <w:t>4</w:t>
            </w:r>
            <w:r>
              <w:rPr>
                <w:color w:val="auto"/>
                <w:sz w:val="21"/>
                <w:szCs w:val="21"/>
              </w:rPr>
              <w:t>-01</w:t>
            </w:r>
            <w:r>
              <w:rPr>
                <w:color w:val="auto"/>
                <w:kern w:val="0"/>
                <w:sz w:val="21"/>
                <w:szCs w:val="21"/>
              </w:rPr>
              <w:t>）</w:t>
            </w:r>
          </w:p>
        </w:tc>
        <w:tc>
          <w:tcPr>
            <w:tcW w:w="1191"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2534"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color w:val="auto"/>
                <w:sz w:val="21"/>
                <w:szCs w:val="21"/>
              </w:rPr>
              <w:t>药物性废物（</w:t>
            </w:r>
            <w:r>
              <w:rPr>
                <w:color w:val="auto"/>
                <w:kern w:val="0"/>
                <w:sz w:val="21"/>
                <w:szCs w:val="21"/>
              </w:rPr>
              <w:t>HW8</w:t>
            </w:r>
            <w:r>
              <w:rPr>
                <w:rFonts w:hint="eastAsia"/>
                <w:color w:val="auto"/>
                <w:kern w:val="0"/>
                <w:sz w:val="21"/>
                <w:szCs w:val="21"/>
                <w:lang w:val="en-US" w:eastAsia="zh-CN"/>
              </w:rPr>
              <w:t>4</w:t>
            </w:r>
            <w:r>
              <w:rPr>
                <w:color w:val="auto"/>
                <w:kern w:val="0"/>
                <w:sz w:val="21"/>
                <w:szCs w:val="21"/>
              </w:rPr>
              <w:t>1-00</w:t>
            </w:r>
            <w:r>
              <w:rPr>
                <w:rFonts w:hint="eastAsia"/>
                <w:color w:val="auto"/>
                <w:kern w:val="0"/>
                <w:sz w:val="21"/>
                <w:szCs w:val="21"/>
                <w:lang w:val="en-US" w:eastAsia="zh-CN"/>
              </w:rPr>
              <w:t>5</w:t>
            </w:r>
            <w:r>
              <w:rPr>
                <w:color w:val="auto"/>
                <w:kern w:val="0"/>
                <w:sz w:val="21"/>
                <w:szCs w:val="21"/>
              </w:rPr>
              <w:t>-01）</w:t>
            </w:r>
          </w:p>
        </w:tc>
        <w:tc>
          <w:tcPr>
            <w:tcW w:w="1191"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2534"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ascii="Times New Roman" w:hAnsi="Times New Roman" w:eastAsia="宋体"/>
                <w:color w:val="auto"/>
                <w:kern w:val="2"/>
                <w:sz w:val="21"/>
                <w:szCs w:val="21"/>
                <w:lang w:val="en-US" w:eastAsia="zh-CN" w:bidi="ar-SA"/>
              </w:rPr>
            </w:pPr>
            <w:r>
              <w:rPr>
                <w:color w:val="auto"/>
                <w:sz w:val="21"/>
                <w:szCs w:val="21"/>
              </w:rPr>
              <w:t>废水处理污泥（</w:t>
            </w:r>
            <w:r>
              <w:rPr>
                <w:color w:val="auto"/>
                <w:kern w:val="0"/>
                <w:sz w:val="21"/>
                <w:szCs w:val="21"/>
              </w:rPr>
              <w:t>HW</w:t>
            </w:r>
            <w:r>
              <w:rPr>
                <w:rFonts w:hint="eastAsia"/>
                <w:color w:val="auto"/>
                <w:kern w:val="0"/>
                <w:sz w:val="21"/>
                <w:szCs w:val="21"/>
                <w:lang w:val="en-US" w:eastAsia="zh-CN"/>
              </w:rPr>
              <w:t>772-006-49</w:t>
            </w:r>
            <w:r>
              <w:rPr>
                <w:color w:val="auto"/>
                <w:kern w:val="0"/>
                <w:sz w:val="21"/>
                <w:szCs w:val="21"/>
              </w:rPr>
              <w:t>）</w:t>
            </w:r>
          </w:p>
        </w:tc>
        <w:tc>
          <w:tcPr>
            <w:tcW w:w="1191"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3.6</w:t>
            </w:r>
          </w:p>
        </w:tc>
        <w:tc>
          <w:tcPr>
            <w:tcW w:w="253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olor w:val="auto"/>
                <w:kern w:val="2"/>
                <w:sz w:val="21"/>
                <w:szCs w:val="21"/>
                <w:lang w:val="en-US" w:eastAsia="zh-CN" w:bidi="ar-SA"/>
              </w:rPr>
            </w:pPr>
            <w:r>
              <w:rPr>
                <w:rFonts w:hint="eastAsia"/>
                <w:color w:val="auto"/>
                <w:sz w:val="21"/>
                <w:szCs w:val="21"/>
                <w:lang w:eastAsia="zh-CN"/>
              </w:rPr>
              <w:t>交</w:t>
            </w:r>
            <w:r>
              <w:rPr>
                <w:color w:val="auto"/>
                <w:sz w:val="21"/>
                <w:szCs w:val="21"/>
              </w:rPr>
              <w:t>由</w:t>
            </w:r>
            <w:r>
              <w:rPr>
                <w:rFonts w:hint="eastAsia"/>
                <w:color w:val="auto"/>
                <w:sz w:val="21"/>
                <w:szCs w:val="21"/>
                <w:lang w:eastAsia="zh-CN"/>
              </w:rPr>
              <w:t>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79" w:type="dxa"/>
            <w:vMerge w:val="continue"/>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p>
        </w:tc>
        <w:tc>
          <w:tcPr>
            <w:tcW w:w="32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eastAsia="宋体"/>
                <w:color w:val="auto"/>
                <w:sz w:val="21"/>
                <w:szCs w:val="21"/>
                <w:lang w:eastAsia="zh-CN"/>
              </w:rPr>
            </w:pPr>
            <w:r>
              <w:rPr>
                <w:rFonts w:hint="eastAsia"/>
                <w:color w:val="auto"/>
                <w:sz w:val="21"/>
                <w:szCs w:val="21"/>
                <w:lang w:eastAsia="zh-CN"/>
              </w:rPr>
              <w:t xml:space="preserve">废活性炭（ </w:t>
            </w:r>
            <w:r>
              <w:rPr>
                <w:color w:val="auto"/>
                <w:kern w:val="0"/>
                <w:sz w:val="21"/>
                <w:szCs w:val="21"/>
              </w:rPr>
              <w:t>HW</w:t>
            </w:r>
            <w:r>
              <w:rPr>
                <w:rFonts w:hint="eastAsia"/>
                <w:color w:val="auto"/>
                <w:sz w:val="21"/>
                <w:szCs w:val="21"/>
                <w:lang w:eastAsia="zh-CN"/>
              </w:rPr>
              <w:t>900-039-49 ）</w:t>
            </w:r>
          </w:p>
        </w:tc>
        <w:tc>
          <w:tcPr>
            <w:tcW w:w="1191"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0.775</w:t>
            </w:r>
          </w:p>
        </w:tc>
        <w:tc>
          <w:tcPr>
            <w:tcW w:w="2534" w:type="dxa"/>
            <w:noWrap w:val="0"/>
            <w:vAlign w:val="center"/>
          </w:tcPr>
          <w:p>
            <w:pPr>
              <w:keepNext w:val="0"/>
              <w:keepLines w:val="0"/>
              <w:pageBreakBefore w:val="0"/>
              <w:widowControl w:val="0"/>
              <w:tabs>
                <w:tab w:val="left" w:pos="5226"/>
              </w:tabs>
              <w:kinsoku/>
              <w:wordWrap/>
              <w:overflowPunct/>
              <w:topLinePunct w:val="0"/>
              <w:autoSpaceDE/>
              <w:autoSpaceDN/>
              <w:bidi w:val="0"/>
              <w:adjustRightInd/>
              <w:snapToGrid/>
              <w:spacing w:line="240" w:lineRule="auto"/>
              <w:ind w:firstLine="0" w:firstLineChars="0"/>
              <w:jc w:val="center"/>
              <w:textAlignment w:val="auto"/>
              <w:outlineLvl w:val="9"/>
              <w:rPr>
                <w:color w:val="auto"/>
                <w:sz w:val="21"/>
                <w:szCs w:val="21"/>
              </w:rPr>
            </w:pPr>
            <w:r>
              <w:rPr>
                <w:rFonts w:hint="eastAsia"/>
                <w:color w:val="auto"/>
                <w:sz w:val="21"/>
                <w:szCs w:val="21"/>
                <w:lang w:eastAsia="zh-CN"/>
              </w:rPr>
              <w:t>交</w:t>
            </w:r>
            <w:r>
              <w:rPr>
                <w:color w:val="auto"/>
                <w:sz w:val="21"/>
                <w:szCs w:val="21"/>
              </w:rPr>
              <w:t>由</w:t>
            </w:r>
            <w:r>
              <w:rPr>
                <w:rFonts w:hint="eastAsia"/>
                <w:color w:val="auto"/>
                <w:sz w:val="21"/>
                <w:szCs w:val="21"/>
                <w:lang w:eastAsia="zh-CN"/>
              </w:rPr>
              <w:t>有资质单位处理</w:t>
            </w:r>
          </w:p>
        </w:tc>
      </w:tr>
    </w:tbl>
    <w:p>
      <w:pPr>
        <w:snapToGrid w:val="0"/>
        <w:spacing w:line="360" w:lineRule="auto"/>
        <w:ind w:firstLine="480" w:firstLineChars="200"/>
        <w:rPr>
          <w:color w:val="auto"/>
          <w:sz w:val="24"/>
          <w:szCs w:val="24"/>
        </w:rPr>
      </w:pPr>
      <w:bookmarkStart w:id="89" w:name="_Toc12075"/>
      <w:bookmarkStart w:id="90" w:name="_Toc10394"/>
      <w:bookmarkStart w:id="91" w:name="_Toc17792"/>
      <w:r>
        <w:rPr>
          <w:color w:val="auto"/>
          <w:sz w:val="24"/>
          <w:szCs w:val="24"/>
        </w:rPr>
        <w:t>本评价在参考《医疗废物管理条例》</w:t>
      </w:r>
      <w:r>
        <w:rPr>
          <w:rFonts w:hint="eastAsia"/>
          <w:color w:val="auto"/>
          <w:sz w:val="24"/>
          <w:szCs w:val="24"/>
          <w:lang w:eastAsia="zh-CN"/>
        </w:rPr>
        <w:t>（</w:t>
      </w:r>
      <w:r>
        <w:rPr>
          <w:rFonts w:hint="eastAsia"/>
          <w:color w:val="auto"/>
          <w:sz w:val="24"/>
          <w:szCs w:val="24"/>
          <w:lang w:val="en-US" w:eastAsia="zh-CN"/>
        </w:rPr>
        <w:t>2011修订</w:t>
      </w:r>
      <w:r>
        <w:rPr>
          <w:rFonts w:hint="eastAsia"/>
          <w:color w:val="auto"/>
          <w:sz w:val="24"/>
          <w:szCs w:val="24"/>
          <w:lang w:eastAsia="zh-CN"/>
        </w:rPr>
        <w:t>）</w:t>
      </w:r>
      <w:r>
        <w:rPr>
          <w:color w:val="auto"/>
          <w:sz w:val="24"/>
          <w:szCs w:val="24"/>
        </w:rPr>
        <w:t>，以及卫生部[2003]第36号令《医疗卫生机构医疗废物管理办法》等，提出以下污染防治措施：</w:t>
      </w:r>
    </w:p>
    <w:p>
      <w:pPr>
        <w:snapToGrid w:val="0"/>
        <w:spacing w:line="360" w:lineRule="auto"/>
        <w:ind w:firstLine="480" w:firstLineChars="200"/>
        <w:rPr>
          <w:color w:val="auto"/>
          <w:sz w:val="24"/>
          <w:szCs w:val="24"/>
        </w:rPr>
      </w:pPr>
      <w:r>
        <w:rPr>
          <w:color w:val="auto"/>
          <w:sz w:val="24"/>
          <w:szCs w:val="24"/>
        </w:rPr>
        <w:t xml:space="preserve">1、分类收集 </w:t>
      </w:r>
    </w:p>
    <w:p>
      <w:pPr>
        <w:snapToGrid w:val="0"/>
        <w:spacing w:line="360" w:lineRule="auto"/>
        <w:ind w:firstLine="480" w:firstLineChars="200"/>
        <w:rPr>
          <w:color w:val="auto"/>
          <w:sz w:val="24"/>
          <w:szCs w:val="24"/>
        </w:rPr>
      </w:pPr>
      <w:r>
        <w:rPr>
          <w:color w:val="auto"/>
          <w:sz w:val="24"/>
          <w:szCs w:val="24"/>
        </w:rPr>
        <w:t>废弃物的收集是否完善彻底、是否分类是医院废弃物处理处置的关键。结合处理处置措施的不同，医院废弃物可分为：A) 损伤性废弃物，如手术刀、注射针等；B) 病原性废弃物，如纱布、脱脂棉、输液管等；C) 一般可燃废弃物，如塑料包装袋、普通生活垃圾等；D) 一般不可燃废弃物，如输液瓶等；E) 病理组织等；F) 化学试剂和过期药品等，有机、无机，液体、固体必须分开收集。</w:t>
      </w:r>
    </w:p>
    <w:p>
      <w:pPr>
        <w:snapToGrid w:val="0"/>
        <w:spacing w:line="360" w:lineRule="auto"/>
        <w:ind w:firstLine="480" w:firstLineChars="200"/>
        <w:rPr>
          <w:color w:val="auto"/>
          <w:sz w:val="24"/>
          <w:szCs w:val="24"/>
        </w:rPr>
      </w:pPr>
      <w:r>
        <w:rPr>
          <w:color w:val="auto"/>
          <w:sz w:val="24"/>
          <w:szCs w:val="24"/>
        </w:rPr>
        <w:t>2、分类处置</w:t>
      </w:r>
    </w:p>
    <w:p>
      <w:pPr>
        <w:snapToGrid w:val="0"/>
        <w:spacing w:line="360" w:lineRule="auto"/>
        <w:ind w:firstLine="480" w:firstLineChars="200"/>
        <w:rPr>
          <w:color w:val="auto"/>
          <w:sz w:val="24"/>
          <w:szCs w:val="24"/>
        </w:rPr>
      </w:pPr>
      <w:r>
        <w:rPr>
          <w:color w:val="auto"/>
          <w:sz w:val="24"/>
          <w:szCs w:val="24"/>
        </w:rPr>
        <w:t>一次性医疗器械毁形消毒后委托</w:t>
      </w:r>
      <w:r>
        <w:rPr>
          <w:rFonts w:hint="eastAsia"/>
          <w:color w:val="auto"/>
          <w:sz w:val="24"/>
          <w:szCs w:val="24"/>
          <w:lang w:eastAsia="zh-CN"/>
        </w:rPr>
        <w:t>有资质的单位</w:t>
      </w:r>
      <w:r>
        <w:rPr>
          <w:color w:val="auto"/>
          <w:sz w:val="24"/>
          <w:szCs w:val="24"/>
        </w:rPr>
        <w:t>进行处置；可以焚烧的医疗废物委托</w:t>
      </w:r>
      <w:r>
        <w:rPr>
          <w:rFonts w:hint="eastAsia"/>
          <w:color w:val="auto"/>
          <w:sz w:val="24"/>
          <w:szCs w:val="24"/>
          <w:lang w:eastAsia="zh-CN"/>
        </w:rPr>
        <w:t>有资质的单位</w:t>
      </w:r>
      <w:r>
        <w:rPr>
          <w:color w:val="auto"/>
          <w:sz w:val="24"/>
          <w:szCs w:val="24"/>
        </w:rPr>
        <w:t>及时焚烧处理。</w:t>
      </w:r>
    </w:p>
    <w:p>
      <w:pPr>
        <w:snapToGrid w:val="0"/>
        <w:spacing w:line="360" w:lineRule="auto"/>
        <w:ind w:firstLine="480" w:firstLineChars="200"/>
        <w:rPr>
          <w:color w:val="auto"/>
          <w:sz w:val="24"/>
          <w:szCs w:val="24"/>
        </w:rPr>
      </w:pPr>
      <w:r>
        <w:rPr>
          <w:color w:val="auto"/>
          <w:sz w:val="24"/>
          <w:szCs w:val="24"/>
        </w:rPr>
        <w:t>3、具体措施</w:t>
      </w:r>
    </w:p>
    <w:p>
      <w:pPr>
        <w:snapToGrid w:val="0"/>
        <w:spacing w:line="360" w:lineRule="auto"/>
        <w:ind w:firstLine="480" w:firstLineChars="200"/>
        <w:rPr>
          <w:color w:val="auto"/>
          <w:sz w:val="24"/>
          <w:szCs w:val="24"/>
        </w:rPr>
      </w:pPr>
      <w:r>
        <w:rPr>
          <w:color w:val="auto"/>
          <w:sz w:val="24"/>
          <w:szCs w:val="24"/>
        </w:rPr>
        <w:t>（1）收集容器的规定</w:t>
      </w:r>
    </w:p>
    <w:p>
      <w:pPr>
        <w:snapToGrid w:val="0"/>
        <w:spacing w:line="360" w:lineRule="auto"/>
        <w:ind w:firstLine="480" w:firstLineChars="200"/>
        <w:rPr>
          <w:color w:val="auto"/>
          <w:sz w:val="24"/>
          <w:szCs w:val="24"/>
        </w:rPr>
      </w:pPr>
      <w:r>
        <w:rPr>
          <w:color w:val="auto"/>
          <w:sz w:val="24"/>
          <w:szCs w:val="24"/>
        </w:rPr>
        <w:t>收集容器应符合《医疗废物专用包装袋、容器和警示标志标准》(HJ 421-2008)要求。</w:t>
      </w:r>
    </w:p>
    <w:p>
      <w:pPr>
        <w:snapToGrid w:val="0"/>
        <w:spacing w:line="360" w:lineRule="auto"/>
        <w:ind w:firstLine="480" w:firstLineChars="200"/>
        <w:rPr>
          <w:color w:val="auto"/>
          <w:sz w:val="24"/>
          <w:szCs w:val="24"/>
        </w:rPr>
      </w:pPr>
      <w:r>
        <w:rPr>
          <w:color w:val="auto"/>
          <w:sz w:val="24"/>
          <w:szCs w:val="24"/>
        </w:rPr>
        <w:t>包装袋在正常使用情况下，不应出现渗漏、破裂和穿孔；采用高温热处置技术处置医疗废物时，包装袋不应使用聚氯乙烯材料；包装袋容积大小应适中，便于操作，配合周转箱（桶）运输；医疗废物包装袋的颜色为淡黄，颜色应符合GB/T 3181中Y06的要求，包装袋的明显处应印制警示标志和警告语；包装袋外观质量：表面基本平整、无皱褶、污迹和杂质，无划痕、气泡、缩孔、针孔以及其他缺陷；包装袋物理机械性能应符合相应的规定。</w:t>
      </w:r>
    </w:p>
    <w:p>
      <w:pPr>
        <w:snapToGrid w:val="0"/>
        <w:spacing w:line="360" w:lineRule="auto"/>
        <w:ind w:firstLine="480" w:firstLineChars="200"/>
        <w:rPr>
          <w:color w:val="auto"/>
          <w:sz w:val="24"/>
          <w:szCs w:val="24"/>
        </w:rPr>
      </w:pPr>
      <w:r>
        <w:rPr>
          <w:color w:val="auto"/>
          <w:sz w:val="24"/>
          <w:szCs w:val="24"/>
        </w:rPr>
        <w:t xml:space="preserve">利器盒整体为硬质材料制成，封闭且防刺穿，以保证在正常情况下，利器盒内盛装物不撒漏，并且利器盒一旦被封口，在不破坏的情况下无法被再次打开；采用高温热处置技术处置损伤性废物时，利器盒不应使用聚氯乙烯材料；利器盒整体颜色为淡黄，颜色应符合GB/T 3181中Y06的要求。利器盒侧面明显处应印制警示标志，警告语为“警告！损伤性废物”；满盛装量的利器盒从1.2m高处自由跌落至水泥地面，连续3次，不会出现破裂、被刺穿等情况。 </w:t>
      </w:r>
    </w:p>
    <w:p>
      <w:pPr>
        <w:snapToGrid w:val="0"/>
        <w:spacing w:line="360" w:lineRule="auto"/>
        <w:ind w:firstLine="480" w:firstLineChars="200"/>
        <w:rPr>
          <w:color w:val="auto"/>
          <w:sz w:val="24"/>
          <w:szCs w:val="24"/>
        </w:rPr>
      </w:pPr>
      <w:r>
        <w:rPr>
          <w:color w:val="auto"/>
          <w:sz w:val="24"/>
          <w:szCs w:val="24"/>
        </w:rPr>
        <w:t xml:space="preserve">周转箱（桶）整体应防液体渗漏，应便于清洗和消毒；周转箱（桶）整体为淡黄，颜色应符合GB/T3181中Y06的要求。箱体侧面或桶身明显处应印（喷）制警示标志和警告语；周转箱整体装配密闭，箱体与箱盖能牢固扣紧，扣紧后不分离；表面光滑平整，完整无裂损，没有明显凹陷，边缘及提手无毛刺；周转箱的箱底和顶部有配合牙槽，具有防滑功能；周转箱物理机械性能应符合相应规定。 </w:t>
      </w:r>
    </w:p>
    <w:p>
      <w:pPr>
        <w:snapToGrid w:val="0"/>
        <w:spacing w:line="360" w:lineRule="auto"/>
        <w:ind w:firstLine="480" w:firstLineChars="200"/>
        <w:rPr>
          <w:color w:val="auto"/>
          <w:sz w:val="24"/>
          <w:szCs w:val="24"/>
        </w:rPr>
      </w:pPr>
      <w:r>
        <w:rPr>
          <w:color w:val="auto"/>
          <w:sz w:val="24"/>
          <w:szCs w:val="24"/>
        </w:rPr>
        <w:t>（2）分类收集的措施</w:t>
      </w:r>
    </w:p>
    <w:p>
      <w:pPr>
        <w:snapToGrid w:val="0"/>
        <w:spacing w:line="360" w:lineRule="auto"/>
        <w:ind w:firstLine="480" w:firstLineChars="200"/>
        <w:rPr>
          <w:color w:val="auto"/>
          <w:sz w:val="24"/>
          <w:szCs w:val="24"/>
        </w:rPr>
      </w:pPr>
      <w:r>
        <w:rPr>
          <w:color w:val="auto"/>
          <w:sz w:val="24"/>
          <w:szCs w:val="24"/>
        </w:rPr>
        <w:t>根据医疗废物的类别，将医疗废物分置于符合《医疗废物专用包装袋、容器和警示标志标准》的包装物或者容器内。在盛装医疗废物前，应当对医疗废物包装物或者容器进行认真检查，确保无破损、渗漏和其它缺陷。</w:t>
      </w:r>
    </w:p>
    <w:p>
      <w:pPr>
        <w:snapToGrid w:val="0"/>
        <w:spacing w:line="360" w:lineRule="auto"/>
        <w:ind w:firstLine="480" w:firstLineChars="200"/>
        <w:rPr>
          <w:color w:val="auto"/>
          <w:sz w:val="24"/>
          <w:szCs w:val="24"/>
        </w:rPr>
      </w:pPr>
      <w:r>
        <w:rPr>
          <w:color w:val="auto"/>
          <w:sz w:val="24"/>
          <w:szCs w:val="24"/>
        </w:rPr>
        <w:t>病理性废物、损伤性废物、药物性废物及化学性废物不能混合收集。废弃的麻醉、精神、毒性等药品及其相关的废物的管理，依照有关法律、行政法规和国家有关规定、标准执行。</w:t>
      </w:r>
    </w:p>
    <w:p>
      <w:pPr>
        <w:snapToGrid w:val="0"/>
        <w:spacing w:line="360" w:lineRule="auto"/>
        <w:ind w:firstLine="480" w:firstLineChars="200"/>
        <w:rPr>
          <w:color w:val="auto"/>
          <w:sz w:val="24"/>
          <w:szCs w:val="24"/>
        </w:rPr>
      </w:pPr>
      <w:r>
        <w:rPr>
          <w:color w:val="auto"/>
          <w:sz w:val="24"/>
          <w:szCs w:val="24"/>
        </w:rPr>
        <w:t>化学性废物中批量的废化学试剂、废消毒剂应当交由专门机构处置。</w:t>
      </w:r>
    </w:p>
    <w:p>
      <w:pPr>
        <w:snapToGrid w:val="0"/>
        <w:spacing w:line="360" w:lineRule="auto"/>
        <w:ind w:firstLine="480" w:firstLineChars="200"/>
        <w:rPr>
          <w:color w:val="auto"/>
          <w:sz w:val="24"/>
          <w:szCs w:val="24"/>
        </w:rPr>
      </w:pPr>
      <w:r>
        <w:rPr>
          <w:color w:val="auto"/>
          <w:sz w:val="24"/>
          <w:szCs w:val="24"/>
        </w:rPr>
        <w:t>批量的含有汞的体温计、血压计等医疗器具报废时，应当交由专门机构处置。</w:t>
      </w:r>
    </w:p>
    <w:p>
      <w:pPr>
        <w:snapToGrid w:val="0"/>
        <w:spacing w:line="360" w:lineRule="auto"/>
        <w:ind w:firstLine="480" w:firstLineChars="200"/>
        <w:rPr>
          <w:rFonts w:hint="eastAsia"/>
          <w:color w:val="auto"/>
          <w:sz w:val="24"/>
          <w:szCs w:val="24"/>
        </w:rPr>
      </w:pPr>
      <w:r>
        <w:rPr>
          <w:color w:val="auto"/>
          <w:sz w:val="24"/>
          <w:szCs w:val="24"/>
        </w:rPr>
        <w:t>盛装的医疗废物达到包装物或者容器的3/4时，应当使用有效的封口方式，使包装物或者容器的封口紧实、严密。</w:t>
      </w:r>
    </w:p>
    <w:p>
      <w:pPr>
        <w:snapToGrid w:val="0"/>
        <w:spacing w:line="360" w:lineRule="auto"/>
        <w:ind w:firstLine="480" w:firstLineChars="200"/>
        <w:rPr>
          <w:color w:val="auto"/>
          <w:sz w:val="24"/>
          <w:szCs w:val="24"/>
        </w:rPr>
      </w:pPr>
      <w:r>
        <w:rPr>
          <w:color w:val="auto"/>
          <w:sz w:val="24"/>
          <w:szCs w:val="24"/>
        </w:rPr>
        <w:t>（3）暂时贮存措施</w:t>
      </w:r>
    </w:p>
    <w:p>
      <w:pPr>
        <w:snapToGrid w:val="0"/>
        <w:spacing w:line="360" w:lineRule="auto"/>
        <w:ind w:firstLine="480" w:firstLineChars="200"/>
        <w:rPr>
          <w:color w:val="auto"/>
          <w:sz w:val="24"/>
          <w:szCs w:val="24"/>
        </w:rPr>
      </w:pPr>
      <w:r>
        <w:rPr>
          <w:color w:val="auto"/>
          <w:sz w:val="24"/>
          <w:szCs w:val="24"/>
        </w:rPr>
        <w:t>医疗废物的暂时贮存设施、设备应当定期消毒和清洁，应满足《危险废物贮存污染控制标准》（GB18597-2001）的要求。</w:t>
      </w:r>
    </w:p>
    <w:p>
      <w:pPr>
        <w:snapToGrid w:val="0"/>
        <w:spacing w:line="360" w:lineRule="auto"/>
        <w:ind w:firstLine="480" w:firstLineChars="200"/>
        <w:rPr>
          <w:color w:val="auto"/>
          <w:sz w:val="24"/>
          <w:szCs w:val="24"/>
        </w:rPr>
      </w:pPr>
      <w:r>
        <w:rPr>
          <w:color w:val="auto"/>
          <w:sz w:val="24"/>
          <w:szCs w:val="24"/>
        </w:rPr>
        <w:t>医疗废物的暂时贮存设施、设备应当达到以下要求：</w:t>
      </w:r>
    </w:p>
    <w:p>
      <w:pPr>
        <w:snapToGrid w:val="0"/>
        <w:spacing w:line="360" w:lineRule="auto"/>
        <w:ind w:firstLine="480" w:firstLineChars="200"/>
        <w:rPr>
          <w:color w:val="auto"/>
          <w:sz w:val="24"/>
          <w:szCs w:val="24"/>
        </w:rPr>
      </w:pPr>
      <w:r>
        <w:rPr>
          <w:color w:val="auto"/>
          <w:sz w:val="24"/>
          <w:szCs w:val="24"/>
        </w:rPr>
        <w:t>1）远离医疗区、食品加工区、人员活动区和生活垃圾存放场所，方便医疗废物运送人员及运送工具、车辆的出入；</w:t>
      </w:r>
    </w:p>
    <w:p>
      <w:pPr>
        <w:snapToGrid w:val="0"/>
        <w:spacing w:line="360" w:lineRule="auto"/>
        <w:ind w:firstLine="480" w:firstLineChars="200"/>
        <w:rPr>
          <w:color w:val="auto"/>
          <w:sz w:val="24"/>
          <w:szCs w:val="24"/>
        </w:rPr>
      </w:pPr>
      <w:r>
        <w:rPr>
          <w:color w:val="auto"/>
          <w:sz w:val="24"/>
          <w:szCs w:val="24"/>
        </w:rPr>
        <w:t>2）有严密的封闭措施，设专（兼）职人员管理，防止非工作人员接触医疗废物；</w:t>
      </w:r>
    </w:p>
    <w:p>
      <w:pPr>
        <w:snapToGrid w:val="0"/>
        <w:spacing w:line="360" w:lineRule="auto"/>
        <w:ind w:firstLine="480" w:firstLineChars="200"/>
        <w:rPr>
          <w:color w:val="auto"/>
          <w:sz w:val="24"/>
          <w:szCs w:val="24"/>
        </w:rPr>
      </w:pPr>
      <w:r>
        <w:rPr>
          <w:color w:val="auto"/>
          <w:sz w:val="24"/>
          <w:szCs w:val="24"/>
        </w:rPr>
        <w:t>3）有防鼠、防蚊蝇、防蟑螂的安全措施；防止渗漏和雨水冲刷；易于清洁和消毒；避免阳光直射；</w:t>
      </w:r>
    </w:p>
    <w:p>
      <w:pPr>
        <w:snapToGrid w:val="0"/>
        <w:spacing w:line="360" w:lineRule="auto"/>
        <w:ind w:firstLine="480" w:firstLineChars="200"/>
        <w:rPr>
          <w:color w:val="auto"/>
          <w:sz w:val="24"/>
          <w:szCs w:val="24"/>
        </w:rPr>
      </w:pPr>
      <w:r>
        <w:rPr>
          <w:color w:val="auto"/>
          <w:sz w:val="24"/>
          <w:szCs w:val="24"/>
        </w:rPr>
        <w:t>4）设有明显的医疗废物警示标识和“禁止吸烟、饮食”的警示标识。</w:t>
      </w:r>
    </w:p>
    <w:p>
      <w:pPr>
        <w:snapToGrid w:val="0"/>
        <w:spacing w:line="360" w:lineRule="auto"/>
        <w:ind w:firstLine="480" w:firstLineChars="200"/>
        <w:rPr>
          <w:color w:val="auto"/>
          <w:sz w:val="24"/>
          <w:szCs w:val="24"/>
        </w:rPr>
      </w:pPr>
      <w:r>
        <w:rPr>
          <w:color w:val="auto"/>
          <w:sz w:val="24"/>
          <w:szCs w:val="24"/>
        </w:rPr>
        <w:t>5）暂时贮存病理性废物，应当具备低温贮存或者防腐条件。</w:t>
      </w:r>
    </w:p>
    <w:p>
      <w:pPr>
        <w:snapToGrid w:val="0"/>
        <w:spacing w:line="360" w:lineRule="auto"/>
        <w:ind w:firstLine="480" w:firstLineChars="200"/>
        <w:rPr>
          <w:color w:val="auto"/>
          <w:sz w:val="24"/>
          <w:szCs w:val="24"/>
        </w:rPr>
      </w:pPr>
      <w:r>
        <w:rPr>
          <w:color w:val="auto"/>
          <w:sz w:val="24"/>
          <w:szCs w:val="24"/>
        </w:rPr>
        <w:t>6）医院医疗废物每日集中收集至医院暂存场所。医疗废物暂时贮存的时间不得超过2天。</w:t>
      </w:r>
    </w:p>
    <w:p>
      <w:pPr>
        <w:snapToGrid w:val="0"/>
        <w:spacing w:line="360" w:lineRule="auto"/>
        <w:ind w:firstLine="480" w:firstLineChars="200"/>
        <w:rPr>
          <w:color w:val="auto"/>
          <w:sz w:val="24"/>
          <w:szCs w:val="24"/>
        </w:rPr>
      </w:pPr>
      <w:r>
        <w:rPr>
          <w:color w:val="auto"/>
          <w:sz w:val="24"/>
          <w:szCs w:val="24"/>
        </w:rPr>
        <w:t>医疗废物临时贮存设施建设时须按照《危险废物贮存污染控制标准》（GB18597-2001）的要求建设，采取以下污染防范措施：</w:t>
      </w:r>
    </w:p>
    <w:p>
      <w:pPr>
        <w:snapToGrid w:val="0"/>
        <w:spacing w:line="360" w:lineRule="auto"/>
        <w:ind w:firstLine="480" w:firstLineChars="200"/>
        <w:rPr>
          <w:color w:val="auto"/>
          <w:sz w:val="24"/>
          <w:szCs w:val="24"/>
        </w:rPr>
      </w:pPr>
      <w:r>
        <w:rPr>
          <w:color w:val="auto"/>
          <w:sz w:val="24"/>
          <w:szCs w:val="24"/>
        </w:rPr>
        <w:t>1）地面与裙脚要用坚固、防渗的材料建造，建筑材料必须与危险废物相容；另外储存场所必须设置防渗、防漏、防腐蚀措施，防止发生医疗废物流失、泄漏、扩散等事故。</w:t>
      </w:r>
    </w:p>
    <w:p>
      <w:pPr>
        <w:snapToGrid w:val="0"/>
        <w:spacing w:line="360" w:lineRule="auto"/>
        <w:ind w:firstLine="480" w:firstLineChars="200"/>
        <w:rPr>
          <w:color w:val="auto"/>
          <w:sz w:val="24"/>
          <w:szCs w:val="24"/>
        </w:rPr>
      </w:pPr>
      <w:r>
        <w:rPr>
          <w:color w:val="auto"/>
          <w:sz w:val="24"/>
          <w:szCs w:val="24"/>
        </w:rPr>
        <w:t>2）必须有泄漏液体收集装置、气体导出口及气体净化装置；</w:t>
      </w:r>
    </w:p>
    <w:p>
      <w:pPr>
        <w:snapToGrid w:val="0"/>
        <w:spacing w:line="360" w:lineRule="auto"/>
        <w:ind w:firstLine="480" w:firstLineChars="200"/>
        <w:rPr>
          <w:color w:val="auto"/>
          <w:sz w:val="24"/>
          <w:szCs w:val="24"/>
        </w:rPr>
      </w:pPr>
      <w:r>
        <w:rPr>
          <w:color w:val="auto"/>
          <w:sz w:val="24"/>
          <w:szCs w:val="24"/>
        </w:rPr>
        <w:t>3）不相容的危险废物必须分开存放，并设有隔离间隔断；</w:t>
      </w:r>
    </w:p>
    <w:p>
      <w:pPr>
        <w:snapToGrid w:val="0"/>
        <w:spacing w:line="360" w:lineRule="auto"/>
        <w:ind w:firstLine="480" w:firstLineChars="200"/>
        <w:rPr>
          <w:color w:val="auto"/>
          <w:sz w:val="24"/>
          <w:szCs w:val="24"/>
        </w:rPr>
      </w:pPr>
      <w:r>
        <w:rPr>
          <w:color w:val="auto"/>
          <w:sz w:val="24"/>
          <w:szCs w:val="24"/>
        </w:rPr>
        <w:t>4）医疗废物堆场必须进行消毒处理，可采用臭氧或紫外线进行消毒处理。</w:t>
      </w:r>
    </w:p>
    <w:p>
      <w:pPr>
        <w:snapToGrid w:val="0"/>
        <w:spacing w:line="360" w:lineRule="auto"/>
        <w:ind w:firstLine="480" w:firstLineChars="200"/>
        <w:rPr>
          <w:color w:val="auto"/>
          <w:sz w:val="24"/>
          <w:szCs w:val="24"/>
        </w:rPr>
      </w:pPr>
      <w:r>
        <w:rPr>
          <w:color w:val="auto"/>
          <w:sz w:val="24"/>
          <w:szCs w:val="24"/>
        </w:rPr>
        <w:t>（4）医疗废物的交接</w:t>
      </w:r>
    </w:p>
    <w:p>
      <w:pPr>
        <w:snapToGrid w:val="0"/>
        <w:spacing w:line="360" w:lineRule="auto"/>
        <w:ind w:firstLine="480" w:firstLineChars="200"/>
        <w:rPr>
          <w:color w:val="auto"/>
          <w:sz w:val="24"/>
          <w:szCs w:val="24"/>
        </w:rPr>
      </w:pPr>
      <w:r>
        <w:rPr>
          <w:color w:val="auto"/>
          <w:sz w:val="24"/>
          <w:szCs w:val="24"/>
        </w:rPr>
        <w:t>医疗废物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环保部门报告。</w:t>
      </w:r>
    </w:p>
    <w:p>
      <w:pPr>
        <w:snapToGrid w:val="0"/>
        <w:spacing w:line="360" w:lineRule="auto"/>
        <w:ind w:firstLine="480" w:firstLineChars="200"/>
        <w:rPr>
          <w:color w:val="auto"/>
          <w:sz w:val="24"/>
          <w:szCs w:val="24"/>
        </w:rPr>
      </w:pPr>
      <w:r>
        <w:rPr>
          <w:color w:val="auto"/>
          <w:sz w:val="24"/>
          <w:szCs w:val="24"/>
        </w:rPr>
        <w:t>化学性医疗废物应由医疗卫生机构委托有经营资格的危险废物处置单位处置，未取得相应许可的处置单位医疗废物运送人员不得接收化学性医疗废物。</w:t>
      </w:r>
    </w:p>
    <w:p>
      <w:pPr>
        <w:snapToGrid w:val="0"/>
        <w:spacing w:line="360" w:lineRule="auto"/>
        <w:ind w:firstLine="480" w:firstLineChars="200"/>
        <w:rPr>
          <w:rFonts w:hint="default" w:eastAsia="宋体"/>
          <w:color w:val="auto"/>
          <w:sz w:val="24"/>
          <w:szCs w:val="24"/>
          <w:lang w:val="en-US" w:eastAsia="zh-CN"/>
        </w:rPr>
      </w:pPr>
      <w:r>
        <w:rPr>
          <w:color w:val="auto"/>
          <w:sz w:val="24"/>
          <w:szCs w:val="24"/>
        </w:rPr>
        <w:t>医疗卫生机构交予处置的废物采用危险废物转移联单管理。设区的市环保部门对医疗废物转移计划进行审批。转移计划批准后，医疗废物产生单位和处置单位的日常医疗废物交接可采用简化的《危险废物转移联单》（医疗废物专用）。在医疗卫生机构、处置单位及运送方式变化后，应对医疗废物转移计划进行重新审批。</w:t>
      </w:r>
      <w:r>
        <w:rPr>
          <w:rFonts w:hint="eastAsia"/>
          <w:color w:val="auto"/>
          <w:sz w:val="24"/>
          <w:szCs w:val="24"/>
          <w:lang w:val="en-US" w:eastAsia="zh-CN"/>
        </w:rPr>
        <w:t>医疗卫生机构和医疗废物集中处置单位，应当对医疗废物进行登记，登记内容应当包括医疗废物的来源、种类、重量或者数量、交接时间、处置方法、最终去向以及经办人签名等项目。登记资料至少保存3年。</w:t>
      </w:r>
    </w:p>
    <w:p>
      <w:pPr>
        <w:snapToGrid w:val="0"/>
        <w:spacing w:line="360" w:lineRule="auto"/>
        <w:ind w:firstLine="480" w:firstLineChars="200"/>
        <w:rPr>
          <w:color w:val="auto"/>
          <w:sz w:val="24"/>
          <w:szCs w:val="24"/>
        </w:rPr>
      </w:pPr>
      <w:r>
        <w:rPr>
          <w:color w:val="auto"/>
          <w:sz w:val="24"/>
          <w:szCs w:val="24"/>
        </w:rPr>
        <w:t>（5）医疗废物的运输</w:t>
      </w:r>
    </w:p>
    <w:p>
      <w:pPr>
        <w:snapToGrid w:val="0"/>
        <w:spacing w:line="360" w:lineRule="auto"/>
        <w:ind w:firstLine="480" w:firstLineChars="200"/>
        <w:rPr>
          <w:color w:val="auto"/>
          <w:sz w:val="24"/>
          <w:szCs w:val="24"/>
        </w:rPr>
      </w:pPr>
      <w:r>
        <w:rPr>
          <w:color w:val="auto"/>
          <w:sz w:val="24"/>
          <w:szCs w:val="24"/>
        </w:rPr>
        <w:t>医疗废物运送应当使用专用车辆。车辆厢体应与驾驶室分离并密闭；厢体应达到气密性要求，内壁光滑平整，易于清洗消毒；厢体材料防水、耐腐蚀；厢体底部防液体渗漏，并设清洗污水的排水收集装置。运送车辆应符合《医疗废物转运车技术要求》（GB19217-2003）的要求。</w:t>
      </w:r>
    </w:p>
    <w:p>
      <w:pPr>
        <w:snapToGrid w:val="0"/>
        <w:spacing w:line="360" w:lineRule="auto"/>
        <w:ind w:firstLine="480" w:firstLineChars="200"/>
        <w:rPr>
          <w:color w:val="auto"/>
          <w:sz w:val="24"/>
          <w:szCs w:val="24"/>
        </w:rPr>
      </w:pPr>
      <w:r>
        <w:rPr>
          <w:color w:val="auto"/>
          <w:sz w:val="24"/>
          <w:szCs w:val="24"/>
        </w:rPr>
        <w:t>运送车辆应配备：《危险废物转移联单》（医疗废物专用）、《医疗废物运送登记卡》、运送路线图、通讯设备、医疗废物产生单位及其管理人员名单与电话号码、事故应急预案及联络单位和人员的名单、电话号码、收集医疗废物的工具、消毒器具与药品、备用的医疗废物专用袋和利器盒、备用的人员防护用品。</w:t>
      </w:r>
    </w:p>
    <w:p>
      <w:pPr>
        <w:snapToGrid w:val="0"/>
        <w:spacing w:line="360" w:lineRule="auto"/>
        <w:ind w:firstLine="480" w:firstLineChars="200"/>
        <w:rPr>
          <w:color w:val="auto"/>
          <w:sz w:val="24"/>
          <w:szCs w:val="24"/>
        </w:rPr>
      </w:pPr>
      <w:r>
        <w:rPr>
          <w:color w:val="auto"/>
          <w:sz w:val="24"/>
          <w:szCs w:val="24"/>
        </w:rPr>
        <w:t>（6）事故应急措施</w:t>
      </w:r>
    </w:p>
    <w:p>
      <w:pPr>
        <w:snapToGrid w:val="0"/>
        <w:spacing w:line="360" w:lineRule="auto"/>
        <w:ind w:firstLine="480" w:firstLineChars="200"/>
        <w:rPr>
          <w:color w:val="auto"/>
          <w:sz w:val="24"/>
          <w:szCs w:val="24"/>
        </w:rPr>
      </w:pPr>
      <w:r>
        <w:rPr>
          <w:color w:val="auto"/>
          <w:sz w:val="24"/>
          <w:szCs w:val="24"/>
        </w:rPr>
        <w:t>发生医疗废物流失、泄漏、扩散和意外事故时，应当按照以下要求及时采取紧急处理措施：确定流失、泄漏、扩散的医疗废物的类别、数量、发生时间、影响范围及严重程度；组织有关人员尽快按照应急方案，对发生医疗废物泄漏、扩散的现场进行处理；对被医疗废物污染的区域进行处理时，应当尽可能减少对病人、医务人员、其它现场人员及环境的影响；采取适当的安全处置措施，对泄漏物及受污染的区域、物品进行消毒或者其他无害化处置，必要时封锁污染区域，以防扩大污染。处理工作结束后，医疗卫生机构应当对事件的起因进行调查，并采取有效的防范措施预防类似事件的发生。</w:t>
      </w: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lang w:val="en-US" w:eastAsia="zh-CN"/>
        </w:rPr>
      </w:pPr>
      <w:r>
        <w:rPr>
          <w:color w:val="auto"/>
          <w:lang w:val="en-US" w:eastAsia="zh-CN"/>
        </w:rPr>
        <w:t>只要该医院在营运后做好固废的分类收集、管理及处置工作，该医院产生的固体废物不会造成二次污染。</w:t>
      </w:r>
    </w:p>
    <w:p>
      <w:pPr>
        <w:pStyle w:val="5"/>
        <w:numPr>
          <w:ilvl w:val="0"/>
          <w:numId w:val="0"/>
        </w:numPr>
        <w:spacing w:before="0" w:after="0" w:line="360" w:lineRule="auto"/>
        <w:jc w:val="left"/>
        <w:rPr>
          <w:rFonts w:hint="default" w:ascii="Times New Roman" w:hAnsi="Times New Roman" w:eastAsia="宋体" w:cs="Times New Roman"/>
          <w:bCs w:val="0"/>
          <w:color w:val="auto"/>
          <w:sz w:val="28"/>
          <w:szCs w:val="28"/>
        </w:rPr>
      </w:pPr>
      <w:r>
        <w:rPr>
          <w:rFonts w:hint="eastAsia"/>
          <w:color w:val="auto"/>
          <w:lang w:val="en-US" w:eastAsia="zh-CN"/>
        </w:rPr>
        <w:t>5</w:t>
      </w:r>
      <w:r>
        <w:rPr>
          <w:rFonts w:hint="eastAsia" w:ascii="Times New Roman" w:hAnsi="Times New Roman"/>
          <w:color w:val="auto"/>
          <w:lang w:val="en-US" w:eastAsia="zh-CN"/>
        </w:rPr>
        <w:t>.</w:t>
      </w:r>
      <w:bookmarkEnd w:id="89"/>
      <w:bookmarkEnd w:id="90"/>
      <w:bookmarkEnd w:id="91"/>
      <w:r>
        <w:rPr>
          <w:rFonts w:hint="eastAsia"/>
          <w:color w:val="auto"/>
          <w:lang w:val="en-US" w:eastAsia="zh-CN"/>
        </w:rPr>
        <w:t>2.5</w:t>
      </w:r>
      <w:r>
        <w:rPr>
          <w:rFonts w:hint="default" w:ascii="Times New Roman" w:hAnsi="Times New Roman" w:eastAsia="宋体" w:cs="Times New Roman"/>
          <w:bCs w:val="0"/>
          <w:color w:val="auto"/>
          <w:sz w:val="28"/>
          <w:szCs w:val="28"/>
        </w:rPr>
        <w:t>地下水环境影响分析</w:t>
      </w:r>
    </w:p>
    <w:p>
      <w:pPr>
        <w:pageBreakBefore w:val="0"/>
        <w:widowControl w:val="0"/>
        <w:tabs>
          <w:tab w:val="left" w:pos="810"/>
        </w:tabs>
        <w:kinsoku/>
        <w:wordWrap/>
        <w:overflowPunct/>
        <w:topLinePunct w:val="0"/>
        <w:bidi w:val="0"/>
        <w:spacing w:line="360" w:lineRule="auto"/>
        <w:ind w:firstLine="554" w:firstLineChars="231"/>
        <w:textAlignment w:val="auto"/>
        <w:rPr>
          <w:rFonts w:hint="default" w:ascii="Times New Roman" w:hAnsi="Times New Roman" w:eastAsia="宋体" w:cs="Times New Roman"/>
          <w:bCs/>
          <w:color w:val="auto"/>
        </w:rPr>
      </w:pPr>
      <w:bookmarkStart w:id="92" w:name="_Toc386376408"/>
      <w:r>
        <w:rPr>
          <w:rFonts w:hint="default" w:ascii="Times New Roman" w:hAnsi="Times New Roman" w:eastAsia="宋体" w:cs="Times New Roman"/>
          <w:bCs/>
          <w:color w:val="auto"/>
        </w:rPr>
        <w:t>本项目运营过程中，医院废水的渗漏可能对评价区的地下水水质造成污染，项目用水由市政管网提供，根据《环境影响评价技术导则-地下水环境》（HJ610-2016）判定，项目属</w:t>
      </w:r>
      <w:r>
        <w:rPr>
          <w:rFonts w:hint="default" w:ascii="Times New Roman" w:hAnsi="Times New Roman" w:eastAsia="宋体" w:cs="Times New Roman"/>
          <w:color w:val="auto"/>
          <w:szCs w:val="22"/>
        </w:rPr>
        <w:fldChar w:fldCharType="begin"/>
      </w:r>
      <w:r>
        <w:rPr>
          <w:rFonts w:hint="default" w:ascii="Times New Roman" w:hAnsi="Times New Roman" w:eastAsia="宋体" w:cs="Times New Roman"/>
          <w:color w:val="auto"/>
          <w:szCs w:val="22"/>
        </w:rPr>
        <w:instrText xml:space="preserve"> = 3 \* ROMAN \* MERGEFORMAT </w:instrText>
      </w:r>
      <w:r>
        <w:rPr>
          <w:rFonts w:hint="default" w:ascii="Times New Roman" w:hAnsi="Times New Roman" w:eastAsia="宋体" w:cs="Times New Roman"/>
          <w:color w:val="auto"/>
          <w:szCs w:val="22"/>
        </w:rPr>
        <w:fldChar w:fldCharType="separate"/>
      </w:r>
      <w:r>
        <w:rPr>
          <w:rFonts w:hint="default" w:ascii="Times New Roman" w:hAnsi="Times New Roman" w:eastAsia="宋体" w:cs="Times New Roman"/>
          <w:color w:val="auto"/>
          <w:szCs w:val="22"/>
        </w:rPr>
        <w:t>III</w:t>
      </w:r>
      <w:r>
        <w:rPr>
          <w:rFonts w:hint="default" w:ascii="Times New Roman" w:hAnsi="Times New Roman" w:eastAsia="宋体" w:cs="Times New Roman"/>
          <w:color w:val="auto"/>
          <w:szCs w:val="22"/>
        </w:rPr>
        <w:fldChar w:fldCharType="end"/>
      </w:r>
      <w:r>
        <w:rPr>
          <w:rFonts w:hint="default" w:ascii="Times New Roman" w:hAnsi="Times New Roman" w:eastAsia="宋体" w:cs="Times New Roman"/>
          <w:bCs/>
          <w:color w:val="auto"/>
        </w:rPr>
        <w:t>类建设项目。对照《环境影响评价技术导则-地下水环境》（HJ610-2016），本次地下水环境影响评价工作等级为三级。</w:t>
      </w:r>
    </w:p>
    <w:p>
      <w:pPr>
        <w:pStyle w:val="2"/>
        <w:pageBreakBefore w:val="0"/>
        <w:widowControl w:val="0"/>
        <w:numPr>
          <w:ilvl w:val="3"/>
          <w:numId w:val="0"/>
        </w:numPr>
        <w:kinsoku/>
        <w:wordWrap/>
        <w:overflowPunct/>
        <w:topLinePunct w:val="0"/>
        <w:autoSpaceDE/>
        <w:autoSpaceDN/>
        <w:bidi w:val="0"/>
        <w:spacing w:before="0" w:beforeLines="0" w:beforeAutospacing="0" w:after="0" w:afterLines="0" w:afterAutospacing="0" w:line="360" w:lineRule="auto"/>
        <w:ind w:right="0"/>
        <w:textAlignment w:val="auto"/>
        <w:rPr>
          <w:rFonts w:hint="eastAsia" w:ascii="Times New Roman" w:hAnsi="Times New Roman" w:eastAsia="宋体" w:cs="Times New Roman"/>
          <w:bCs/>
          <w:snapToGrid/>
          <w:color w:val="auto"/>
          <w:spacing w:val="0"/>
          <w:kern w:val="2"/>
          <w:szCs w:val="28"/>
          <w:highlight w:val="none"/>
          <w:lang w:val="en-US" w:eastAsia="zh-CN" w:bidi="ar-SA"/>
        </w:rPr>
      </w:pPr>
      <w:r>
        <w:rPr>
          <w:rFonts w:hint="eastAsia" w:cs="Times New Roman"/>
          <w:bCs/>
          <w:snapToGrid/>
          <w:color w:val="auto"/>
          <w:spacing w:val="0"/>
          <w:kern w:val="2"/>
          <w:szCs w:val="28"/>
          <w:highlight w:val="none"/>
          <w:lang w:val="en-US" w:eastAsia="zh-CN" w:bidi="ar-SA"/>
        </w:rPr>
        <w:t>5</w:t>
      </w:r>
      <w:r>
        <w:rPr>
          <w:rFonts w:hint="eastAsia" w:ascii="Times New Roman" w:hAnsi="Times New Roman" w:eastAsia="宋体" w:cs="Times New Roman"/>
          <w:bCs/>
          <w:snapToGrid/>
          <w:color w:val="auto"/>
          <w:spacing w:val="0"/>
          <w:kern w:val="2"/>
          <w:szCs w:val="28"/>
          <w:highlight w:val="none"/>
          <w:lang w:val="en-US" w:eastAsia="zh-CN" w:bidi="ar-SA"/>
        </w:rPr>
        <w:t>.2.5.1评价区水文地质条件</w:t>
      </w:r>
    </w:p>
    <w:p>
      <w:pPr>
        <w:adjustRightInd w:val="0"/>
        <w:snapToGrid w:val="0"/>
        <w:spacing w:line="360" w:lineRule="auto"/>
        <w:ind w:firstLine="480" w:firstLineChars="0"/>
        <w:rPr>
          <w:color w:val="auto"/>
          <w:kern w:val="0"/>
          <w:szCs w:val="32"/>
        </w:rPr>
      </w:pPr>
      <w:r>
        <w:rPr>
          <w:rFonts w:hint="eastAsia"/>
          <w:color w:val="auto"/>
          <w:kern w:val="0"/>
          <w:szCs w:val="32"/>
        </w:rPr>
        <w:t>(1)</w:t>
      </w:r>
      <w:r>
        <w:rPr>
          <w:color w:val="auto"/>
          <w:kern w:val="0"/>
          <w:szCs w:val="32"/>
        </w:rPr>
        <w:t>含水层结构及其分布特征</w:t>
      </w:r>
    </w:p>
    <w:p>
      <w:pPr>
        <w:spacing w:line="360" w:lineRule="auto"/>
        <w:ind w:firstLine="480"/>
        <w:rPr>
          <w:color w:val="auto"/>
          <w:kern w:val="0"/>
        </w:rPr>
      </w:pPr>
      <w:r>
        <w:rPr>
          <w:color w:val="auto"/>
          <w:kern w:val="0"/>
        </w:rPr>
        <w:t>依据地下水的赋存条件以及含水介质的空隙类型，将区内地下水类型全部划为松散岩类孔隙水。根据含水层特征，地下水的埋藏条件、水动力特征以及与大气降水、地表水的关系，将松散岩类孔隙水分为孔隙潜水和孔隙承压水。</w:t>
      </w:r>
    </w:p>
    <w:p>
      <w:pPr>
        <w:spacing w:line="360" w:lineRule="auto"/>
        <w:ind w:firstLine="480"/>
        <w:rPr>
          <w:color w:val="auto"/>
          <w:kern w:val="0"/>
        </w:rPr>
      </w:pPr>
      <w:r>
        <w:rPr>
          <w:rFonts w:hint="eastAsia"/>
          <w:color w:val="auto"/>
          <w:kern w:val="0"/>
        </w:rPr>
        <w:t>①</w:t>
      </w:r>
      <w:r>
        <w:rPr>
          <w:color w:val="auto"/>
          <w:kern w:val="0"/>
        </w:rPr>
        <w:t>孔隙潜水</w:t>
      </w:r>
    </w:p>
    <w:p>
      <w:pPr>
        <w:spacing w:line="360" w:lineRule="auto"/>
        <w:ind w:firstLine="480"/>
        <w:rPr>
          <w:rFonts w:hint="eastAsia"/>
          <w:color w:val="auto"/>
          <w:kern w:val="0"/>
        </w:rPr>
      </w:pPr>
      <w:r>
        <w:rPr>
          <w:color w:val="auto"/>
          <w:kern w:val="0"/>
        </w:rPr>
        <w:t>浅层孔隙含水层组是浅层孔隙潜水赋存与分布的场所。地下水具无压—半承压性质，与大气降水、地表水关系密切。含水层组由第四系全新统、上更新统的粉砂、细砂、中细砂组成，一般具“二元结构”或“多元结构”。厚度一般5~20m，单井出水量100~3000m</w:t>
      </w:r>
      <w:r>
        <w:rPr>
          <w:color w:val="auto"/>
          <w:kern w:val="0"/>
          <w:vertAlign w:val="superscript"/>
        </w:rPr>
        <w:t>3</w:t>
      </w:r>
      <w:r>
        <w:rPr>
          <w:color w:val="auto"/>
          <w:kern w:val="0"/>
        </w:rPr>
        <w:t>/d。富水性主要受古河道带的控制，古河道主流带砂层厚度大，岩性以细砂、中细砂为主，古河道泛流带及河间带砂层厚度变薄或者尖灭，岩性以粉砂为主。</w:t>
      </w:r>
    </w:p>
    <w:p>
      <w:pPr>
        <w:spacing w:line="360" w:lineRule="auto"/>
        <w:ind w:firstLine="480"/>
        <w:rPr>
          <w:color w:val="auto"/>
          <w:kern w:val="0"/>
        </w:rPr>
      </w:pPr>
      <w:r>
        <w:rPr>
          <w:color w:val="auto"/>
          <w:kern w:val="0"/>
        </w:rPr>
        <w:t>水位埋深一般2.0~4.0m，局部4.0~6.0m。水化学类型以HCO</w:t>
      </w:r>
      <w:r>
        <w:rPr>
          <w:color w:val="auto"/>
          <w:kern w:val="0"/>
          <w:vertAlign w:val="subscript"/>
        </w:rPr>
        <w:t>3</w:t>
      </w:r>
      <w:r>
        <w:rPr>
          <w:color w:val="auto"/>
          <w:kern w:val="0"/>
        </w:rPr>
        <w:t>-Ca型和HCO</w:t>
      </w:r>
      <w:r>
        <w:rPr>
          <w:color w:val="auto"/>
          <w:kern w:val="0"/>
          <w:vertAlign w:val="subscript"/>
        </w:rPr>
        <w:t>3</w:t>
      </w:r>
      <w:r>
        <w:rPr>
          <w:color w:val="auto"/>
          <w:kern w:val="0"/>
        </w:rPr>
        <w:t>-Na型为主，矿化度一般小于1g/L。</w:t>
      </w:r>
    </w:p>
    <w:p>
      <w:pPr>
        <w:spacing w:line="360" w:lineRule="auto"/>
        <w:ind w:firstLine="480"/>
        <w:rPr>
          <w:bCs/>
          <w:color w:val="auto"/>
          <w:kern w:val="0"/>
          <w:szCs w:val="32"/>
          <w:lang w:val="en-GB"/>
        </w:rPr>
      </w:pPr>
      <w:r>
        <w:rPr>
          <w:rFonts w:hint="eastAsia"/>
          <w:bCs/>
          <w:color w:val="auto"/>
          <w:kern w:val="0"/>
          <w:szCs w:val="32"/>
          <w:lang w:val="en-GB"/>
        </w:rPr>
        <w:t>②</w:t>
      </w:r>
      <w:r>
        <w:rPr>
          <w:bCs/>
          <w:color w:val="auto"/>
          <w:kern w:val="0"/>
          <w:szCs w:val="32"/>
          <w:lang w:val="en-GB"/>
        </w:rPr>
        <w:t>孔隙承压水</w:t>
      </w:r>
    </w:p>
    <w:p>
      <w:pPr>
        <w:spacing w:line="360" w:lineRule="auto"/>
        <w:ind w:firstLine="480"/>
        <w:rPr>
          <w:color w:val="auto"/>
          <w:kern w:val="0"/>
          <w:szCs w:val="32"/>
          <w:lang w:val="en-GB"/>
        </w:rPr>
      </w:pPr>
      <w:r>
        <w:rPr>
          <w:color w:val="auto"/>
          <w:kern w:val="0"/>
          <w:szCs w:val="32"/>
          <w:lang w:val="en-GB"/>
        </w:rPr>
        <w:t>深层孔隙含水层组是深层孔隙承压水赋存与分布的场所。地下水具明显的承压性质，局部水头高出地表，与大气降水和地表水无直接关系。主要含水层由第四系部分中更新统、下更新统及上第三系上新统的粉砂、细砂、中细砂和含砾中粗砂组成。</w:t>
      </w:r>
    </w:p>
    <w:p>
      <w:pPr>
        <w:spacing w:line="360" w:lineRule="auto"/>
        <w:ind w:firstLine="480"/>
        <w:rPr>
          <w:color w:val="auto"/>
          <w:kern w:val="0"/>
          <w:szCs w:val="32"/>
          <w:lang w:val="en-GB"/>
        </w:rPr>
      </w:pPr>
      <w:r>
        <w:rPr>
          <w:color w:val="auto"/>
          <w:kern w:val="0"/>
          <w:szCs w:val="32"/>
          <w:lang w:val="en-GB"/>
        </w:rPr>
        <w:t>根据地层年代，大体可分为3个承压含水层（组），自上而下为：</w:t>
      </w:r>
    </w:p>
    <w:p>
      <w:pPr>
        <w:spacing w:line="360" w:lineRule="auto"/>
        <w:ind w:firstLine="480"/>
        <w:rPr>
          <w:color w:val="auto"/>
          <w:kern w:val="0"/>
          <w:szCs w:val="32"/>
          <w:lang w:val="en-GB"/>
        </w:rPr>
      </w:pPr>
      <w:r>
        <w:rPr>
          <w:rFonts w:hint="eastAsia"/>
          <w:color w:val="auto"/>
          <w:kern w:val="0"/>
          <w:szCs w:val="32"/>
          <w:lang w:val="en-GB"/>
        </w:rPr>
        <w:t xml:space="preserve">A. </w:t>
      </w:r>
      <w:r>
        <w:rPr>
          <w:color w:val="auto"/>
          <w:kern w:val="0"/>
          <w:szCs w:val="32"/>
          <w:lang w:val="en-GB"/>
        </w:rPr>
        <w:t>第I承压含水层（组）</w:t>
      </w:r>
    </w:p>
    <w:p>
      <w:pPr>
        <w:spacing w:line="360" w:lineRule="auto"/>
        <w:ind w:firstLine="480"/>
        <w:rPr>
          <w:color w:val="auto"/>
          <w:kern w:val="0"/>
          <w:lang w:val="en-GB"/>
        </w:rPr>
      </w:pPr>
      <w:r>
        <w:rPr>
          <w:color w:val="auto"/>
          <w:kern w:val="0"/>
          <w:lang w:val="en-GB"/>
        </w:rPr>
        <w:t>也称为中深层承压水，含水层（组）主要由中更新统（Q</w:t>
      </w:r>
      <w:r>
        <w:rPr>
          <w:color w:val="auto"/>
          <w:kern w:val="0"/>
          <w:vertAlign w:val="subscript"/>
          <w:lang w:val="en-GB"/>
        </w:rPr>
        <w:t>2</w:t>
      </w:r>
      <w:r>
        <w:rPr>
          <w:color w:val="auto"/>
          <w:kern w:val="0"/>
          <w:lang w:val="en-GB"/>
        </w:rPr>
        <w:t>）和下更新统（Q</w:t>
      </w:r>
      <w:r>
        <w:rPr>
          <w:color w:val="auto"/>
          <w:kern w:val="0"/>
          <w:vertAlign w:val="subscript"/>
          <w:lang w:val="en-GB"/>
        </w:rPr>
        <w:t>1</w:t>
      </w:r>
      <w:r>
        <w:rPr>
          <w:color w:val="auto"/>
          <w:kern w:val="0"/>
          <w:lang w:val="en-GB"/>
        </w:rPr>
        <w:t>）地层组成，底板埋深为80~120m；含水层砂层多为中~薄层粉细砂层，单井涌水量多为500~1000m</w:t>
      </w:r>
      <w:r>
        <w:rPr>
          <w:color w:val="auto"/>
          <w:kern w:val="0"/>
          <w:vertAlign w:val="superscript"/>
          <w:lang w:val="en-GB"/>
        </w:rPr>
        <w:t>3</w:t>
      </w:r>
      <w:r>
        <w:rPr>
          <w:color w:val="auto"/>
          <w:kern w:val="0"/>
          <w:lang w:val="en-GB"/>
        </w:rPr>
        <w:t>/d。</w:t>
      </w:r>
    </w:p>
    <w:p>
      <w:pPr>
        <w:spacing w:line="360" w:lineRule="auto"/>
        <w:ind w:firstLine="480"/>
        <w:rPr>
          <w:color w:val="auto"/>
          <w:kern w:val="0"/>
          <w:szCs w:val="32"/>
          <w:lang w:val="en-GB"/>
        </w:rPr>
      </w:pPr>
      <w:r>
        <w:rPr>
          <w:rFonts w:hint="eastAsia"/>
          <w:color w:val="auto"/>
          <w:kern w:val="0"/>
          <w:szCs w:val="32"/>
          <w:lang w:val="en-GB"/>
        </w:rPr>
        <w:t xml:space="preserve">B. </w:t>
      </w:r>
      <w:r>
        <w:rPr>
          <w:color w:val="auto"/>
          <w:kern w:val="0"/>
          <w:szCs w:val="32"/>
          <w:lang w:val="en-GB"/>
        </w:rPr>
        <w:t>第II承压含水层（组）</w:t>
      </w:r>
    </w:p>
    <w:p>
      <w:pPr>
        <w:spacing w:line="360" w:lineRule="auto"/>
        <w:ind w:firstLine="480"/>
        <w:rPr>
          <w:color w:val="auto"/>
          <w:kern w:val="0"/>
          <w:szCs w:val="32"/>
          <w:lang w:val="en-GB"/>
        </w:rPr>
      </w:pPr>
      <w:r>
        <w:rPr>
          <w:color w:val="auto"/>
          <w:kern w:val="0"/>
          <w:szCs w:val="32"/>
          <w:lang w:val="en-GB"/>
        </w:rPr>
        <w:t>也称为深层承压水，含水层（组）主要由上第三系常胜沟组（N</w:t>
      </w:r>
      <w:r>
        <w:rPr>
          <w:color w:val="auto"/>
          <w:kern w:val="0"/>
          <w:szCs w:val="32"/>
          <w:vertAlign w:val="subscript"/>
          <w:lang w:val="en-GB"/>
        </w:rPr>
        <w:t>2</w:t>
      </w:r>
      <w:r>
        <w:rPr>
          <w:color w:val="auto"/>
          <w:kern w:val="0"/>
          <w:szCs w:val="32"/>
          <w:lang w:val="en-GB"/>
        </w:rPr>
        <w:t>ch）和太和组（N</w:t>
      </w:r>
      <w:r>
        <w:rPr>
          <w:color w:val="auto"/>
          <w:kern w:val="0"/>
          <w:szCs w:val="32"/>
          <w:vertAlign w:val="subscript"/>
          <w:lang w:val="en-GB"/>
        </w:rPr>
        <w:t>13</w:t>
      </w:r>
      <w:r>
        <w:rPr>
          <w:color w:val="auto"/>
          <w:kern w:val="0"/>
          <w:szCs w:val="32"/>
          <w:lang w:val="en-GB"/>
        </w:rPr>
        <w:t>t）上段地层组成，底板埋深为200~250m；含水层砂层多为中厚层中砂~细砂层，单井涌水量多小于1000m</w:t>
      </w:r>
      <w:r>
        <w:rPr>
          <w:color w:val="auto"/>
          <w:kern w:val="0"/>
          <w:szCs w:val="32"/>
          <w:vertAlign w:val="superscript"/>
          <w:lang w:val="en-GB"/>
        </w:rPr>
        <w:t>3</w:t>
      </w:r>
      <w:r>
        <w:rPr>
          <w:color w:val="auto"/>
          <w:kern w:val="0"/>
          <w:szCs w:val="32"/>
          <w:lang w:val="en-GB"/>
        </w:rPr>
        <w:t>/d。</w:t>
      </w:r>
    </w:p>
    <w:p>
      <w:pPr>
        <w:spacing w:line="360" w:lineRule="auto"/>
        <w:ind w:firstLine="480"/>
        <w:rPr>
          <w:color w:val="auto"/>
          <w:kern w:val="0"/>
          <w:szCs w:val="32"/>
          <w:lang w:val="en-GB"/>
        </w:rPr>
      </w:pPr>
      <w:r>
        <w:rPr>
          <w:rFonts w:hint="eastAsia"/>
          <w:color w:val="auto"/>
          <w:kern w:val="0"/>
          <w:szCs w:val="32"/>
          <w:lang w:val="en-GB"/>
        </w:rPr>
        <w:t xml:space="preserve">C. </w:t>
      </w:r>
      <w:r>
        <w:rPr>
          <w:color w:val="auto"/>
          <w:kern w:val="0"/>
          <w:szCs w:val="32"/>
          <w:lang w:val="en-GB"/>
        </w:rPr>
        <w:t>第III承压含水层（组）</w:t>
      </w:r>
    </w:p>
    <w:p>
      <w:pPr>
        <w:keepNext w:val="0"/>
        <w:keepLines w:val="0"/>
        <w:pageBreakBefore w:val="0"/>
        <w:widowControl w:val="0"/>
        <w:kinsoku/>
        <w:wordWrap/>
        <w:overflowPunct/>
        <w:topLinePunct w:val="0"/>
        <w:autoSpaceDE w:val="0"/>
        <w:autoSpaceDN w:val="0"/>
        <w:bidi w:val="0"/>
        <w:spacing w:line="360" w:lineRule="auto"/>
        <w:ind w:firstLine="480"/>
        <w:jc w:val="both"/>
        <w:textAlignment w:val="auto"/>
        <w:rPr>
          <w:rFonts w:hint="eastAsia"/>
          <w:color w:val="auto"/>
        </w:rPr>
      </w:pPr>
      <w:r>
        <w:rPr>
          <w:color w:val="auto"/>
          <w:kern w:val="0"/>
          <w:lang w:val="en-GB"/>
        </w:rPr>
        <w:t>主要赋存于太和组（N</w:t>
      </w:r>
      <w:r>
        <w:rPr>
          <w:color w:val="auto"/>
          <w:kern w:val="0"/>
          <w:vertAlign w:val="subscript"/>
          <w:lang w:val="en-GB"/>
        </w:rPr>
        <w:t>13</w:t>
      </w:r>
      <w:r>
        <w:rPr>
          <w:color w:val="auto"/>
          <w:kern w:val="0"/>
          <w:lang w:val="en-GB"/>
        </w:rPr>
        <w:t>t）下段砂层中，顶板埋深约300m；含水层砂层主要为中厚层~厚层半胶结中砂层，该套含水层组中的砂层总厚度虽然较大，但由于呈半胶结状，所以单位厚度含水层的出水能力总体较第I、第II承压含水层（组）小，单井涌水量多为1000~2000m</w:t>
      </w:r>
      <w:r>
        <w:rPr>
          <w:color w:val="auto"/>
          <w:kern w:val="0"/>
          <w:vertAlign w:val="superscript"/>
          <w:lang w:val="en-GB"/>
        </w:rPr>
        <w:t>3</w:t>
      </w:r>
      <w:r>
        <w:rPr>
          <w:color w:val="auto"/>
          <w:kern w:val="0"/>
          <w:lang w:val="en-GB"/>
        </w:rPr>
        <w:t>/d。</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0"/>
        <w:textAlignment w:val="auto"/>
        <w:rPr>
          <w:color w:val="auto"/>
          <w:kern w:val="0"/>
          <w:szCs w:val="32"/>
        </w:rPr>
      </w:pPr>
      <w:r>
        <w:rPr>
          <w:rFonts w:hint="eastAsia"/>
          <w:color w:val="auto"/>
          <w:kern w:val="0"/>
          <w:szCs w:val="32"/>
        </w:rPr>
        <w:t xml:space="preserve"> (2)</w:t>
      </w:r>
      <w:r>
        <w:rPr>
          <w:color w:val="auto"/>
          <w:kern w:val="0"/>
          <w:szCs w:val="32"/>
        </w:rPr>
        <w:t>各含水层之间的水力联系</w:t>
      </w:r>
    </w:p>
    <w:p>
      <w:pPr>
        <w:keepNext w:val="0"/>
        <w:keepLines w:val="0"/>
        <w:pageBreakBefore w:val="0"/>
        <w:widowControl w:val="0"/>
        <w:kinsoku/>
        <w:wordWrap/>
        <w:overflowPunct/>
        <w:topLinePunct w:val="0"/>
        <w:autoSpaceDE w:val="0"/>
        <w:autoSpaceDN w:val="0"/>
        <w:bidi w:val="0"/>
        <w:spacing w:line="360" w:lineRule="auto"/>
        <w:ind w:firstLine="439" w:firstLineChars="183"/>
        <w:textAlignment w:val="auto"/>
        <w:rPr>
          <w:color w:val="auto"/>
          <w:kern w:val="0"/>
          <w:szCs w:val="32"/>
        </w:rPr>
      </w:pPr>
      <w:r>
        <w:rPr>
          <w:color w:val="auto"/>
          <w:kern w:val="0"/>
          <w:szCs w:val="32"/>
        </w:rPr>
        <w:t>区域内含水层分布比较稳定，潜水含水层和第I承压含水层(组)之间发育较厚(厚度平均约30m)且相对稳定的粘土层，两层组之间的直接水力联系较差，区域局部地段存在可形成越流补给的天窗，潜水的越流补给是第I承压含水层(组)的主要补给来源之一。</w:t>
      </w:r>
    </w:p>
    <w:p>
      <w:pPr>
        <w:spacing w:line="360" w:lineRule="auto"/>
        <w:ind w:firstLine="439" w:firstLineChars="183"/>
        <w:rPr>
          <w:color w:val="auto"/>
          <w:kern w:val="0"/>
          <w:szCs w:val="32"/>
        </w:rPr>
      </w:pPr>
      <w:r>
        <w:rPr>
          <w:color w:val="auto"/>
          <w:kern w:val="0"/>
          <w:szCs w:val="32"/>
        </w:rPr>
        <w:t>第I与第</w:t>
      </w:r>
      <w:r>
        <w:rPr>
          <w:rFonts w:hint="eastAsia"/>
          <w:color w:val="auto"/>
          <w:kern w:val="0"/>
          <w:szCs w:val="32"/>
        </w:rPr>
        <w:t>Ⅱ</w:t>
      </w:r>
      <w:r>
        <w:rPr>
          <w:color w:val="auto"/>
          <w:kern w:val="0"/>
          <w:szCs w:val="32"/>
        </w:rPr>
        <w:t>之间，发育厚度大且分布稳定的粘土层，层组间水力联系差。</w:t>
      </w:r>
    </w:p>
    <w:p>
      <w:pPr>
        <w:spacing w:line="360" w:lineRule="auto"/>
        <w:ind w:firstLine="480" w:firstLineChars="0"/>
        <w:rPr>
          <w:color w:val="auto"/>
          <w:kern w:val="0"/>
          <w:szCs w:val="32"/>
        </w:rPr>
      </w:pPr>
      <w:r>
        <w:rPr>
          <w:color w:val="auto"/>
          <w:kern w:val="0"/>
          <w:szCs w:val="32"/>
        </w:rPr>
        <w:t>第</w:t>
      </w:r>
      <w:r>
        <w:rPr>
          <w:rFonts w:hint="eastAsia"/>
          <w:color w:val="auto"/>
          <w:kern w:val="0"/>
          <w:szCs w:val="32"/>
        </w:rPr>
        <w:t>Ⅲ</w:t>
      </w:r>
      <w:r>
        <w:rPr>
          <w:color w:val="auto"/>
          <w:kern w:val="0"/>
          <w:szCs w:val="32"/>
        </w:rPr>
        <w:t>与第</w:t>
      </w:r>
      <w:r>
        <w:rPr>
          <w:rFonts w:hint="eastAsia"/>
          <w:color w:val="auto"/>
          <w:kern w:val="0"/>
          <w:szCs w:val="32"/>
        </w:rPr>
        <w:t>Ⅲ</w:t>
      </w:r>
      <w:r>
        <w:rPr>
          <w:color w:val="auto"/>
          <w:kern w:val="0"/>
          <w:szCs w:val="32"/>
        </w:rPr>
        <w:t>承压含水层(组)之间，在区域上因为水力联系较密切且常具有统一的水头，常常被划为一个层组；在拟建项目所在地段，第</w:t>
      </w:r>
      <w:r>
        <w:rPr>
          <w:rFonts w:hint="eastAsia"/>
          <w:color w:val="auto"/>
          <w:kern w:val="0"/>
          <w:szCs w:val="32"/>
        </w:rPr>
        <w:t>Ⅱ</w:t>
      </w:r>
      <w:r>
        <w:rPr>
          <w:color w:val="auto"/>
          <w:kern w:val="0"/>
          <w:szCs w:val="32"/>
        </w:rPr>
        <w:t>与第</w:t>
      </w:r>
      <w:r>
        <w:rPr>
          <w:rFonts w:hint="eastAsia"/>
          <w:color w:val="auto"/>
          <w:kern w:val="0"/>
          <w:szCs w:val="32"/>
        </w:rPr>
        <w:t>Ⅲ</w:t>
      </w:r>
      <w:r>
        <w:rPr>
          <w:color w:val="auto"/>
          <w:kern w:val="0"/>
          <w:szCs w:val="32"/>
        </w:rPr>
        <w:t>承压含水层(组)之间，发育厚度大于30m的粘土层且分布范围较广，两套层组之间水头有一定差异；鉴于第</w:t>
      </w:r>
      <w:r>
        <w:rPr>
          <w:rFonts w:hint="eastAsia"/>
          <w:color w:val="auto"/>
          <w:kern w:val="0"/>
          <w:szCs w:val="32"/>
        </w:rPr>
        <w:t>Ⅲ</w:t>
      </w:r>
      <w:r>
        <w:rPr>
          <w:color w:val="auto"/>
          <w:kern w:val="0"/>
          <w:szCs w:val="32"/>
        </w:rPr>
        <w:t>承压含水层(组)区域动态监测点少，在水位动态分析时，参考第</w:t>
      </w:r>
      <w:r>
        <w:rPr>
          <w:rFonts w:hint="eastAsia"/>
          <w:color w:val="auto"/>
          <w:kern w:val="0"/>
          <w:szCs w:val="32"/>
        </w:rPr>
        <w:t>Ⅱ</w:t>
      </w:r>
      <w:r>
        <w:rPr>
          <w:color w:val="auto"/>
          <w:kern w:val="0"/>
          <w:szCs w:val="32"/>
        </w:rPr>
        <w:t>承压含水层(组)动态。</w:t>
      </w:r>
    </w:p>
    <w:p>
      <w:pPr>
        <w:ind w:firstLine="480" w:firstLineChars="0"/>
        <w:rPr>
          <w:color w:val="auto"/>
          <w:kern w:val="0"/>
          <w:szCs w:val="32"/>
        </w:rPr>
      </w:pPr>
      <w:r>
        <w:rPr>
          <w:color w:val="auto"/>
          <w:kern w:val="0"/>
          <w:szCs w:val="32"/>
        </w:rPr>
        <w:t>具体分布情况见图</w:t>
      </w:r>
      <w:r>
        <w:rPr>
          <w:rFonts w:hint="eastAsia"/>
          <w:color w:val="auto"/>
          <w:kern w:val="0"/>
          <w:szCs w:val="32"/>
          <w:lang w:val="en-US" w:eastAsia="zh-CN"/>
        </w:rPr>
        <w:t>6</w:t>
      </w:r>
      <w:r>
        <w:rPr>
          <w:rFonts w:hint="eastAsia"/>
          <w:color w:val="auto"/>
          <w:kern w:val="0"/>
          <w:szCs w:val="32"/>
        </w:rPr>
        <w:t>.2-1</w:t>
      </w:r>
      <w:r>
        <w:rPr>
          <w:color w:val="auto"/>
          <w:kern w:val="0"/>
          <w:szCs w:val="32"/>
        </w:rPr>
        <w:t>。</w:t>
      </w:r>
    </w:p>
    <w:p>
      <w:pPr>
        <w:spacing w:line="240" w:lineRule="auto"/>
        <w:ind w:firstLine="0" w:firstLineChars="0"/>
        <w:jc w:val="center"/>
        <w:rPr>
          <w:color w:val="auto"/>
          <w:kern w:val="0"/>
          <w:sz w:val="34"/>
        </w:rPr>
      </w:pPr>
      <w:r>
        <w:rPr>
          <w:color w:val="auto"/>
        </w:rPr>
        <w:drawing>
          <wp:inline distT="0" distB="0" distL="0" distR="0">
            <wp:extent cx="5342255" cy="2353945"/>
            <wp:effectExtent l="0" t="0" r="10795" b="8255"/>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86"/>
                    <a:stretch>
                      <a:fillRect/>
                    </a:stretch>
                  </pic:blipFill>
                  <pic:spPr>
                    <a:xfrm>
                      <a:off x="0" y="0"/>
                      <a:ext cx="5342255" cy="2353945"/>
                    </a:xfrm>
                    <a:prstGeom prst="rect">
                      <a:avLst/>
                    </a:prstGeom>
                  </pic:spPr>
                </pic:pic>
              </a:graphicData>
            </a:graphic>
          </wp:inline>
        </w:drawing>
      </w:r>
    </w:p>
    <w:p>
      <w:pPr>
        <w:keepNext w:val="0"/>
        <w:keepLines w:val="0"/>
        <w:pageBreakBefore w:val="0"/>
        <w:widowControl w:val="0"/>
        <w:kinsoku/>
        <w:overflowPunct/>
        <w:topLinePunct w:val="0"/>
        <w:autoSpaceDE w:val="0"/>
        <w:autoSpaceDN w:val="0"/>
        <w:bidi w:val="0"/>
        <w:snapToGrid/>
        <w:spacing w:line="240" w:lineRule="auto"/>
        <w:ind w:firstLine="0" w:firstLineChars="0"/>
        <w:jc w:val="center"/>
        <w:textAlignment w:val="auto"/>
        <w:rPr>
          <w:b/>
          <w:color w:val="auto"/>
          <w:sz w:val="21"/>
          <w:szCs w:val="21"/>
          <w:highlight w:val="none"/>
        </w:rPr>
      </w:pPr>
      <w:r>
        <w:rPr>
          <w:b/>
          <w:color w:val="auto"/>
          <w:sz w:val="21"/>
          <w:szCs w:val="21"/>
          <w:highlight w:val="none"/>
        </w:rPr>
        <w:t>图</w:t>
      </w:r>
      <w:r>
        <w:rPr>
          <w:rFonts w:hint="eastAsia"/>
          <w:b/>
          <w:color w:val="auto"/>
          <w:sz w:val="21"/>
          <w:szCs w:val="21"/>
          <w:highlight w:val="none"/>
          <w:lang w:val="en-US" w:eastAsia="zh-CN"/>
        </w:rPr>
        <w:t>5.2-1</w:t>
      </w:r>
      <w:r>
        <w:rPr>
          <w:b/>
          <w:color w:val="auto"/>
          <w:sz w:val="21"/>
          <w:szCs w:val="21"/>
          <w:highlight w:val="none"/>
        </w:rPr>
        <w:t xml:space="preserve"> </w:t>
      </w:r>
      <w:r>
        <w:rPr>
          <w:rFonts w:hint="eastAsia"/>
          <w:b/>
          <w:color w:val="auto"/>
          <w:sz w:val="21"/>
          <w:szCs w:val="21"/>
          <w:highlight w:val="none"/>
          <w:lang w:eastAsia="zh-CN"/>
        </w:rPr>
        <w:t>水文地质</w:t>
      </w:r>
      <w:r>
        <w:rPr>
          <w:b/>
          <w:color w:val="auto"/>
          <w:sz w:val="21"/>
          <w:szCs w:val="21"/>
          <w:highlight w:val="none"/>
        </w:rPr>
        <w:t>概化</w:t>
      </w:r>
      <w:r>
        <w:rPr>
          <w:rFonts w:hint="eastAsia"/>
          <w:b/>
          <w:color w:val="auto"/>
          <w:sz w:val="21"/>
          <w:szCs w:val="21"/>
          <w:highlight w:val="none"/>
          <w:lang w:eastAsia="zh-CN"/>
        </w:rPr>
        <w:t>模型</w:t>
      </w:r>
      <w:r>
        <w:rPr>
          <w:b/>
          <w:color w:val="auto"/>
          <w:sz w:val="21"/>
          <w:szCs w:val="21"/>
          <w:highlight w:val="none"/>
        </w:rPr>
        <w:t>图</w:t>
      </w:r>
    </w:p>
    <w:p>
      <w:pPr>
        <w:adjustRightInd w:val="0"/>
        <w:snapToGrid w:val="0"/>
        <w:ind w:firstLine="480" w:firstLineChars="0"/>
        <w:rPr>
          <w:bCs/>
          <w:color w:val="auto"/>
          <w:kern w:val="0"/>
          <w:szCs w:val="32"/>
        </w:rPr>
      </w:pPr>
      <w:r>
        <w:rPr>
          <w:rFonts w:hint="eastAsia"/>
          <w:bCs/>
          <w:color w:val="auto"/>
          <w:kern w:val="0"/>
          <w:szCs w:val="32"/>
        </w:rPr>
        <w:t>（3）</w:t>
      </w:r>
      <w:r>
        <w:rPr>
          <w:bCs/>
          <w:color w:val="auto"/>
          <w:kern w:val="0"/>
          <w:szCs w:val="32"/>
        </w:rPr>
        <w:t>地下水补径排条件</w:t>
      </w:r>
    </w:p>
    <w:p>
      <w:pPr>
        <w:adjustRightInd w:val="0"/>
        <w:snapToGrid w:val="0"/>
        <w:ind w:firstLine="480" w:firstLineChars="0"/>
        <w:rPr>
          <w:bCs/>
          <w:color w:val="auto"/>
          <w:kern w:val="0"/>
          <w:szCs w:val="32"/>
        </w:rPr>
      </w:pPr>
      <w:r>
        <w:rPr>
          <w:rFonts w:hint="eastAsia"/>
          <w:bCs/>
          <w:color w:val="auto"/>
          <w:kern w:val="0"/>
          <w:szCs w:val="32"/>
        </w:rPr>
        <w:t>①</w:t>
      </w:r>
      <w:r>
        <w:rPr>
          <w:bCs/>
          <w:color w:val="auto"/>
          <w:kern w:val="0"/>
          <w:szCs w:val="32"/>
        </w:rPr>
        <w:t>补给条件</w:t>
      </w:r>
    </w:p>
    <w:p>
      <w:pPr>
        <w:adjustRightInd w:val="0"/>
        <w:snapToGrid w:val="0"/>
        <w:ind w:firstLine="480" w:firstLineChars="0"/>
        <w:rPr>
          <w:bCs/>
          <w:color w:val="auto"/>
          <w:kern w:val="0"/>
          <w:szCs w:val="32"/>
        </w:rPr>
      </w:pPr>
      <w:r>
        <w:rPr>
          <w:bCs/>
          <w:color w:val="auto"/>
          <w:kern w:val="0"/>
          <w:szCs w:val="32"/>
        </w:rPr>
        <w:t>大气降水是潜水的主要补给来源，区内地形平坦、沟渠河道纵横，灌溉回归和地表水体入渗补给条件也较好。</w:t>
      </w:r>
    </w:p>
    <w:p>
      <w:pPr>
        <w:adjustRightInd w:val="0"/>
        <w:snapToGrid w:val="0"/>
        <w:ind w:firstLine="480" w:firstLineChars="0"/>
        <w:rPr>
          <w:bCs/>
          <w:color w:val="auto"/>
          <w:kern w:val="0"/>
          <w:szCs w:val="32"/>
        </w:rPr>
      </w:pPr>
      <w:r>
        <w:rPr>
          <w:bCs/>
          <w:color w:val="auto"/>
          <w:kern w:val="0"/>
          <w:szCs w:val="32"/>
        </w:rPr>
        <w:t>潜水与第I孔隙承压水层组之间，在天窗发育地段，潜水的越流补给是第1承压含水层（组）的主要补给来源之一；第</w:t>
      </w:r>
      <w:r>
        <w:rPr>
          <w:rFonts w:hint="eastAsia"/>
          <w:bCs/>
          <w:color w:val="auto"/>
          <w:kern w:val="0"/>
          <w:szCs w:val="32"/>
        </w:rPr>
        <w:t>Ⅱ</w:t>
      </w:r>
      <w:r>
        <w:rPr>
          <w:bCs/>
          <w:color w:val="auto"/>
          <w:kern w:val="0"/>
          <w:szCs w:val="32"/>
        </w:rPr>
        <w:t>和第</w:t>
      </w:r>
      <w:r>
        <w:rPr>
          <w:rFonts w:hint="eastAsia"/>
          <w:bCs/>
          <w:color w:val="auto"/>
          <w:kern w:val="0"/>
          <w:szCs w:val="32"/>
        </w:rPr>
        <w:t>Ⅲ</w:t>
      </w:r>
      <w:r>
        <w:rPr>
          <w:bCs/>
          <w:color w:val="auto"/>
          <w:kern w:val="0"/>
          <w:szCs w:val="32"/>
        </w:rPr>
        <w:t>含水层（组）主要接受侧向径流补给。</w:t>
      </w:r>
    </w:p>
    <w:p>
      <w:pPr>
        <w:adjustRightInd w:val="0"/>
        <w:snapToGrid w:val="0"/>
        <w:ind w:firstLine="482" w:firstLineChars="0"/>
        <w:rPr>
          <w:bCs/>
          <w:color w:val="auto"/>
          <w:kern w:val="0"/>
          <w:szCs w:val="32"/>
        </w:rPr>
      </w:pPr>
      <w:r>
        <w:rPr>
          <w:rFonts w:hint="eastAsia"/>
          <w:bCs/>
          <w:color w:val="auto"/>
          <w:kern w:val="0"/>
          <w:szCs w:val="32"/>
        </w:rPr>
        <w:t>②</w:t>
      </w:r>
      <w:r>
        <w:rPr>
          <w:bCs/>
          <w:color w:val="auto"/>
          <w:kern w:val="0"/>
          <w:szCs w:val="32"/>
        </w:rPr>
        <w:t>径流条件</w:t>
      </w:r>
    </w:p>
    <w:p>
      <w:pPr>
        <w:adjustRightInd w:val="0"/>
        <w:snapToGrid w:val="0"/>
        <w:ind w:firstLine="480" w:firstLineChars="0"/>
        <w:rPr>
          <w:bCs/>
          <w:color w:val="auto"/>
          <w:kern w:val="0"/>
          <w:szCs w:val="32"/>
        </w:rPr>
      </w:pPr>
      <w:r>
        <w:rPr>
          <w:bCs/>
          <w:color w:val="auto"/>
          <w:kern w:val="0"/>
          <w:szCs w:val="32"/>
        </w:rPr>
        <w:t>天然条件下，潜水与承压水的区域径流方向，大致由西北流向东南；现状条件下，承压含水层（组）承压水，受工业和生活集中开采干扰影响明显。</w:t>
      </w:r>
    </w:p>
    <w:p>
      <w:pPr>
        <w:adjustRightInd w:val="0"/>
        <w:snapToGrid w:val="0"/>
        <w:ind w:firstLine="482" w:firstLineChars="0"/>
        <w:rPr>
          <w:bCs/>
          <w:color w:val="auto"/>
          <w:kern w:val="0"/>
          <w:szCs w:val="32"/>
        </w:rPr>
      </w:pPr>
      <w:r>
        <w:rPr>
          <w:rFonts w:hint="eastAsia"/>
          <w:bCs/>
          <w:color w:val="auto"/>
          <w:kern w:val="0"/>
          <w:szCs w:val="32"/>
        </w:rPr>
        <w:t>③</w:t>
      </w:r>
      <w:r>
        <w:rPr>
          <w:bCs/>
          <w:color w:val="auto"/>
          <w:kern w:val="0"/>
          <w:szCs w:val="32"/>
        </w:rPr>
        <w:t>排泄条件</w:t>
      </w:r>
    </w:p>
    <w:p>
      <w:pPr>
        <w:adjustRightInd w:val="0"/>
        <w:snapToGrid w:val="0"/>
        <w:ind w:firstLine="480" w:firstLineChars="0"/>
        <w:rPr>
          <w:color w:val="auto"/>
          <w:kern w:val="0"/>
          <w:szCs w:val="32"/>
        </w:rPr>
      </w:pPr>
      <w:r>
        <w:rPr>
          <w:color w:val="auto"/>
          <w:kern w:val="0"/>
          <w:szCs w:val="32"/>
        </w:rPr>
        <w:t>现状条件下，区内潜水的主要排泄方式有潜水蒸发、越流补给、侧向径流排泄、人工开采四种方式。</w:t>
      </w:r>
    </w:p>
    <w:p>
      <w:pPr>
        <w:adjustRightInd w:val="0"/>
        <w:snapToGrid w:val="0"/>
        <w:ind w:firstLine="480" w:firstLineChars="0"/>
        <w:rPr>
          <w:color w:val="auto"/>
          <w:kern w:val="0"/>
          <w:szCs w:val="32"/>
        </w:rPr>
      </w:pPr>
      <w:r>
        <w:rPr>
          <w:color w:val="auto"/>
          <w:kern w:val="0"/>
          <w:szCs w:val="32"/>
        </w:rPr>
        <w:t>天然条件下，承压水主要排泄方式是向下游排泄；现状条件下，开采是研究区域承压含水层（组）的主要排泄方式。</w:t>
      </w:r>
    </w:p>
    <w:p>
      <w:pPr>
        <w:pStyle w:val="2"/>
        <w:pageBreakBefore w:val="0"/>
        <w:widowControl w:val="0"/>
        <w:numPr>
          <w:ilvl w:val="0"/>
          <w:numId w:val="0"/>
        </w:numPr>
        <w:kinsoku/>
        <w:wordWrap/>
        <w:overflowPunct/>
        <w:topLinePunct w:val="0"/>
        <w:bidi w:val="0"/>
        <w:spacing w:line="360" w:lineRule="auto"/>
        <w:ind w:leftChars="0"/>
        <w:textAlignment w:val="auto"/>
        <w:rPr>
          <w:b/>
          <w:color w:val="auto"/>
          <w:highlight w:val="none"/>
        </w:rPr>
      </w:pPr>
      <w:r>
        <w:rPr>
          <w:rFonts w:hint="eastAsia"/>
          <w:color w:val="auto"/>
          <w:highlight w:val="none"/>
          <w:lang w:val="en-US" w:eastAsia="zh-CN"/>
        </w:rPr>
        <w:t>5.2.5.2</w:t>
      </w:r>
      <w:r>
        <w:rPr>
          <w:color w:val="auto"/>
          <w:highlight w:val="none"/>
        </w:rPr>
        <w:t>地下水环境影响预测与评价</w:t>
      </w:r>
    </w:p>
    <w:p>
      <w:pPr>
        <w:pageBreakBefore w:val="0"/>
        <w:widowControl w:val="0"/>
        <w:kinsoku/>
        <w:wordWrap/>
        <w:overflowPunct/>
        <w:topLinePunct w:val="0"/>
        <w:bidi w:val="0"/>
        <w:spacing w:line="360" w:lineRule="auto"/>
        <w:ind w:firstLine="482"/>
        <w:textAlignment w:val="auto"/>
        <w:rPr>
          <w:color w:val="auto"/>
          <w:szCs w:val="20"/>
          <w:highlight w:val="none"/>
        </w:rPr>
      </w:pPr>
      <w:r>
        <w:rPr>
          <w:b/>
          <w:color w:val="auto"/>
          <w:highlight w:val="none"/>
        </w:rPr>
        <w:t>（1）预测、评价范围</w:t>
      </w:r>
    </w:p>
    <w:p>
      <w:pPr>
        <w:pageBreakBefore w:val="0"/>
        <w:widowControl w:val="0"/>
        <w:kinsoku/>
        <w:wordWrap/>
        <w:overflowPunct/>
        <w:topLinePunct w:val="0"/>
        <w:bidi w:val="0"/>
        <w:adjustRightInd w:val="0"/>
        <w:snapToGrid w:val="0"/>
        <w:spacing w:line="360" w:lineRule="auto"/>
        <w:ind w:firstLine="480"/>
        <w:textAlignment w:val="auto"/>
        <w:rPr>
          <w:color w:val="auto"/>
          <w:szCs w:val="20"/>
          <w:highlight w:val="none"/>
        </w:rPr>
      </w:pPr>
      <w:r>
        <w:rPr>
          <w:color w:val="auto"/>
          <w:szCs w:val="20"/>
          <w:highlight w:val="none"/>
        </w:rPr>
        <w:t>由于本项目可能出现的污染事故点较少，可能对地下水造成污染的因素也较简单，在设计可能出现的事故情景时，仅考虑污染风险较大及一旦发生污染则危害较大的潜在事故源。在污染因子选择方面，主要选择项目</w:t>
      </w:r>
      <w:r>
        <w:rPr>
          <w:rFonts w:hint="eastAsia"/>
          <w:color w:val="auto"/>
          <w:szCs w:val="20"/>
          <w:highlight w:val="none"/>
          <w:lang w:val="en-US" w:eastAsia="zh-CN"/>
        </w:rPr>
        <w:t>运营</w:t>
      </w:r>
      <w:r>
        <w:rPr>
          <w:color w:val="auto"/>
          <w:szCs w:val="20"/>
          <w:highlight w:val="none"/>
        </w:rPr>
        <w:t>过程中可能产生的污染因子，在不同场景条件下预测污染物扩散范围及浓度变化。</w:t>
      </w:r>
    </w:p>
    <w:p>
      <w:pPr>
        <w:pageBreakBefore w:val="0"/>
        <w:widowControl w:val="0"/>
        <w:kinsoku/>
        <w:wordWrap/>
        <w:overflowPunct/>
        <w:topLinePunct w:val="0"/>
        <w:bidi w:val="0"/>
        <w:adjustRightInd w:val="0"/>
        <w:snapToGrid w:val="0"/>
        <w:spacing w:line="360" w:lineRule="auto"/>
        <w:ind w:firstLine="480"/>
        <w:textAlignment w:val="auto"/>
        <w:rPr>
          <w:color w:val="auto"/>
          <w:szCs w:val="20"/>
          <w:highlight w:val="none"/>
        </w:rPr>
      </w:pPr>
      <w:r>
        <w:rPr>
          <w:rFonts w:hint="eastAsia"/>
          <w:color w:val="auto"/>
          <w:highlight w:val="none"/>
          <w:lang w:val="en-US" w:eastAsia="zh-CN"/>
        </w:rPr>
        <w:t>医院污水处理站池体</w:t>
      </w:r>
      <w:r>
        <w:rPr>
          <w:color w:val="auto"/>
          <w:szCs w:val="20"/>
          <w:highlight w:val="none"/>
        </w:rPr>
        <w:t>发生破损，由于短时间内无法</w:t>
      </w:r>
      <w:r>
        <w:rPr>
          <w:rFonts w:hint="eastAsia"/>
          <w:color w:val="auto"/>
          <w:szCs w:val="20"/>
          <w:highlight w:val="none"/>
          <w:lang w:val="en-US" w:eastAsia="zh-CN"/>
        </w:rPr>
        <w:t>轻易发觉</w:t>
      </w:r>
      <w:r>
        <w:rPr>
          <w:color w:val="auto"/>
          <w:szCs w:val="20"/>
          <w:highlight w:val="none"/>
        </w:rPr>
        <w:t>，</w:t>
      </w:r>
      <w:r>
        <w:rPr>
          <w:rFonts w:hint="eastAsia"/>
          <w:color w:val="auto"/>
          <w:szCs w:val="20"/>
          <w:highlight w:val="none"/>
          <w:lang w:eastAsia="zh-CN"/>
        </w:rPr>
        <w:t>废水</w:t>
      </w:r>
      <w:r>
        <w:rPr>
          <w:color w:val="auto"/>
          <w:szCs w:val="20"/>
          <w:highlight w:val="none"/>
        </w:rPr>
        <w:t>下渗地面，将对下方的土壤环境造成污染，并通过包气带对地下水环境造成污染。因此本次评价确定</w:t>
      </w:r>
      <w:r>
        <w:rPr>
          <w:rFonts w:hint="eastAsia"/>
          <w:color w:val="auto"/>
          <w:highlight w:val="none"/>
          <w:lang w:val="en-US" w:eastAsia="zh-CN"/>
        </w:rPr>
        <w:t>污水处理站废水</w:t>
      </w:r>
      <w:r>
        <w:rPr>
          <w:color w:val="auto"/>
          <w:szCs w:val="20"/>
          <w:highlight w:val="none"/>
        </w:rPr>
        <w:t>下渗为主要预测对象。</w:t>
      </w:r>
    </w:p>
    <w:p>
      <w:pPr>
        <w:pageBreakBefore w:val="0"/>
        <w:widowControl w:val="0"/>
        <w:kinsoku/>
        <w:wordWrap/>
        <w:overflowPunct/>
        <w:topLinePunct w:val="0"/>
        <w:bidi w:val="0"/>
        <w:spacing w:line="360" w:lineRule="auto"/>
        <w:ind w:firstLine="482"/>
        <w:textAlignment w:val="auto"/>
        <w:rPr>
          <w:rFonts w:hint="default" w:eastAsia="宋体"/>
          <w:b/>
          <w:color w:val="auto"/>
          <w:highlight w:val="none"/>
          <w:lang w:val="en-US" w:eastAsia="zh-CN"/>
        </w:rPr>
      </w:pPr>
      <w:r>
        <w:rPr>
          <w:b/>
          <w:color w:val="auto"/>
          <w:highlight w:val="none"/>
        </w:rPr>
        <w:t>（</w:t>
      </w:r>
      <w:r>
        <w:rPr>
          <w:rFonts w:hint="eastAsia"/>
          <w:b/>
          <w:color w:val="auto"/>
          <w:highlight w:val="none"/>
          <w:lang w:val="en-US" w:eastAsia="zh-CN"/>
        </w:rPr>
        <w:t>2</w:t>
      </w:r>
      <w:r>
        <w:rPr>
          <w:b/>
          <w:color w:val="auto"/>
          <w:highlight w:val="none"/>
        </w:rPr>
        <w:t>）</w:t>
      </w:r>
      <w:r>
        <w:rPr>
          <w:rFonts w:hint="eastAsia"/>
          <w:b/>
          <w:color w:val="auto"/>
          <w:highlight w:val="none"/>
          <w:lang w:val="en-US" w:eastAsia="zh-CN"/>
        </w:rPr>
        <w:t>预测源强</w:t>
      </w:r>
    </w:p>
    <w:p>
      <w:pPr>
        <w:pageBreakBefore w:val="0"/>
        <w:widowControl w:val="0"/>
        <w:kinsoku/>
        <w:wordWrap/>
        <w:overflowPunct/>
        <w:topLinePunct w:val="0"/>
        <w:bidi w:val="0"/>
        <w:spacing w:line="360" w:lineRule="auto"/>
        <w:ind w:firstLine="480"/>
        <w:textAlignment w:val="auto"/>
        <w:rPr>
          <w:rFonts w:hint="eastAsia"/>
          <w:color w:val="auto"/>
          <w:sz w:val="24"/>
          <w:highlight w:val="none"/>
        </w:rPr>
      </w:pPr>
      <w:r>
        <w:rPr>
          <w:rFonts w:hint="eastAsia"/>
          <w:color w:val="auto"/>
          <w:kern w:val="0"/>
          <w:sz w:val="24"/>
          <w:szCs w:val="24"/>
          <w:highlight w:val="none"/>
          <w:lang w:val="en-US" w:eastAsia="zh-CN"/>
        </w:rPr>
        <w:t>非正常工况下，</w:t>
      </w:r>
      <w:r>
        <w:rPr>
          <w:rFonts w:hint="eastAsia"/>
          <w:color w:val="auto"/>
          <w:highlight w:val="none"/>
          <w:lang w:val="en-US" w:eastAsia="zh-CN"/>
        </w:rPr>
        <w:t>污水处理站</w:t>
      </w:r>
      <w:r>
        <w:rPr>
          <w:rFonts w:hint="eastAsia"/>
          <w:color w:val="auto"/>
          <w:highlight w:val="none"/>
        </w:rPr>
        <w:t>废水调节池</w:t>
      </w:r>
      <w:r>
        <w:rPr>
          <w:rFonts w:hint="eastAsia"/>
          <w:color w:val="auto"/>
          <w:kern w:val="0"/>
          <w:sz w:val="24"/>
          <w:szCs w:val="24"/>
          <w:highlight w:val="none"/>
          <w:lang w:val="en-US" w:eastAsia="zh-CN"/>
        </w:rPr>
        <w:t>出现破损</w:t>
      </w:r>
      <w:r>
        <w:rPr>
          <w:rFonts w:hint="eastAsia"/>
          <w:color w:val="auto"/>
          <w:sz w:val="24"/>
          <w:highlight w:val="none"/>
        </w:rPr>
        <w:t>泄露</w:t>
      </w:r>
      <w:r>
        <w:rPr>
          <w:rFonts w:hint="eastAsia"/>
          <w:color w:val="auto"/>
          <w:kern w:val="0"/>
          <w:sz w:val="24"/>
          <w:szCs w:val="24"/>
          <w:highlight w:val="none"/>
          <w:lang w:val="en-US" w:eastAsia="zh-CN"/>
        </w:rPr>
        <w:t>，废水进入地下水，</w:t>
      </w:r>
      <w:r>
        <w:rPr>
          <w:rFonts w:hint="eastAsia"/>
          <w:color w:val="auto"/>
          <w:sz w:val="24"/>
          <w:highlight w:val="none"/>
        </w:rPr>
        <w:t>泄漏量按下列公式计算：</w:t>
      </w:r>
    </w:p>
    <w:p>
      <w:pPr>
        <w:pageBreakBefore w:val="0"/>
        <w:widowControl w:val="0"/>
        <w:kinsoku/>
        <w:wordWrap/>
        <w:overflowPunct/>
        <w:topLinePunct w:val="0"/>
        <w:bidi w:val="0"/>
        <w:spacing w:line="360" w:lineRule="auto"/>
        <w:ind w:firstLine="480"/>
        <w:jc w:val="center"/>
        <w:textAlignment w:val="auto"/>
        <w:rPr>
          <w:rFonts w:hint="eastAsia"/>
          <w:color w:val="auto"/>
          <w:sz w:val="24"/>
          <w:highlight w:val="none"/>
        </w:rPr>
      </w:pPr>
      <w:r>
        <w:rPr>
          <w:rFonts w:hint="eastAsia"/>
          <w:color w:val="auto"/>
          <w:sz w:val="24"/>
          <w:highlight w:val="none"/>
        </w:rPr>
        <w:t>Q=KAJ</w:t>
      </w:r>
    </w:p>
    <w:p>
      <w:pPr>
        <w:pageBreakBefore w:val="0"/>
        <w:widowControl w:val="0"/>
        <w:kinsoku/>
        <w:wordWrap/>
        <w:overflowPunct/>
        <w:topLinePunct w:val="0"/>
        <w:bidi w:val="0"/>
        <w:spacing w:line="360" w:lineRule="auto"/>
        <w:ind w:firstLine="480"/>
        <w:jc w:val="both"/>
        <w:textAlignment w:val="auto"/>
        <w:rPr>
          <w:rFonts w:hint="eastAsia"/>
          <w:color w:val="auto"/>
          <w:sz w:val="24"/>
          <w:highlight w:val="none"/>
        </w:rPr>
      </w:pPr>
      <w:r>
        <w:rPr>
          <w:rFonts w:hint="eastAsia"/>
          <w:color w:val="auto"/>
          <w:sz w:val="24"/>
          <w:highlight w:val="none"/>
        </w:rPr>
        <w:t>其中</w:t>
      </w:r>
      <w:r>
        <w:rPr>
          <w:rFonts w:hint="eastAsia"/>
          <w:color w:val="auto"/>
          <w:sz w:val="24"/>
          <w:highlight w:val="none"/>
          <w:lang w:eastAsia="zh-CN"/>
        </w:rPr>
        <w:t>：</w:t>
      </w:r>
      <w:r>
        <w:rPr>
          <w:rFonts w:hint="eastAsia"/>
          <w:color w:val="auto"/>
          <w:sz w:val="24"/>
          <w:highlight w:val="none"/>
        </w:rPr>
        <w:t>K—包气带垂向渗透系数</w:t>
      </w:r>
      <w:r>
        <w:rPr>
          <w:rFonts w:hint="eastAsia"/>
          <w:color w:val="auto"/>
          <w:sz w:val="24"/>
          <w:highlight w:val="none"/>
          <w:lang w:val="en-US" w:eastAsia="zh-CN"/>
        </w:rPr>
        <w:t>m/d，项目所在区包气带渗透系数为0.024-0.048m/d，本次预测取0.036</w:t>
      </w:r>
      <w:r>
        <w:rPr>
          <w:rFonts w:hint="eastAsia"/>
          <w:color w:val="auto"/>
          <w:sz w:val="24"/>
          <w:highlight w:val="none"/>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textAlignment w:val="auto"/>
        <w:rPr>
          <w:rFonts w:hint="eastAsia"/>
          <w:color w:val="auto"/>
          <w:sz w:val="24"/>
          <w:highlight w:val="none"/>
        </w:rPr>
      </w:pPr>
      <w:r>
        <w:rPr>
          <w:rFonts w:hint="eastAsia"/>
          <w:color w:val="auto"/>
          <w:sz w:val="24"/>
          <w:highlight w:val="none"/>
        </w:rPr>
        <w:t>A—污水处理池底部泄露面积</w:t>
      </w:r>
      <w:r>
        <w:rPr>
          <w:rFonts w:hint="eastAsia"/>
          <w:color w:val="auto"/>
          <w:sz w:val="24"/>
          <w:highlight w:val="none"/>
          <w:lang w:val="en-US" w:eastAsia="zh-CN"/>
        </w:rPr>
        <w:t>m</w:t>
      </w:r>
      <w:r>
        <w:rPr>
          <w:rFonts w:hint="eastAsia"/>
          <w:color w:val="auto"/>
          <w:sz w:val="24"/>
          <w:highlight w:val="none"/>
          <w:vertAlign w:val="superscript"/>
          <w:lang w:val="en-US" w:eastAsia="zh-CN"/>
        </w:rPr>
        <w:t>2</w:t>
      </w:r>
      <w:r>
        <w:rPr>
          <w:rFonts w:hint="eastAsia"/>
          <w:color w:val="auto"/>
          <w:sz w:val="24"/>
          <w:highlight w:val="none"/>
        </w:rPr>
        <w:t>，本取总面积</w:t>
      </w:r>
      <w:r>
        <w:rPr>
          <w:rFonts w:hint="eastAsia"/>
          <w:color w:val="auto"/>
          <w:sz w:val="24"/>
          <w:highlight w:val="none"/>
          <w:lang w:val="en-US" w:eastAsia="zh-CN"/>
        </w:rPr>
        <w:t>1m</w:t>
      </w:r>
      <w:r>
        <w:rPr>
          <w:rFonts w:hint="eastAsia"/>
          <w:color w:val="auto"/>
          <w:sz w:val="24"/>
          <w:highlight w:val="none"/>
          <w:vertAlign w:val="superscript"/>
          <w:lang w:val="en-US" w:eastAsia="zh-CN"/>
        </w:rPr>
        <w:t>2</w:t>
      </w:r>
      <w:r>
        <w:rPr>
          <w:rFonts w:hint="eastAsia"/>
          <w:color w:val="auto"/>
          <w:sz w:val="24"/>
          <w:highlight w:val="none"/>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textAlignment w:val="auto"/>
        <w:rPr>
          <w:rFonts w:hint="eastAsia"/>
          <w:color w:val="auto"/>
          <w:sz w:val="24"/>
          <w:highlight w:val="none"/>
        </w:rPr>
      </w:pPr>
      <w:r>
        <w:rPr>
          <w:rFonts w:hint="eastAsia"/>
          <w:color w:val="auto"/>
          <w:sz w:val="24"/>
          <w:highlight w:val="none"/>
        </w:rPr>
        <w:t>J—水力坡度，取1；</w:t>
      </w:r>
    </w:p>
    <w:p>
      <w:pPr>
        <w:pageBreakBefore w:val="0"/>
        <w:widowControl w:val="0"/>
        <w:kinsoku/>
        <w:wordWrap/>
        <w:overflowPunct/>
        <w:topLinePunct w:val="0"/>
        <w:bidi w:val="0"/>
        <w:spacing w:line="360" w:lineRule="auto"/>
        <w:ind w:firstLine="480"/>
        <w:textAlignment w:val="auto"/>
        <w:rPr>
          <w:rFonts w:hint="eastAsia"/>
          <w:color w:val="auto"/>
          <w:kern w:val="0"/>
          <w:sz w:val="24"/>
          <w:szCs w:val="24"/>
          <w:highlight w:val="none"/>
          <w:lang w:val="en-US" w:eastAsia="zh-CN"/>
        </w:rPr>
      </w:pPr>
      <w:r>
        <w:rPr>
          <w:rFonts w:hint="eastAsia"/>
          <w:color w:val="auto"/>
          <w:kern w:val="0"/>
          <w:sz w:val="24"/>
          <w:szCs w:val="24"/>
          <w:highlight w:val="none"/>
          <w:lang w:val="en-US" w:eastAsia="zh-CN"/>
        </w:rPr>
        <w:t>假定污水泄露量为正常状况下渗漏量的10倍，最终</w:t>
      </w:r>
      <w:r>
        <w:rPr>
          <w:rFonts w:hint="eastAsia"/>
          <w:color w:val="auto"/>
          <w:sz w:val="24"/>
          <w:highlight w:val="none"/>
        </w:rPr>
        <w:t>计算泄露量Q=</w:t>
      </w:r>
      <w:r>
        <w:rPr>
          <w:rFonts w:hint="eastAsia"/>
          <w:color w:val="auto"/>
          <w:sz w:val="24"/>
          <w:highlight w:val="none"/>
          <w:lang w:val="en-US" w:eastAsia="zh-CN"/>
        </w:rPr>
        <w:t>0.36</w:t>
      </w:r>
      <w:r>
        <w:rPr>
          <w:rFonts w:hint="eastAsia"/>
          <w:color w:val="auto"/>
          <w:sz w:val="24"/>
          <w:highlight w:val="none"/>
          <w:lang w:eastAsia="zh-CN"/>
        </w:rPr>
        <w:t>m</w:t>
      </w:r>
      <w:r>
        <w:rPr>
          <w:rFonts w:hint="eastAsia"/>
          <w:color w:val="auto"/>
          <w:sz w:val="24"/>
          <w:highlight w:val="none"/>
          <w:vertAlign w:val="superscript"/>
          <w:lang w:eastAsia="zh-CN"/>
        </w:rPr>
        <w:t>3</w:t>
      </w:r>
      <w:r>
        <w:rPr>
          <w:rFonts w:hint="eastAsia"/>
          <w:color w:val="auto"/>
          <w:sz w:val="24"/>
          <w:highlight w:val="none"/>
        </w:rPr>
        <w:t>/d</w:t>
      </w:r>
      <w:r>
        <w:rPr>
          <w:rFonts w:hint="eastAsia"/>
          <w:color w:val="auto"/>
          <w:kern w:val="0"/>
          <w:sz w:val="24"/>
          <w:szCs w:val="24"/>
          <w:highlight w:val="none"/>
          <w:lang w:val="en-US" w:eastAsia="zh-CN"/>
        </w:rPr>
        <w:t>。</w:t>
      </w:r>
    </w:p>
    <w:p>
      <w:pPr>
        <w:pageBreakBefore w:val="0"/>
        <w:widowControl w:val="0"/>
        <w:kinsoku/>
        <w:wordWrap/>
        <w:overflowPunct/>
        <w:topLinePunct w:val="0"/>
        <w:bidi w:val="0"/>
        <w:spacing w:line="360" w:lineRule="auto"/>
        <w:textAlignment w:val="auto"/>
        <w:rPr>
          <w:color w:val="auto"/>
          <w:highlight w:val="none"/>
        </w:rPr>
      </w:pPr>
      <w:r>
        <w:rPr>
          <w:color w:val="auto"/>
          <w:highlight w:val="none"/>
        </w:rPr>
        <w:t>根据本项目工程分析</w:t>
      </w:r>
      <w:r>
        <w:rPr>
          <w:rFonts w:hint="eastAsia"/>
          <w:color w:val="auto"/>
          <w:highlight w:val="none"/>
          <w:lang w:eastAsia="zh-CN"/>
        </w:rPr>
        <w:t>，</w:t>
      </w:r>
      <w:r>
        <w:rPr>
          <w:rFonts w:hint="eastAsia"/>
          <w:color w:val="auto"/>
          <w:highlight w:val="none"/>
          <w:lang w:val="en-US" w:eastAsia="zh-CN"/>
        </w:rPr>
        <w:t>项目选取COD、NH</w:t>
      </w:r>
      <w:r>
        <w:rPr>
          <w:rFonts w:hint="eastAsia"/>
          <w:color w:val="auto"/>
          <w:highlight w:val="none"/>
          <w:vertAlign w:val="subscript"/>
          <w:lang w:val="en-US" w:eastAsia="zh-CN"/>
        </w:rPr>
        <w:t>3</w:t>
      </w:r>
      <w:r>
        <w:rPr>
          <w:rFonts w:hint="eastAsia"/>
          <w:color w:val="auto"/>
          <w:highlight w:val="none"/>
          <w:lang w:val="en-US" w:eastAsia="zh-CN"/>
        </w:rPr>
        <w:t>-N</w:t>
      </w:r>
      <w:r>
        <w:rPr>
          <w:color w:val="auto"/>
          <w:highlight w:val="none"/>
        </w:rPr>
        <w:t>作为预测因子</w:t>
      </w:r>
      <w:r>
        <w:rPr>
          <w:rFonts w:hint="eastAsia"/>
          <w:color w:val="auto"/>
          <w:highlight w:val="none"/>
          <w:lang w:eastAsia="zh-CN"/>
        </w:rPr>
        <w:t>，</w:t>
      </w:r>
      <w:r>
        <w:rPr>
          <w:rFonts w:hint="eastAsia"/>
          <w:color w:val="auto"/>
          <w:highlight w:val="none"/>
          <w:lang w:val="en-US" w:eastAsia="zh-CN"/>
        </w:rPr>
        <w:t>其</w:t>
      </w:r>
      <w:r>
        <w:rPr>
          <w:color w:val="auto"/>
          <w:highlight w:val="none"/>
        </w:rPr>
        <w:t>污染物</w:t>
      </w:r>
      <w:r>
        <w:rPr>
          <w:rFonts w:hint="eastAsia"/>
          <w:color w:val="auto"/>
          <w:highlight w:val="none"/>
          <w:lang w:val="en-US" w:eastAsia="zh-CN"/>
        </w:rPr>
        <w:t>参数</w:t>
      </w:r>
      <w:r>
        <w:rPr>
          <w:color w:val="auto"/>
          <w:highlight w:val="none"/>
        </w:rPr>
        <w:t>具体如表</w:t>
      </w:r>
      <w:r>
        <w:rPr>
          <w:rFonts w:hint="eastAsia"/>
          <w:color w:val="auto"/>
          <w:highlight w:val="none"/>
          <w:lang w:val="en-US" w:eastAsia="zh-CN"/>
        </w:rPr>
        <w:t>5</w:t>
      </w:r>
      <w:r>
        <w:rPr>
          <w:rFonts w:hint="eastAsia"/>
          <w:color w:val="auto"/>
          <w:highlight w:val="none"/>
          <w:lang w:eastAsia="zh-CN"/>
        </w:rPr>
        <w:t>.2-</w:t>
      </w:r>
      <w:r>
        <w:rPr>
          <w:rFonts w:hint="eastAsia"/>
          <w:color w:val="auto"/>
          <w:highlight w:val="none"/>
          <w:lang w:val="en-US" w:eastAsia="zh-CN"/>
        </w:rPr>
        <w:t>32</w:t>
      </w:r>
      <w:r>
        <w:rPr>
          <w:color w:val="auto"/>
          <w:highlight w:val="none"/>
        </w:rPr>
        <w:t>：</w:t>
      </w:r>
    </w:p>
    <w:p>
      <w:pPr>
        <w:pStyle w:val="340"/>
        <w:bidi w:val="0"/>
        <w:rPr>
          <w:color w:val="auto"/>
          <w:highlight w:val="none"/>
        </w:rPr>
      </w:pPr>
      <w:r>
        <w:rPr>
          <w:color w:val="auto"/>
          <w:highlight w:val="none"/>
        </w:rPr>
        <w:t>表</w:t>
      </w:r>
      <w:r>
        <w:rPr>
          <w:rFonts w:hint="eastAsia"/>
          <w:color w:val="auto"/>
          <w:highlight w:val="none"/>
          <w:lang w:val="en-US" w:eastAsia="zh-CN"/>
        </w:rPr>
        <w:t>5</w:t>
      </w:r>
      <w:r>
        <w:rPr>
          <w:rFonts w:hint="eastAsia"/>
          <w:color w:val="auto"/>
          <w:highlight w:val="none"/>
          <w:lang w:eastAsia="zh-CN"/>
        </w:rPr>
        <w:t>.2-</w:t>
      </w:r>
      <w:r>
        <w:rPr>
          <w:rFonts w:hint="eastAsia"/>
          <w:color w:val="auto"/>
          <w:highlight w:val="none"/>
          <w:lang w:val="en-US" w:eastAsia="zh-CN"/>
        </w:rPr>
        <w:t xml:space="preserve">32  </w:t>
      </w:r>
      <w:r>
        <w:rPr>
          <w:rFonts w:hint="eastAsia"/>
          <w:color w:val="auto"/>
          <w:highlight w:val="none"/>
        </w:rPr>
        <w:t>调节池</w:t>
      </w:r>
      <w:r>
        <w:rPr>
          <w:color w:val="auto"/>
          <w:highlight w:val="none"/>
        </w:rPr>
        <w:t>主要污染物浓度（mg/L）</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2401"/>
        <w:gridCol w:w="3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4"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408"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COD</w:t>
            </w:r>
          </w:p>
        </w:tc>
        <w:tc>
          <w:tcPr>
            <w:tcW w:w="1776"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4"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产生最大浓度值</w:t>
            </w:r>
          </w:p>
        </w:tc>
        <w:tc>
          <w:tcPr>
            <w:tcW w:w="1408"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r>
              <w:rPr>
                <w:rFonts w:hint="default" w:ascii="Times New Roman" w:hAnsi="Times New Roman" w:eastAsia="宋体" w:cs="Times New Roman"/>
                <w:color w:val="auto"/>
                <w:sz w:val="21"/>
                <w:szCs w:val="21"/>
                <w:highlight w:val="none"/>
              </w:rPr>
              <w:t>mg/L</w:t>
            </w:r>
          </w:p>
        </w:tc>
        <w:tc>
          <w:tcPr>
            <w:tcW w:w="1776"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4"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评价标准</w:t>
            </w:r>
          </w:p>
        </w:tc>
        <w:tc>
          <w:tcPr>
            <w:tcW w:w="1408"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mg/L</w:t>
            </w:r>
          </w:p>
        </w:tc>
        <w:tc>
          <w:tcPr>
            <w:tcW w:w="1776"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4"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超标倍数</w:t>
            </w:r>
          </w:p>
        </w:tc>
        <w:tc>
          <w:tcPr>
            <w:tcW w:w="1408"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133</w:t>
            </w:r>
          </w:p>
        </w:tc>
        <w:tc>
          <w:tcPr>
            <w:tcW w:w="1776"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4"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产生量</w:t>
            </w:r>
          </w:p>
        </w:tc>
        <w:tc>
          <w:tcPr>
            <w:tcW w:w="1408"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0.144kg/d</w:t>
            </w:r>
          </w:p>
        </w:tc>
        <w:tc>
          <w:tcPr>
            <w:tcW w:w="1776" w:type="pct"/>
            <w:noWrap w:val="0"/>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0.0162kg/d</w:t>
            </w:r>
          </w:p>
        </w:tc>
      </w:tr>
    </w:tbl>
    <w:p>
      <w:pPr>
        <w:spacing w:line="360" w:lineRule="auto"/>
        <w:ind w:firstLine="482"/>
        <w:rPr>
          <w:b/>
          <w:color w:val="auto"/>
          <w:highlight w:val="none"/>
        </w:rPr>
      </w:pPr>
      <w:r>
        <w:rPr>
          <w:b/>
          <w:color w:val="auto"/>
          <w:highlight w:val="none"/>
        </w:rPr>
        <w:t>（</w:t>
      </w:r>
      <w:r>
        <w:rPr>
          <w:rFonts w:hint="eastAsia"/>
          <w:b/>
          <w:color w:val="auto"/>
          <w:highlight w:val="none"/>
          <w:lang w:val="en-US" w:eastAsia="zh-CN"/>
        </w:rPr>
        <w:t>3</w:t>
      </w:r>
      <w:r>
        <w:rPr>
          <w:b/>
          <w:color w:val="auto"/>
          <w:highlight w:val="none"/>
        </w:rPr>
        <w:t>）预测模型</w:t>
      </w:r>
    </w:p>
    <w:p>
      <w:pPr>
        <w:keepNext w:val="0"/>
        <w:keepLines w:val="0"/>
        <w:widowControl/>
        <w:suppressLineNumbers w:val="0"/>
        <w:spacing w:line="360" w:lineRule="auto"/>
        <w:jc w:val="left"/>
        <w:rPr>
          <w:color w:val="auto"/>
          <w:highlight w:val="none"/>
        </w:rPr>
      </w:pPr>
      <w:r>
        <w:rPr>
          <w:rFonts w:hint="eastAsia" w:ascii="宋体" w:hAnsi="宋体" w:cs="宋体"/>
          <w:snapToGrid w:val="0"/>
          <w:color w:val="auto"/>
          <w:spacing w:val="0"/>
          <w:kern w:val="0"/>
          <w:sz w:val="24"/>
          <w:szCs w:val="24"/>
          <w:highlight w:val="none"/>
          <w:lang w:val="en-US" w:eastAsia="zh-CN" w:bidi="ar"/>
        </w:rPr>
        <w:t>项目</w:t>
      </w:r>
      <w:r>
        <w:rPr>
          <w:rFonts w:hint="eastAsia" w:ascii="宋体" w:hAnsi="宋体" w:eastAsia="宋体" w:cs="宋体"/>
          <w:snapToGrid w:val="0"/>
          <w:color w:val="auto"/>
          <w:spacing w:val="0"/>
          <w:kern w:val="0"/>
          <w:sz w:val="24"/>
          <w:szCs w:val="24"/>
          <w:highlight w:val="none"/>
          <w:lang w:val="en-US" w:eastAsia="zh-CN" w:bidi="ar"/>
        </w:rPr>
        <w:t>污水</w:t>
      </w:r>
      <w:r>
        <w:rPr>
          <w:rFonts w:hint="eastAsia" w:ascii="宋体" w:hAnsi="宋体" w:cs="宋体"/>
          <w:snapToGrid w:val="0"/>
          <w:color w:val="auto"/>
          <w:spacing w:val="0"/>
          <w:kern w:val="0"/>
          <w:sz w:val="24"/>
          <w:szCs w:val="24"/>
          <w:highlight w:val="none"/>
          <w:lang w:val="en-US" w:eastAsia="zh-CN" w:bidi="ar"/>
        </w:rPr>
        <w:t>处理站为地埋式，调节池</w:t>
      </w:r>
      <w:r>
        <w:rPr>
          <w:rFonts w:hint="eastAsia" w:ascii="宋体" w:hAnsi="宋体" w:eastAsia="宋体" w:cs="宋体"/>
          <w:snapToGrid w:val="0"/>
          <w:color w:val="auto"/>
          <w:spacing w:val="0"/>
          <w:kern w:val="0"/>
          <w:sz w:val="24"/>
          <w:szCs w:val="24"/>
          <w:highlight w:val="none"/>
          <w:lang w:val="en-US" w:eastAsia="zh-CN" w:bidi="ar"/>
        </w:rPr>
        <w:t>发生泄漏具有隐蔽性，不容易</w:t>
      </w:r>
      <w:r>
        <w:rPr>
          <w:rFonts w:hint="eastAsia" w:ascii="宋体" w:hAnsi="宋体" w:cs="宋体"/>
          <w:snapToGrid w:val="0"/>
          <w:color w:val="auto"/>
          <w:spacing w:val="0"/>
          <w:kern w:val="0"/>
          <w:sz w:val="24"/>
          <w:szCs w:val="24"/>
          <w:highlight w:val="none"/>
          <w:lang w:val="en-US" w:eastAsia="zh-CN" w:bidi="ar"/>
        </w:rPr>
        <w:t>被</w:t>
      </w:r>
      <w:r>
        <w:rPr>
          <w:rFonts w:hint="eastAsia" w:ascii="宋体" w:hAnsi="宋体" w:eastAsia="宋体" w:cs="宋体"/>
          <w:snapToGrid w:val="0"/>
          <w:color w:val="auto"/>
          <w:spacing w:val="0"/>
          <w:kern w:val="0"/>
          <w:sz w:val="24"/>
          <w:szCs w:val="24"/>
          <w:highlight w:val="none"/>
          <w:lang w:val="en-US" w:eastAsia="zh-CN" w:bidi="ar"/>
        </w:rPr>
        <w:t>及时发现。预测模型采用导则推荐的一维稳定运动二维水动力弥散</w:t>
      </w:r>
      <w:r>
        <w:rPr>
          <w:rFonts w:hint="default" w:ascii="Times New Roman" w:hAnsi="Times New Roman" w:eastAsia="宋体" w:cs="Times New Roman"/>
          <w:snapToGrid w:val="0"/>
          <w:color w:val="auto"/>
          <w:spacing w:val="0"/>
          <w:kern w:val="0"/>
          <w:sz w:val="24"/>
          <w:szCs w:val="24"/>
          <w:highlight w:val="none"/>
          <w:lang w:val="en-US" w:eastAsia="zh-CN" w:bidi="ar"/>
        </w:rPr>
        <w:t>-</w:t>
      </w:r>
      <w:r>
        <w:rPr>
          <w:rFonts w:hint="eastAsia" w:ascii="宋体" w:hAnsi="宋体" w:eastAsia="宋体" w:cs="宋体"/>
          <w:snapToGrid w:val="0"/>
          <w:color w:val="auto"/>
          <w:spacing w:val="0"/>
          <w:kern w:val="0"/>
          <w:sz w:val="24"/>
          <w:szCs w:val="24"/>
          <w:highlight w:val="none"/>
          <w:lang w:val="en-US" w:eastAsia="zh-CN" w:bidi="ar"/>
        </w:rPr>
        <w:t>连续注入示踪剂</w:t>
      </w:r>
      <w:r>
        <w:rPr>
          <w:rFonts w:hint="default" w:ascii="Times New Roman" w:hAnsi="Times New Roman" w:eastAsia="宋体" w:cs="Times New Roman"/>
          <w:snapToGrid w:val="0"/>
          <w:color w:val="auto"/>
          <w:spacing w:val="0"/>
          <w:kern w:val="0"/>
          <w:sz w:val="24"/>
          <w:szCs w:val="24"/>
          <w:highlight w:val="none"/>
          <w:lang w:val="en-US" w:eastAsia="zh-CN" w:bidi="ar"/>
        </w:rPr>
        <w:t>—</w:t>
      </w:r>
      <w:r>
        <w:rPr>
          <w:rFonts w:hint="eastAsia" w:ascii="宋体" w:hAnsi="宋体" w:eastAsia="宋体" w:cs="宋体"/>
          <w:snapToGrid w:val="0"/>
          <w:color w:val="auto"/>
          <w:spacing w:val="0"/>
          <w:kern w:val="0"/>
          <w:sz w:val="24"/>
          <w:szCs w:val="24"/>
          <w:highlight w:val="none"/>
          <w:lang w:val="en-US" w:eastAsia="zh-CN" w:bidi="ar"/>
        </w:rPr>
        <w:t>平面连续点源。公式如下：</w:t>
      </w:r>
    </w:p>
    <w:p>
      <w:pPr>
        <w:autoSpaceDE w:val="0"/>
        <w:autoSpaceDN w:val="0"/>
        <w:adjustRightInd w:val="0"/>
        <w:snapToGrid w:val="0"/>
        <w:spacing w:line="240" w:lineRule="auto"/>
        <w:ind w:firstLine="480"/>
        <w:jc w:val="center"/>
        <w:rPr>
          <w:color w:val="auto"/>
          <w:highlight w:val="none"/>
        </w:rPr>
      </w:pPr>
      <w:r>
        <w:rPr>
          <w:color w:val="auto"/>
          <w:position w:val="-34"/>
          <w:highlight w:val="none"/>
        </w:rPr>
        <w:drawing>
          <wp:inline distT="0" distB="0" distL="114300" distR="114300">
            <wp:extent cx="3313430" cy="510540"/>
            <wp:effectExtent l="0" t="0" r="1270" b="3810"/>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
                    <pic:cNvPicPr>
                      <a:picLocks noChangeAspect="1"/>
                    </pic:cNvPicPr>
                  </pic:nvPicPr>
                  <pic:blipFill>
                    <a:blip r:embed="rId87"/>
                    <a:stretch>
                      <a:fillRect/>
                    </a:stretch>
                  </pic:blipFill>
                  <pic:spPr>
                    <a:xfrm>
                      <a:off x="0" y="0"/>
                      <a:ext cx="3313430" cy="510540"/>
                    </a:xfrm>
                    <a:prstGeom prst="rect">
                      <a:avLst/>
                    </a:prstGeom>
                    <a:noFill/>
                    <a:ln>
                      <a:noFill/>
                    </a:ln>
                  </pic:spPr>
                </pic:pic>
              </a:graphicData>
            </a:graphic>
          </wp:inline>
        </w:drawing>
      </w:r>
      <w:r>
        <w:rPr>
          <w:color w:val="auto"/>
          <w:highlight w:val="none"/>
        </w:rPr>
        <w:t xml:space="preserve">          （e-3）</w:t>
      </w:r>
    </w:p>
    <w:p>
      <w:pPr>
        <w:autoSpaceDE w:val="0"/>
        <w:autoSpaceDN w:val="0"/>
        <w:adjustRightInd w:val="0"/>
        <w:snapToGrid w:val="0"/>
        <w:spacing w:line="240" w:lineRule="auto"/>
        <w:ind w:firstLine="480"/>
        <w:jc w:val="center"/>
        <w:rPr>
          <w:color w:val="auto"/>
          <w:highlight w:val="none"/>
        </w:rPr>
      </w:pPr>
      <w:r>
        <w:rPr>
          <w:color w:val="auto"/>
          <w:position w:val="-32"/>
          <w:highlight w:val="none"/>
        </w:rPr>
        <w:drawing>
          <wp:inline distT="0" distB="0" distL="114300" distR="114300">
            <wp:extent cx="1330325" cy="498475"/>
            <wp:effectExtent l="0" t="0" r="3175" b="15875"/>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88"/>
                    <a:stretch>
                      <a:fillRect/>
                    </a:stretch>
                  </pic:blipFill>
                  <pic:spPr>
                    <a:xfrm>
                      <a:off x="0" y="0"/>
                      <a:ext cx="1330325" cy="498475"/>
                    </a:xfrm>
                    <a:prstGeom prst="rect">
                      <a:avLst/>
                    </a:prstGeom>
                    <a:noFill/>
                    <a:ln>
                      <a:noFill/>
                    </a:ln>
                  </pic:spPr>
                </pic:pic>
              </a:graphicData>
            </a:graphic>
          </wp:inline>
        </w:drawing>
      </w:r>
    </w:p>
    <w:p>
      <w:pPr>
        <w:autoSpaceDE w:val="0"/>
        <w:autoSpaceDN w:val="0"/>
        <w:adjustRightInd w:val="0"/>
        <w:snapToGrid w:val="0"/>
        <w:spacing w:line="360" w:lineRule="auto"/>
        <w:ind w:firstLine="480"/>
        <w:rPr>
          <w:color w:val="auto"/>
          <w:highlight w:val="none"/>
        </w:rPr>
      </w:pPr>
      <w:r>
        <w:rPr>
          <w:color w:val="auto"/>
          <w:highlight w:val="none"/>
        </w:rPr>
        <w:t>式中：</w:t>
      </w:r>
      <w:r>
        <w:rPr>
          <w:i/>
          <w:color w:val="auto"/>
          <w:highlight w:val="none"/>
        </w:rPr>
        <w:t>x，y</w:t>
      </w:r>
      <w:r>
        <w:rPr>
          <w:color w:val="auto"/>
          <w:highlight w:val="none"/>
        </w:rPr>
        <w:t>—计算点处的位置坐标；</w:t>
      </w:r>
    </w:p>
    <w:p>
      <w:pPr>
        <w:autoSpaceDE w:val="0"/>
        <w:autoSpaceDN w:val="0"/>
        <w:adjustRightInd w:val="0"/>
        <w:snapToGrid w:val="0"/>
        <w:spacing w:line="360" w:lineRule="auto"/>
        <w:ind w:firstLine="480"/>
        <w:rPr>
          <w:color w:val="auto"/>
          <w:highlight w:val="none"/>
        </w:rPr>
      </w:pPr>
      <w:r>
        <w:rPr>
          <w:i/>
          <w:color w:val="auto"/>
          <w:highlight w:val="none"/>
        </w:rPr>
        <w:t xml:space="preserve">      t</w:t>
      </w:r>
      <w:r>
        <w:rPr>
          <w:color w:val="auto"/>
          <w:highlight w:val="none"/>
        </w:rPr>
        <w:t>—时间，d；</w:t>
      </w:r>
    </w:p>
    <w:p>
      <w:pPr>
        <w:autoSpaceDE w:val="0"/>
        <w:autoSpaceDN w:val="0"/>
        <w:adjustRightInd w:val="0"/>
        <w:snapToGrid w:val="0"/>
        <w:spacing w:line="360" w:lineRule="auto"/>
        <w:ind w:firstLine="480"/>
        <w:rPr>
          <w:color w:val="auto"/>
          <w:highlight w:val="none"/>
        </w:rPr>
      </w:pPr>
      <w:r>
        <w:rPr>
          <w:i/>
          <w:color w:val="auto"/>
          <w:highlight w:val="none"/>
        </w:rPr>
        <w:t xml:space="preserve">      C</w:t>
      </w:r>
      <w:r>
        <w:rPr>
          <w:color w:val="auto"/>
          <w:highlight w:val="none"/>
        </w:rPr>
        <w:t>(</w:t>
      </w:r>
      <w:r>
        <w:rPr>
          <w:i/>
          <w:iCs/>
          <w:color w:val="auto"/>
          <w:highlight w:val="none"/>
        </w:rPr>
        <w:t>x</w:t>
      </w:r>
      <w:r>
        <w:rPr>
          <w:color w:val="auto"/>
          <w:highlight w:val="none"/>
        </w:rPr>
        <w:t>，</w:t>
      </w:r>
      <w:r>
        <w:rPr>
          <w:i/>
          <w:iCs/>
          <w:color w:val="auto"/>
          <w:highlight w:val="none"/>
        </w:rPr>
        <w:t>y</w:t>
      </w:r>
      <w:r>
        <w:rPr>
          <w:color w:val="auto"/>
          <w:highlight w:val="none"/>
        </w:rPr>
        <w:t>，</w:t>
      </w:r>
      <w:r>
        <w:rPr>
          <w:i/>
          <w:iCs/>
          <w:color w:val="auto"/>
          <w:highlight w:val="none"/>
        </w:rPr>
        <w:t>t</w:t>
      </w:r>
      <w:r>
        <w:rPr>
          <w:color w:val="auto"/>
          <w:highlight w:val="none"/>
        </w:rPr>
        <w:t>)—</w:t>
      </w:r>
      <w:r>
        <w:rPr>
          <w:i/>
          <w:color w:val="auto"/>
          <w:highlight w:val="none"/>
        </w:rPr>
        <w:t>t</w:t>
      </w:r>
      <w:r>
        <w:rPr>
          <w:color w:val="auto"/>
          <w:highlight w:val="none"/>
        </w:rPr>
        <w:t>时刻点</w:t>
      </w:r>
      <w:r>
        <w:rPr>
          <w:i/>
          <w:color w:val="auto"/>
          <w:highlight w:val="none"/>
        </w:rPr>
        <w:t>x</w:t>
      </w:r>
      <w:r>
        <w:rPr>
          <w:color w:val="auto"/>
          <w:highlight w:val="none"/>
        </w:rPr>
        <w:t>，</w:t>
      </w:r>
      <w:r>
        <w:rPr>
          <w:i/>
          <w:color w:val="auto"/>
          <w:highlight w:val="none"/>
        </w:rPr>
        <w:t>y</w:t>
      </w:r>
      <w:r>
        <w:rPr>
          <w:color w:val="auto"/>
          <w:highlight w:val="none"/>
        </w:rPr>
        <w:t>处的示踪剂浓度，mg/L；</w:t>
      </w:r>
    </w:p>
    <w:p>
      <w:pPr>
        <w:autoSpaceDE w:val="0"/>
        <w:autoSpaceDN w:val="0"/>
        <w:adjustRightInd w:val="0"/>
        <w:snapToGrid w:val="0"/>
        <w:spacing w:line="360" w:lineRule="auto"/>
        <w:ind w:firstLine="480"/>
        <w:rPr>
          <w:color w:val="auto"/>
          <w:highlight w:val="none"/>
        </w:rPr>
      </w:pPr>
      <w:r>
        <w:rPr>
          <w:i/>
          <w:color w:val="auto"/>
          <w:highlight w:val="none"/>
        </w:rPr>
        <w:t xml:space="preserve">      M</w:t>
      </w:r>
      <w:r>
        <w:rPr>
          <w:color w:val="auto"/>
          <w:highlight w:val="none"/>
        </w:rPr>
        <w:t>—承压含水层的厚度，m；</w:t>
      </w:r>
    </w:p>
    <w:p>
      <w:pPr>
        <w:autoSpaceDE w:val="0"/>
        <w:autoSpaceDN w:val="0"/>
        <w:adjustRightInd w:val="0"/>
        <w:snapToGrid w:val="0"/>
        <w:spacing w:line="360" w:lineRule="auto"/>
        <w:ind w:firstLine="480"/>
        <w:rPr>
          <w:color w:val="auto"/>
          <w:highlight w:val="none"/>
        </w:rPr>
      </w:pPr>
      <w:r>
        <w:rPr>
          <w:i/>
          <w:color w:val="auto"/>
          <w:highlight w:val="none"/>
        </w:rPr>
        <w:t xml:space="preserve">      m</w:t>
      </w:r>
      <w:r>
        <w:rPr>
          <w:i/>
          <w:color w:val="auto"/>
          <w:highlight w:val="none"/>
          <w:vertAlign w:val="subscript"/>
        </w:rPr>
        <w:t>t</w:t>
      </w:r>
      <w:r>
        <w:rPr>
          <w:color w:val="auto"/>
          <w:highlight w:val="none"/>
        </w:rPr>
        <w:t>—单位时间注入示踪剂的质量，kg/d；</w:t>
      </w:r>
    </w:p>
    <w:p>
      <w:pPr>
        <w:autoSpaceDE w:val="0"/>
        <w:autoSpaceDN w:val="0"/>
        <w:adjustRightInd w:val="0"/>
        <w:snapToGrid w:val="0"/>
        <w:spacing w:line="360" w:lineRule="auto"/>
        <w:ind w:firstLine="480"/>
        <w:rPr>
          <w:color w:val="auto"/>
          <w:highlight w:val="none"/>
          <w:lang w:val="nl-NL"/>
        </w:rPr>
      </w:pPr>
      <w:r>
        <w:rPr>
          <w:i/>
          <w:color w:val="auto"/>
          <w:highlight w:val="none"/>
        </w:rPr>
        <w:t xml:space="preserve">      </w:t>
      </w:r>
      <w:r>
        <w:rPr>
          <w:i/>
          <w:color w:val="auto"/>
          <w:highlight w:val="none"/>
          <w:lang w:val="nl-NL"/>
        </w:rPr>
        <w:t>u</w:t>
      </w:r>
      <w:r>
        <w:rPr>
          <w:color w:val="auto"/>
          <w:highlight w:val="none"/>
          <w:lang w:val="nl-NL"/>
        </w:rPr>
        <w:t>—</w:t>
      </w:r>
      <w:r>
        <w:rPr>
          <w:color w:val="auto"/>
          <w:highlight w:val="none"/>
        </w:rPr>
        <w:t>水流速度</w:t>
      </w:r>
      <w:r>
        <w:rPr>
          <w:color w:val="auto"/>
          <w:highlight w:val="none"/>
          <w:lang w:val="nl-NL"/>
        </w:rPr>
        <w:t>，m/d；</w:t>
      </w:r>
    </w:p>
    <w:p>
      <w:pPr>
        <w:autoSpaceDE w:val="0"/>
        <w:autoSpaceDN w:val="0"/>
        <w:adjustRightInd w:val="0"/>
        <w:snapToGrid w:val="0"/>
        <w:spacing w:line="360" w:lineRule="auto"/>
        <w:ind w:firstLine="480"/>
        <w:rPr>
          <w:color w:val="auto"/>
          <w:highlight w:val="none"/>
        </w:rPr>
      </w:pPr>
      <w:r>
        <w:rPr>
          <w:i/>
          <w:color w:val="auto"/>
          <w:highlight w:val="none"/>
        </w:rPr>
        <w:t xml:space="preserve">      n</w:t>
      </w:r>
      <w:r>
        <w:rPr>
          <w:color w:val="auto"/>
          <w:highlight w:val="none"/>
        </w:rPr>
        <w:t>—有效孔隙度，无量纲；</w:t>
      </w:r>
    </w:p>
    <w:p>
      <w:pPr>
        <w:autoSpaceDE w:val="0"/>
        <w:autoSpaceDN w:val="0"/>
        <w:adjustRightInd w:val="0"/>
        <w:snapToGrid w:val="0"/>
        <w:spacing w:line="360" w:lineRule="auto"/>
        <w:ind w:firstLine="480"/>
        <w:rPr>
          <w:color w:val="auto"/>
          <w:highlight w:val="none"/>
        </w:rPr>
      </w:pPr>
      <w:r>
        <w:rPr>
          <w:i/>
          <w:color w:val="auto"/>
          <w:highlight w:val="none"/>
        </w:rPr>
        <w:t xml:space="preserve">      D</w:t>
      </w:r>
      <w:r>
        <w:rPr>
          <w:i/>
          <w:color w:val="auto"/>
          <w:highlight w:val="none"/>
          <w:vertAlign w:val="subscript"/>
        </w:rPr>
        <w:t>L</w:t>
      </w:r>
      <w:r>
        <w:rPr>
          <w:color w:val="auto"/>
          <w:highlight w:val="none"/>
        </w:rPr>
        <w:t>—纵向弥散系数，</w:t>
      </w:r>
      <w:r>
        <w:rPr>
          <w:rFonts w:hint="eastAsia"/>
          <w:color w:val="auto"/>
          <w:highlight w:val="none"/>
          <w:lang w:eastAsia="zh-CN"/>
        </w:rPr>
        <w:t>m</w:t>
      </w:r>
      <w:r>
        <w:rPr>
          <w:rFonts w:hint="eastAsia"/>
          <w:color w:val="auto"/>
          <w:highlight w:val="none"/>
          <w:vertAlign w:val="superscript"/>
          <w:lang w:eastAsia="zh-CN"/>
        </w:rPr>
        <w:t>2</w:t>
      </w:r>
      <w:r>
        <w:rPr>
          <w:color w:val="auto"/>
          <w:highlight w:val="none"/>
        </w:rPr>
        <w:t>/d；</w:t>
      </w:r>
    </w:p>
    <w:p>
      <w:pPr>
        <w:autoSpaceDE w:val="0"/>
        <w:autoSpaceDN w:val="0"/>
        <w:adjustRightInd w:val="0"/>
        <w:snapToGrid w:val="0"/>
        <w:spacing w:line="360" w:lineRule="auto"/>
        <w:ind w:firstLine="480"/>
        <w:rPr>
          <w:color w:val="auto"/>
          <w:highlight w:val="none"/>
        </w:rPr>
      </w:pPr>
      <w:r>
        <w:rPr>
          <w:i/>
          <w:color w:val="auto"/>
          <w:highlight w:val="none"/>
        </w:rPr>
        <w:t xml:space="preserve">      D</w:t>
      </w:r>
      <w:r>
        <w:rPr>
          <w:i/>
          <w:color w:val="auto"/>
          <w:highlight w:val="none"/>
          <w:vertAlign w:val="subscript"/>
        </w:rPr>
        <w:t>T</w:t>
      </w:r>
      <w:r>
        <w:rPr>
          <w:color w:val="auto"/>
          <w:highlight w:val="none"/>
        </w:rPr>
        <w:t>—横向弥散系数，</w:t>
      </w:r>
      <w:r>
        <w:rPr>
          <w:rFonts w:hint="eastAsia"/>
          <w:color w:val="auto"/>
          <w:highlight w:val="none"/>
          <w:lang w:eastAsia="zh-CN"/>
        </w:rPr>
        <w:t>m</w:t>
      </w:r>
      <w:r>
        <w:rPr>
          <w:rFonts w:hint="eastAsia"/>
          <w:color w:val="auto"/>
          <w:highlight w:val="none"/>
          <w:vertAlign w:val="superscript"/>
          <w:lang w:eastAsia="zh-CN"/>
        </w:rPr>
        <w:t>2</w:t>
      </w:r>
      <w:r>
        <w:rPr>
          <w:color w:val="auto"/>
          <w:highlight w:val="none"/>
        </w:rPr>
        <w:t>/d；</w:t>
      </w:r>
    </w:p>
    <w:p>
      <w:pPr>
        <w:autoSpaceDE w:val="0"/>
        <w:autoSpaceDN w:val="0"/>
        <w:adjustRightInd w:val="0"/>
        <w:snapToGrid w:val="0"/>
        <w:spacing w:line="360" w:lineRule="auto"/>
        <w:ind w:firstLine="480"/>
        <w:rPr>
          <w:color w:val="auto"/>
          <w:highlight w:val="none"/>
        </w:rPr>
      </w:pPr>
      <w:r>
        <w:rPr>
          <w:i/>
          <w:iCs/>
          <w:color w:val="auto"/>
          <w:highlight w:val="none"/>
        </w:rPr>
        <w:t xml:space="preserve">      π</w:t>
      </w:r>
      <w:r>
        <w:rPr>
          <w:color w:val="auto"/>
          <w:highlight w:val="none"/>
        </w:rPr>
        <w:t>—圆周率；</w:t>
      </w:r>
    </w:p>
    <w:p>
      <w:pPr>
        <w:autoSpaceDE w:val="0"/>
        <w:autoSpaceDN w:val="0"/>
        <w:adjustRightInd w:val="0"/>
        <w:snapToGrid w:val="0"/>
        <w:spacing w:line="360" w:lineRule="auto"/>
        <w:ind w:firstLine="480"/>
        <w:rPr>
          <w:color w:val="auto"/>
          <w:highlight w:val="none"/>
        </w:rPr>
      </w:pPr>
      <w:r>
        <w:rPr>
          <w:color w:val="auto"/>
          <w:highlight w:val="none"/>
        </w:rPr>
        <w:t xml:space="preserve">      </w:t>
      </w:r>
      <w:r>
        <w:rPr>
          <w:color w:val="auto"/>
          <w:position w:val="-12"/>
          <w:highlight w:val="none"/>
        </w:rPr>
        <w:drawing>
          <wp:inline distT="0" distB="0" distL="114300" distR="114300">
            <wp:extent cx="427355" cy="225425"/>
            <wp:effectExtent l="0" t="0" r="10795" b="3175"/>
            <wp:docPr id="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
                    <pic:cNvPicPr>
                      <a:picLocks noChangeAspect="1"/>
                    </pic:cNvPicPr>
                  </pic:nvPicPr>
                  <pic:blipFill>
                    <a:blip r:embed="rId89"/>
                    <a:stretch>
                      <a:fillRect/>
                    </a:stretch>
                  </pic:blipFill>
                  <pic:spPr>
                    <a:xfrm>
                      <a:off x="0" y="0"/>
                      <a:ext cx="427355" cy="225425"/>
                    </a:xfrm>
                    <a:prstGeom prst="rect">
                      <a:avLst/>
                    </a:prstGeom>
                    <a:noFill/>
                    <a:ln>
                      <a:noFill/>
                    </a:ln>
                  </pic:spPr>
                </pic:pic>
              </a:graphicData>
            </a:graphic>
          </wp:inline>
        </w:drawing>
      </w:r>
      <w:r>
        <w:rPr>
          <w:color w:val="auto"/>
          <w:highlight w:val="none"/>
        </w:rPr>
        <w:t>—第二类零阶修正贝塞尔函数（可查《地下水动力学》获得）；</w:t>
      </w:r>
    </w:p>
    <w:p>
      <w:pPr>
        <w:autoSpaceDE w:val="0"/>
        <w:autoSpaceDN w:val="0"/>
        <w:adjustRightInd w:val="0"/>
        <w:snapToGrid w:val="0"/>
        <w:spacing w:line="360" w:lineRule="auto"/>
        <w:ind w:firstLine="1200" w:firstLineChars="500"/>
        <w:rPr>
          <w:color w:val="auto"/>
          <w:highlight w:val="none"/>
        </w:rPr>
      </w:pPr>
      <w:r>
        <w:rPr>
          <w:color w:val="auto"/>
          <w:position w:val="-32"/>
          <w:highlight w:val="none"/>
        </w:rPr>
        <w:drawing>
          <wp:inline distT="0" distB="0" distL="114300" distR="114300">
            <wp:extent cx="807720" cy="487045"/>
            <wp:effectExtent l="0" t="0" r="11430" b="7620"/>
            <wp:docPr id="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pic:cNvPicPr>
                      <a:picLocks noChangeAspect="1"/>
                    </pic:cNvPicPr>
                  </pic:nvPicPr>
                  <pic:blipFill>
                    <a:blip r:embed="rId90"/>
                    <a:stretch>
                      <a:fillRect/>
                    </a:stretch>
                  </pic:blipFill>
                  <pic:spPr>
                    <a:xfrm>
                      <a:off x="0" y="0"/>
                      <a:ext cx="807720" cy="487045"/>
                    </a:xfrm>
                    <a:prstGeom prst="rect">
                      <a:avLst/>
                    </a:prstGeom>
                    <a:noFill/>
                    <a:ln>
                      <a:noFill/>
                    </a:ln>
                  </pic:spPr>
                </pic:pic>
              </a:graphicData>
            </a:graphic>
          </wp:inline>
        </w:drawing>
      </w:r>
      <w:r>
        <w:rPr>
          <w:color w:val="auto"/>
          <w:highlight w:val="none"/>
        </w:rPr>
        <w:t>—第一类越流系统井函数（可查《地下水动力学》获得）。</w:t>
      </w:r>
    </w:p>
    <w:p>
      <w:pPr>
        <w:autoSpaceDE w:val="0"/>
        <w:autoSpaceDN w:val="0"/>
        <w:adjustRightInd w:val="0"/>
        <w:spacing w:line="360" w:lineRule="auto"/>
        <w:ind w:firstLine="480"/>
        <w:rPr>
          <w:color w:val="auto"/>
          <w:highlight w:val="none"/>
        </w:rPr>
      </w:pPr>
      <w:r>
        <w:rPr>
          <w:color w:val="auto"/>
          <w:highlight w:val="none"/>
        </w:rPr>
        <w:t>具体参数情况见表</w:t>
      </w:r>
      <w:r>
        <w:rPr>
          <w:rFonts w:hint="eastAsia"/>
          <w:color w:val="auto"/>
          <w:highlight w:val="none"/>
          <w:lang w:val="en-US" w:eastAsia="zh-CN"/>
        </w:rPr>
        <w:t>5.2</w:t>
      </w:r>
      <w:r>
        <w:rPr>
          <w:rFonts w:hint="eastAsia"/>
          <w:color w:val="auto"/>
          <w:highlight w:val="none"/>
        </w:rPr>
        <w:t>-</w:t>
      </w:r>
      <w:r>
        <w:rPr>
          <w:rFonts w:hint="eastAsia"/>
          <w:color w:val="auto"/>
          <w:highlight w:val="none"/>
          <w:lang w:val="en-US" w:eastAsia="zh-CN"/>
        </w:rPr>
        <w:t>33</w:t>
      </w:r>
      <w:r>
        <w:rPr>
          <w:color w:val="auto"/>
          <w:highlight w:val="none"/>
        </w:rPr>
        <w:t>。</w:t>
      </w:r>
    </w:p>
    <w:p>
      <w:pPr>
        <w:pStyle w:val="340"/>
        <w:bidi w:val="0"/>
        <w:jc w:val="center"/>
        <w:rPr>
          <w:color w:val="auto"/>
          <w:highlight w:val="none"/>
        </w:rPr>
      </w:pPr>
      <w:r>
        <w:rPr>
          <w:color w:val="auto"/>
          <w:highlight w:val="none"/>
        </w:rPr>
        <w:t>表</w:t>
      </w:r>
      <w:r>
        <w:rPr>
          <w:rFonts w:hint="eastAsia"/>
          <w:color w:val="auto"/>
          <w:highlight w:val="none"/>
          <w:lang w:val="en-US" w:eastAsia="zh-CN"/>
        </w:rPr>
        <w:t>5.2</w:t>
      </w:r>
      <w:r>
        <w:rPr>
          <w:rFonts w:hint="eastAsia"/>
          <w:color w:val="auto"/>
          <w:highlight w:val="none"/>
        </w:rPr>
        <w:t>-</w:t>
      </w:r>
      <w:r>
        <w:rPr>
          <w:rFonts w:hint="eastAsia"/>
          <w:color w:val="auto"/>
          <w:highlight w:val="none"/>
          <w:lang w:val="en-US" w:eastAsia="zh-CN"/>
        </w:rPr>
        <w:t>33</w:t>
      </w:r>
      <w:r>
        <w:rPr>
          <w:color w:val="auto"/>
          <w:highlight w:val="none"/>
        </w:rPr>
        <w:t xml:space="preserve">  项目区水文地质参数取值情况</w:t>
      </w:r>
    </w:p>
    <w:tbl>
      <w:tblPr>
        <w:tblStyle w:val="48"/>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27"/>
        <w:gridCol w:w="778"/>
        <w:gridCol w:w="1235"/>
        <w:gridCol w:w="1534"/>
        <w:gridCol w:w="1825"/>
        <w:gridCol w:w="182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78"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含水层</w:t>
            </w:r>
          </w:p>
        </w:tc>
        <w:tc>
          <w:tcPr>
            <w:tcW w:w="456"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厚度M</w:t>
            </w:r>
          </w:p>
        </w:tc>
        <w:tc>
          <w:tcPr>
            <w:tcW w:w="724"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有效孔隙度n</w:t>
            </w:r>
          </w:p>
        </w:tc>
        <w:tc>
          <w:tcPr>
            <w:tcW w:w="899"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纵向弥散系数DL</w:t>
            </w:r>
          </w:p>
        </w:tc>
        <w:tc>
          <w:tcPr>
            <w:tcW w:w="1070"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横向弥散系数DT</w:t>
            </w:r>
          </w:p>
        </w:tc>
        <w:tc>
          <w:tcPr>
            <w:tcW w:w="1070" w:type="pct"/>
            <w:noWrap w:val="0"/>
            <w:vAlign w:val="center"/>
          </w:tcPr>
          <w:p>
            <w:pPr>
              <w:pStyle w:val="29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水流速度</w:t>
            </w:r>
            <w:r>
              <w:rPr>
                <w:rFonts w:hint="default" w:ascii="Times New Roman" w:hAnsi="Times New Roman" w:eastAsia="宋体" w:cs="Times New Roman"/>
                <w:color w:val="auto"/>
                <w:sz w:val="21"/>
                <w:szCs w:val="21"/>
                <w:highlight w:val="none"/>
                <w:lang w:val="en-US" w:eastAsia="zh-CN"/>
              </w:rPr>
              <w:t>u</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78" w:type="pct"/>
            <w:noWrap w:val="0"/>
            <w:vAlign w:val="center"/>
          </w:tcPr>
          <w:p>
            <w:pPr>
              <w:pStyle w:val="291"/>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第</w:t>
            </w:r>
            <w:r>
              <w:rPr>
                <w:rFonts w:hint="default" w:ascii="Times New Roman" w:hAnsi="Times New Roman" w:eastAsia="宋体" w:cs="Times New Roman"/>
                <w:color w:val="auto"/>
                <w:sz w:val="21"/>
                <w:szCs w:val="21"/>
                <w:highlight w:val="none"/>
                <w:lang w:eastAsia="zh-CN"/>
              </w:rPr>
              <w:t>一含水层</w:t>
            </w:r>
          </w:p>
        </w:tc>
        <w:tc>
          <w:tcPr>
            <w:tcW w:w="456"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m</w:t>
            </w:r>
          </w:p>
        </w:tc>
        <w:tc>
          <w:tcPr>
            <w:tcW w:w="724" w:type="pct"/>
            <w:noWrap w:val="0"/>
            <w:vAlign w:val="center"/>
          </w:tcPr>
          <w:p>
            <w:pPr>
              <w:pStyle w:val="291"/>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3</w:t>
            </w:r>
          </w:p>
        </w:tc>
        <w:tc>
          <w:tcPr>
            <w:tcW w:w="899"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033</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rPr>
              <w:t>/d</w:t>
            </w:r>
          </w:p>
        </w:tc>
        <w:tc>
          <w:tcPr>
            <w:tcW w:w="1070" w:type="pct"/>
            <w:noWrap w:val="0"/>
            <w:vAlign w:val="center"/>
          </w:tcPr>
          <w:p>
            <w:pPr>
              <w:pStyle w:val="29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009</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rPr>
              <w:t>/d</w:t>
            </w:r>
          </w:p>
        </w:tc>
        <w:tc>
          <w:tcPr>
            <w:tcW w:w="1070" w:type="pct"/>
            <w:noWrap w:val="0"/>
            <w:vAlign w:val="center"/>
          </w:tcPr>
          <w:p>
            <w:pPr>
              <w:pStyle w:val="29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0.03m/d</w:t>
            </w:r>
          </w:p>
        </w:tc>
      </w:tr>
    </w:tbl>
    <w:p>
      <w:pPr>
        <w:spacing w:line="360" w:lineRule="auto"/>
        <w:ind w:firstLine="482"/>
        <w:rPr>
          <w:b/>
          <w:color w:val="auto"/>
          <w:highlight w:val="none"/>
        </w:rPr>
      </w:pPr>
      <w:r>
        <w:rPr>
          <w:b/>
          <w:color w:val="auto"/>
          <w:highlight w:val="none"/>
        </w:rPr>
        <w:t>（</w:t>
      </w:r>
      <w:r>
        <w:rPr>
          <w:rFonts w:hint="eastAsia"/>
          <w:b/>
          <w:color w:val="auto"/>
          <w:highlight w:val="none"/>
          <w:lang w:val="en-US" w:eastAsia="zh-CN"/>
        </w:rPr>
        <w:t>4</w:t>
      </w:r>
      <w:r>
        <w:rPr>
          <w:b/>
          <w:color w:val="auto"/>
          <w:highlight w:val="none"/>
        </w:rPr>
        <w:t>）</w:t>
      </w:r>
      <w:r>
        <w:rPr>
          <w:rFonts w:hint="eastAsia"/>
          <w:b/>
          <w:color w:val="auto"/>
          <w:highlight w:val="none"/>
          <w:lang w:val="en-US" w:eastAsia="zh-CN"/>
        </w:rPr>
        <w:t>预测</w:t>
      </w:r>
      <w:r>
        <w:rPr>
          <w:b/>
          <w:color w:val="auto"/>
          <w:highlight w:val="none"/>
        </w:rPr>
        <w:t>结果</w:t>
      </w:r>
    </w:p>
    <w:p>
      <w:pPr>
        <w:spacing w:line="360" w:lineRule="auto"/>
        <w:ind w:firstLine="480"/>
        <w:rPr>
          <w:color w:val="auto"/>
          <w:highlight w:val="none"/>
        </w:rPr>
      </w:pPr>
      <w:r>
        <w:rPr>
          <w:rFonts w:hint="eastAsia"/>
          <w:color w:val="auto"/>
          <w:highlight w:val="none"/>
          <w:lang w:val="en-US" w:eastAsia="zh-CN"/>
        </w:rPr>
        <w:t>污水调节池泄露10</w:t>
      </w:r>
      <w:r>
        <w:rPr>
          <w:color w:val="auto"/>
          <w:highlight w:val="none"/>
        </w:rPr>
        <w:t>0天、</w:t>
      </w:r>
      <w:r>
        <w:rPr>
          <w:rFonts w:hint="eastAsia"/>
          <w:color w:val="auto"/>
          <w:highlight w:val="none"/>
          <w:lang w:val="en-US" w:eastAsia="zh-CN"/>
        </w:rPr>
        <w:t>1000</w:t>
      </w:r>
      <w:r>
        <w:rPr>
          <w:color w:val="auto"/>
          <w:highlight w:val="none"/>
        </w:rPr>
        <w:t>天</w:t>
      </w:r>
      <w:r>
        <w:rPr>
          <w:rFonts w:hint="eastAsia"/>
          <w:color w:val="auto"/>
          <w:highlight w:val="none"/>
          <w:lang w:val="en-US" w:eastAsia="zh-CN"/>
        </w:rPr>
        <w:t>以及</w:t>
      </w:r>
      <w:r>
        <w:rPr>
          <w:rFonts w:hint="eastAsia"/>
          <w:color w:val="auto"/>
          <w:highlight w:val="none"/>
        </w:rPr>
        <w:t>3</w:t>
      </w:r>
      <w:r>
        <w:rPr>
          <w:rFonts w:hint="eastAsia"/>
          <w:color w:val="auto"/>
          <w:highlight w:val="none"/>
          <w:lang w:val="en-US" w:eastAsia="zh-CN"/>
        </w:rPr>
        <w:t>00</w:t>
      </w:r>
      <w:r>
        <w:rPr>
          <w:rFonts w:hint="eastAsia"/>
          <w:color w:val="auto"/>
          <w:highlight w:val="none"/>
        </w:rPr>
        <w:t>0天</w:t>
      </w:r>
      <w:r>
        <w:rPr>
          <w:rFonts w:hint="eastAsia"/>
          <w:color w:val="auto"/>
          <w:highlight w:val="none"/>
          <w:lang w:val="en-US" w:eastAsia="zh-CN"/>
        </w:rPr>
        <w:t>后</w:t>
      </w:r>
      <w:r>
        <w:rPr>
          <w:color w:val="auto"/>
          <w:highlight w:val="none"/>
        </w:rPr>
        <w:t>，</w:t>
      </w:r>
      <w:r>
        <w:rPr>
          <w:rFonts w:hint="eastAsia" w:ascii="宋体" w:hAnsi="宋体" w:eastAsia="宋体" w:cs="宋体"/>
          <w:snapToGrid w:val="0"/>
          <w:color w:val="auto"/>
          <w:spacing w:val="0"/>
          <w:kern w:val="0"/>
          <w:sz w:val="24"/>
          <w:szCs w:val="24"/>
          <w:highlight w:val="none"/>
          <w:lang w:val="en-US" w:eastAsia="zh-CN" w:bidi="ar"/>
        </w:rPr>
        <w:t>污染</w:t>
      </w:r>
      <w:r>
        <w:rPr>
          <w:rFonts w:hint="eastAsia" w:ascii="宋体" w:hAnsi="宋体" w:cs="宋体"/>
          <w:snapToGrid w:val="0"/>
          <w:color w:val="auto"/>
          <w:spacing w:val="0"/>
          <w:kern w:val="0"/>
          <w:sz w:val="24"/>
          <w:szCs w:val="24"/>
          <w:highlight w:val="none"/>
          <w:lang w:val="en-US" w:eastAsia="zh-CN" w:bidi="ar"/>
        </w:rPr>
        <w:t>物</w:t>
      </w:r>
      <w:r>
        <w:rPr>
          <w:rFonts w:hint="eastAsia" w:ascii="宋体" w:hAnsi="宋体" w:eastAsia="宋体" w:cs="宋体"/>
          <w:snapToGrid w:val="0"/>
          <w:color w:val="auto"/>
          <w:spacing w:val="0"/>
          <w:kern w:val="0"/>
          <w:sz w:val="24"/>
          <w:szCs w:val="24"/>
          <w:highlight w:val="none"/>
          <w:lang w:val="en-US" w:eastAsia="zh-CN" w:bidi="ar"/>
        </w:rPr>
        <w:t>扩散情况及浓度变化情况见</w:t>
      </w:r>
      <w:r>
        <w:rPr>
          <w:color w:val="auto"/>
          <w:highlight w:val="none"/>
        </w:rPr>
        <w:t>如表</w:t>
      </w:r>
      <w:r>
        <w:rPr>
          <w:rFonts w:hint="eastAsia"/>
          <w:color w:val="auto"/>
          <w:highlight w:val="none"/>
          <w:lang w:val="en-US" w:eastAsia="zh-CN"/>
        </w:rPr>
        <w:t>6.2</w:t>
      </w:r>
      <w:r>
        <w:rPr>
          <w:rFonts w:hint="eastAsia"/>
          <w:color w:val="auto"/>
          <w:highlight w:val="none"/>
        </w:rPr>
        <w:t>-</w:t>
      </w:r>
      <w:r>
        <w:rPr>
          <w:rFonts w:hint="eastAsia"/>
          <w:color w:val="auto"/>
          <w:highlight w:val="none"/>
          <w:lang w:val="en-US" w:eastAsia="zh-CN"/>
        </w:rPr>
        <w:t>34</w:t>
      </w:r>
      <w:r>
        <w:rPr>
          <w:color w:val="auto"/>
          <w:highlight w:val="none"/>
        </w:rPr>
        <w:t>。</w:t>
      </w:r>
    </w:p>
    <w:p>
      <w:pPr>
        <w:adjustRightInd w:val="0"/>
        <w:snapToGrid w:val="0"/>
        <w:spacing w:line="240" w:lineRule="auto"/>
        <w:ind w:left="0" w:leftChars="0"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5.</w:t>
      </w:r>
      <w:r>
        <w:rPr>
          <w:rFonts w:hint="eastAsia"/>
          <w:b/>
          <w:bCs/>
          <w:color w:val="auto"/>
          <w:sz w:val="21"/>
          <w:szCs w:val="21"/>
          <w:highlight w:val="none"/>
        </w:rPr>
        <w:t>2-</w:t>
      </w:r>
      <w:r>
        <w:rPr>
          <w:rFonts w:hint="eastAsia"/>
          <w:b/>
          <w:bCs/>
          <w:color w:val="auto"/>
          <w:sz w:val="21"/>
          <w:szCs w:val="21"/>
          <w:highlight w:val="none"/>
          <w:lang w:val="en-US" w:eastAsia="zh-CN"/>
        </w:rPr>
        <w:t>34</w:t>
      </w:r>
      <w:r>
        <w:rPr>
          <w:rFonts w:hint="eastAsia"/>
          <w:b/>
          <w:bCs/>
          <w:color w:val="auto"/>
          <w:sz w:val="21"/>
          <w:szCs w:val="21"/>
          <w:highlight w:val="none"/>
        </w:rPr>
        <w:t xml:space="preserve"> 调节池废水</w:t>
      </w:r>
      <w:r>
        <w:rPr>
          <w:b/>
          <w:bCs/>
          <w:color w:val="auto"/>
          <w:sz w:val="21"/>
          <w:szCs w:val="21"/>
          <w:highlight w:val="none"/>
        </w:rPr>
        <w:t>泄漏入渗含水层水流方向上最大浓度出现的时间及距离</w:t>
      </w:r>
    </w:p>
    <w:tbl>
      <w:tblPr>
        <w:tblStyle w:val="48"/>
        <w:tblW w:w="4997" w:type="pct"/>
        <w:tblInd w:w="0" w:type="dxa"/>
        <w:tblLayout w:type="autofit"/>
        <w:tblCellMar>
          <w:top w:w="0" w:type="dxa"/>
          <w:left w:w="0" w:type="dxa"/>
          <w:bottom w:w="0" w:type="dxa"/>
          <w:right w:w="0" w:type="dxa"/>
        </w:tblCellMar>
      </w:tblPr>
      <w:tblGrid>
        <w:gridCol w:w="1665"/>
        <w:gridCol w:w="1668"/>
        <w:gridCol w:w="1668"/>
        <w:gridCol w:w="1668"/>
        <w:gridCol w:w="1668"/>
      </w:tblGrid>
      <w:tr>
        <w:tblPrEx>
          <w:tblCellMar>
            <w:top w:w="0" w:type="dxa"/>
            <w:left w:w="0" w:type="dxa"/>
            <w:bottom w:w="0" w:type="dxa"/>
            <w:right w:w="0" w:type="dxa"/>
          </w:tblCellMar>
        </w:tblPrEx>
        <w:trPr>
          <w:trHeight w:val="397" w:hRule="atLeast"/>
        </w:trPr>
        <w:tc>
          <w:tcPr>
            <w:tcW w:w="998"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泄露后时间</w:t>
            </w:r>
          </w:p>
        </w:tc>
        <w:tc>
          <w:tcPr>
            <w:tcW w:w="2000"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91"/>
              <w:bidi w:val="0"/>
              <w:spacing w:line="240" w:lineRule="auto"/>
              <w:ind w:left="0" w:leftChars="0" w:right="0" w:rightChars="0" w:firstLine="0" w:firstLineChars="0"/>
              <w:jc w:val="center"/>
              <w:rPr>
                <w:rFonts w:hint="default" w:ascii="Times New Roman" w:hAnsi="Times New Roman" w:eastAsia="宋体" w:cs="Times New Roman"/>
                <w:snapToGrid w:val="0"/>
                <w:color w:val="auto"/>
                <w:spacing w:val="0"/>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rPr>
              <w:t>COD</w:t>
            </w:r>
          </w:p>
        </w:tc>
        <w:tc>
          <w:tcPr>
            <w:tcW w:w="2000"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91"/>
              <w:bidi w:val="0"/>
              <w:spacing w:line="240" w:lineRule="auto"/>
              <w:ind w:left="0" w:leftChars="0" w:right="0" w:rightChars="0" w:firstLine="0" w:firstLineChars="0"/>
              <w:jc w:val="center"/>
              <w:rPr>
                <w:rFonts w:hint="default" w:ascii="Times New Roman" w:hAnsi="Times New Roman" w:eastAsia="宋体" w:cs="Times New Roman"/>
                <w:snapToGrid w:val="0"/>
                <w:color w:val="auto"/>
                <w:spacing w:val="0"/>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w:t>
            </w:r>
          </w:p>
        </w:tc>
      </w:tr>
      <w:tr>
        <w:tblPrEx>
          <w:tblCellMar>
            <w:top w:w="0" w:type="dxa"/>
            <w:left w:w="0" w:type="dxa"/>
            <w:bottom w:w="0" w:type="dxa"/>
            <w:right w:w="0" w:type="dxa"/>
          </w:tblCellMar>
        </w:tblPrEx>
        <w:trPr>
          <w:trHeight w:val="397" w:hRule="atLeast"/>
        </w:trPr>
        <w:tc>
          <w:tcPr>
            <w:tcW w:w="99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下游超标距离(m)</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超标面积(m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下游超标距离(m)</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超标面积(m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r>
      <w:tr>
        <w:tblPrEx>
          <w:tblCellMar>
            <w:top w:w="0" w:type="dxa"/>
            <w:left w:w="0" w:type="dxa"/>
            <w:bottom w:w="0" w:type="dxa"/>
            <w:right w:w="0" w:type="dxa"/>
          </w:tblCellMar>
        </w:tblPrEx>
        <w:trPr>
          <w:trHeight w:val="397" w:hRule="atLeast"/>
        </w:trPr>
        <w:tc>
          <w:tcPr>
            <w:tcW w:w="99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100天</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308</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120</w:t>
            </w:r>
          </w:p>
        </w:tc>
      </w:tr>
      <w:tr>
        <w:tblPrEx>
          <w:tblCellMar>
            <w:top w:w="0" w:type="dxa"/>
            <w:left w:w="0" w:type="dxa"/>
            <w:bottom w:w="0" w:type="dxa"/>
            <w:right w:w="0" w:type="dxa"/>
          </w:tblCellMar>
        </w:tblPrEx>
        <w:trPr>
          <w:trHeight w:val="397" w:hRule="atLeast"/>
        </w:trPr>
        <w:tc>
          <w:tcPr>
            <w:tcW w:w="99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1000天</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1620</w:t>
            </w:r>
          </w:p>
        </w:tc>
      </w:tr>
      <w:tr>
        <w:tblPrEx>
          <w:tblCellMar>
            <w:top w:w="0" w:type="dxa"/>
            <w:left w:w="0" w:type="dxa"/>
            <w:bottom w:w="0" w:type="dxa"/>
            <w:right w:w="0" w:type="dxa"/>
          </w:tblCellMar>
        </w:tblPrEx>
        <w:trPr>
          <w:trHeight w:val="397" w:hRule="atLeast"/>
        </w:trPr>
        <w:tc>
          <w:tcPr>
            <w:tcW w:w="99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3000天</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112</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4212</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100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pStyle w:val="291"/>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3842</w:t>
            </w:r>
          </w:p>
        </w:tc>
      </w:tr>
    </w:tbl>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textAlignment w:val="auto"/>
        <w:rPr>
          <w:color w:val="auto"/>
          <w:highlight w:val="none"/>
        </w:rPr>
      </w:pPr>
      <w:r>
        <w:rPr>
          <w:rFonts w:hint="eastAsia"/>
          <w:color w:val="auto"/>
          <w:highlight w:val="none"/>
          <w:lang w:val="en-US" w:eastAsia="zh-CN"/>
        </w:rPr>
        <w:t>1）</w:t>
      </w:r>
      <w:r>
        <w:rPr>
          <w:rFonts w:hint="eastAsia"/>
          <w:color w:val="auto"/>
          <w:highlight w:val="none"/>
          <w:lang w:eastAsia="zh-CN"/>
        </w:rPr>
        <w:t>调节</w:t>
      </w:r>
      <w:r>
        <w:rPr>
          <w:rFonts w:hint="eastAsia"/>
          <w:color w:val="auto"/>
          <w:highlight w:val="none"/>
        </w:rPr>
        <w:t>池</w:t>
      </w:r>
      <w:r>
        <w:rPr>
          <w:color w:val="auto"/>
          <w:highlight w:val="none"/>
        </w:rPr>
        <w:t>泄漏后不同时间的</w:t>
      </w:r>
      <w:r>
        <w:rPr>
          <w:rFonts w:hint="eastAsia"/>
          <w:color w:val="auto"/>
          <w:highlight w:val="none"/>
          <w:lang w:val="en-US" w:eastAsia="zh-CN"/>
        </w:rPr>
        <w:t>COD、NH</w:t>
      </w:r>
      <w:r>
        <w:rPr>
          <w:rFonts w:hint="eastAsia"/>
          <w:color w:val="auto"/>
          <w:highlight w:val="none"/>
          <w:vertAlign w:val="subscript"/>
          <w:lang w:val="en-US" w:eastAsia="zh-CN"/>
        </w:rPr>
        <w:t>3</w:t>
      </w:r>
      <w:r>
        <w:rPr>
          <w:rFonts w:hint="eastAsia"/>
          <w:color w:val="auto"/>
          <w:highlight w:val="none"/>
          <w:lang w:val="en-US" w:eastAsia="zh-CN"/>
        </w:rPr>
        <w:t>-N</w:t>
      </w:r>
      <w:r>
        <w:rPr>
          <w:color w:val="auto"/>
          <w:highlight w:val="none"/>
        </w:rPr>
        <w:t>浓度模拟图形</w:t>
      </w:r>
    </w:p>
    <w:p>
      <w:pPr>
        <w:keepNext w:val="0"/>
        <w:keepLines w:val="0"/>
        <w:pageBreakBefore w:val="0"/>
        <w:widowControl w:val="0"/>
        <w:kinsoku/>
        <w:wordWrap/>
        <w:overflowPunct/>
        <w:topLinePunct w:val="0"/>
        <w:bidi w:val="0"/>
        <w:snapToGrid/>
        <w:spacing w:line="360" w:lineRule="auto"/>
        <w:ind w:firstLine="480" w:firstLineChars="200"/>
        <w:textAlignment w:val="auto"/>
        <w:rPr>
          <w:color w:val="auto"/>
          <w:highlight w:val="none"/>
        </w:rPr>
      </w:pPr>
      <w:r>
        <w:rPr>
          <w:rFonts w:hint="eastAsia"/>
          <w:color w:val="auto"/>
          <w:highlight w:val="none"/>
          <w:lang w:val="en-US" w:eastAsia="zh-CN"/>
        </w:rPr>
        <w:t>①10</w:t>
      </w:r>
      <w:r>
        <w:rPr>
          <w:color w:val="auto"/>
          <w:highlight w:val="none"/>
        </w:rPr>
        <w:t>0天后</w:t>
      </w:r>
    </w:p>
    <w:p>
      <w:pPr>
        <w:keepNext w:val="0"/>
        <w:keepLines w:val="0"/>
        <w:pageBreakBefore w:val="0"/>
        <w:widowControl w:val="0"/>
        <w:kinsoku/>
        <w:wordWrap/>
        <w:overflowPunct/>
        <w:topLinePunct w:val="0"/>
        <w:bidi w:val="0"/>
        <w:snapToGrid/>
        <w:spacing w:line="360" w:lineRule="auto"/>
        <w:ind w:firstLine="480" w:firstLineChars="200"/>
        <w:jc w:val="both"/>
        <w:textAlignment w:val="auto"/>
        <w:rPr>
          <w:color w:val="auto"/>
          <w:highlight w:val="none"/>
        </w:rPr>
      </w:pPr>
      <w:r>
        <w:rPr>
          <w:color w:val="auto"/>
          <w:highlight w:val="none"/>
        </w:rPr>
        <w:t>点源公式根据《环境影响评价技术导则--地下水环境（HJ610-2016）推荐的平面连续。对</w:t>
      </w:r>
      <w:r>
        <w:rPr>
          <w:rFonts w:hint="eastAsia"/>
          <w:color w:val="auto"/>
          <w:highlight w:val="none"/>
        </w:rPr>
        <w:t>调节池</w:t>
      </w:r>
      <w:r>
        <w:rPr>
          <w:color w:val="auto"/>
          <w:highlight w:val="none"/>
        </w:rPr>
        <w:t>泄漏后</w:t>
      </w:r>
      <w:r>
        <w:rPr>
          <w:rFonts w:hint="eastAsia"/>
          <w:color w:val="auto"/>
          <w:highlight w:val="none"/>
          <w:lang w:val="en-US" w:eastAsia="zh-CN"/>
        </w:rPr>
        <w:t>10</w:t>
      </w:r>
      <w:r>
        <w:rPr>
          <w:color w:val="auto"/>
          <w:highlight w:val="none"/>
        </w:rPr>
        <w:t>0天后的浓度分布情况进行模拟计算，计算出的</w:t>
      </w:r>
      <w:r>
        <w:rPr>
          <w:rFonts w:hint="eastAsia"/>
          <w:color w:val="auto"/>
          <w:highlight w:val="none"/>
          <w:lang w:val="en-US" w:eastAsia="zh-CN"/>
        </w:rPr>
        <w:t>COD、NH</w:t>
      </w:r>
      <w:r>
        <w:rPr>
          <w:rFonts w:hint="eastAsia"/>
          <w:color w:val="auto"/>
          <w:highlight w:val="none"/>
          <w:vertAlign w:val="subscript"/>
          <w:lang w:val="en-US" w:eastAsia="zh-CN"/>
        </w:rPr>
        <w:t>3</w:t>
      </w:r>
      <w:r>
        <w:rPr>
          <w:rFonts w:hint="eastAsia"/>
          <w:color w:val="auto"/>
          <w:highlight w:val="none"/>
          <w:lang w:val="en-US" w:eastAsia="zh-CN"/>
        </w:rPr>
        <w:t>-N</w:t>
      </w:r>
      <w:r>
        <w:rPr>
          <w:color w:val="auto"/>
          <w:highlight w:val="none"/>
        </w:rPr>
        <w:t>浓度分布等值线图</w:t>
      </w:r>
      <w:r>
        <w:rPr>
          <w:rFonts w:hint="eastAsia"/>
          <w:color w:val="auto"/>
          <w:highlight w:val="none"/>
          <w:lang w:val="en-US" w:eastAsia="zh-CN"/>
        </w:rPr>
        <w:t>分别</w:t>
      </w:r>
      <w:r>
        <w:rPr>
          <w:color w:val="auto"/>
          <w:highlight w:val="none"/>
        </w:rPr>
        <w:t>见图</w:t>
      </w:r>
      <w:r>
        <w:rPr>
          <w:rFonts w:hint="eastAsia"/>
          <w:color w:val="auto"/>
          <w:highlight w:val="none"/>
          <w:lang w:eastAsia="zh-CN"/>
        </w:rPr>
        <w:t>6.2-</w:t>
      </w:r>
      <w:r>
        <w:rPr>
          <w:rFonts w:hint="eastAsia"/>
          <w:color w:val="auto"/>
          <w:highlight w:val="none"/>
          <w:lang w:val="en-US" w:eastAsia="zh-CN"/>
        </w:rPr>
        <w:t>2、</w:t>
      </w:r>
      <w:r>
        <w:rPr>
          <w:rFonts w:hint="eastAsia"/>
          <w:color w:val="auto"/>
          <w:highlight w:val="none"/>
          <w:lang w:eastAsia="zh-CN"/>
        </w:rPr>
        <w:t>6.2-</w:t>
      </w:r>
      <w:r>
        <w:rPr>
          <w:rFonts w:hint="eastAsia"/>
          <w:color w:val="auto"/>
          <w:highlight w:val="none"/>
          <w:lang w:val="en-US" w:eastAsia="zh-CN"/>
        </w:rPr>
        <w:t>3</w:t>
      </w:r>
      <w:r>
        <w:rPr>
          <w:color w:val="auto"/>
          <w:highlight w:val="none"/>
        </w:rPr>
        <w:t>。</w:t>
      </w:r>
    </w:p>
    <w:p>
      <w:pPr>
        <w:pStyle w:val="19"/>
        <w:spacing w:line="240" w:lineRule="auto"/>
        <w:ind w:left="0" w:leftChars="0" w:firstLine="0" w:firstLineChars="0"/>
        <w:rPr>
          <w:color w:val="auto"/>
          <w:highlight w:val="none"/>
        </w:rPr>
      </w:pPr>
      <w:r>
        <w:rPr>
          <w:color w:val="auto"/>
          <w:highlight w:val="none"/>
        </w:rPr>
        <w:drawing>
          <wp:inline distT="0" distB="0" distL="114300" distR="114300">
            <wp:extent cx="5272405" cy="2240915"/>
            <wp:effectExtent l="0" t="0" r="4445" b="6985"/>
            <wp:docPr id="2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
                    <pic:cNvPicPr>
                      <a:picLocks noChangeAspect="1"/>
                    </pic:cNvPicPr>
                  </pic:nvPicPr>
                  <pic:blipFill>
                    <a:blip r:embed="rId91"/>
                    <a:stretch>
                      <a:fillRect/>
                    </a:stretch>
                  </pic:blipFill>
                  <pic:spPr>
                    <a:xfrm>
                      <a:off x="0" y="0"/>
                      <a:ext cx="5272405" cy="2240915"/>
                    </a:xfrm>
                    <a:prstGeom prst="rect">
                      <a:avLst/>
                    </a:prstGeom>
                    <a:noFill/>
                    <a:ln>
                      <a:noFill/>
                    </a:ln>
                  </pic:spPr>
                </pic:pic>
              </a:graphicData>
            </a:graphic>
          </wp:inline>
        </w:drawing>
      </w:r>
    </w:p>
    <w:p>
      <w:pPr>
        <w:keepNext w:val="0"/>
        <w:keepLines w:val="0"/>
        <w:pageBreakBefore w:val="0"/>
        <w:widowControl w:val="0"/>
        <w:kinsoku/>
        <w:overflowPunct/>
        <w:topLinePunct w:val="0"/>
        <w:autoSpaceDE w:val="0"/>
        <w:autoSpaceDN w:val="0"/>
        <w:bidi w:val="0"/>
        <w:snapToGrid/>
        <w:spacing w:line="240" w:lineRule="auto"/>
        <w:ind w:firstLine="0" w:firstLineChars="0"/>
        <w:jc w:val="center"/>
        <w:textAlignment w:val="auto"/>
        <w:rPr>
          <w:b/>
          <w:color w:val="auto"/>
          <w:sz w:val="21"/>
          <w:szCs w:val="21"/>
          <w:highlight w:val="none"/>
        </w:rPr>
      </w:pP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2</w:t>
      </w:r>
      <w:r>
        <w:rPr>
          <w:rFonts w:hint="eastAsia"/>
          <w:b/>
          <w:color w:val="auto"/>
          <w:sz w:val="21"/>
          <w:szCs w:val="21"/>
          <w:highlight w:val="none"/>
        </w:rPr>
        <w:t xml:space="preserve"> </w:t>
      </w:r>
      <w:r>
        <w:rPr>
          <w:rFonts w:hint="eastAsia"/>
          <w:b/>
          <w:color w:val="auto"/>
          <w:sz w:val="21"/>
          <w:szCs w:val="21"/>
          <w:highlight w:val="none"/>
          <w:lang w:val="en-US" w:eastAsia="zh-CN"/>
        </w:rPr>
        <w:t>废水</w:t>
      </w:r>
      <w:r>
        <w:rPr>
          <w:b/>
          <w:color w:val="auto"/>
          <w:sz w:val="21"/>
          <w:szCs w:val="21"/>
          <w:highlight w:val="none"/>
        </w:rPr>
        <w:t>连续泄漏</w:t>
      </w:r>
      <w:r>
        <w:rPr>
          <w:rFonts w:hint="eastAsia"/>
          <w:b/>
          <w:color w:val="auto"/>
          <w:sz w:val="21"/>
          <w:szCs w:val="21"/>
          <w:highlight w:val="none"/>
          <w:lang w:val="en-US" w:eastAsia="zh-CN"/>
        </w:rPr>
        <w:t>10</w:t>
      </w:r>
      <w:r>
        <w:rPr>
          <w:b/>
          <w:color w:val="auto"/>
          <w:sz w:val="21"/>
          <w:szCs w:val="21"/>
          <w:highlight w:val="none"/>
        </w:rPr>
        <w:t>0天后含水层</w:t>
      </w:r>
      <w:r>
        <w:rPr>
          <w:rFonts w:hint="eastAsia"/>
          <w:b/>
          <w:bCs/>
          <w:color w:val="auto"/>
          <w:sz w:val="21"/>
          <w:szCs w:val="21"/>
          <w:highlight w:val="none"/>
          <w:lang w:val="en-US" w:eastAsia="zh-CN"/>
        </w:rPr>
        <w:t>COD</w:t>
      </w:r>
      <w:r>
        <w:rPr>
          <w:b/>
          <w:color w:val="auto"/>
          <w:sz w:val="21"/>
          <w:szCs w:val="21"/>
          <w:highlight w:val="none"/>
        </w:rPr>
        <w:t>的浓度分布等值线图</w:t>
      </w:r>
    </w:p>
    <w:p>
      <w:pPr>
        <w:pStyle w:val="19"/>
        <w:spacing w:line="240" w:lineRule="auto"/>
        <w:ind w:left="0" w:leftChars="0" w:firstLine="0" w:firstLineChars="0"/>
        <w:rPr>
          <w:color w:val="auto"/>
          <w:highlight w:val="none"/>
        </w:rPr>
      </w:pPr>
      <w:r>
        <w:rPr>
          <w:color w:val="auto"/>
          <w:highlight w:val="none"/>
        </w:rPr>
        <w:drawing>
          <wp:inline distT="0" distB="0" distL="114300" distR="114300">
            <wp:extent cx="5271770" cy="2496185"/>
            <wp:effectExtent l="0" t="0" r="5080" b="18415"/>
            <wp:docPr id="2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3"/>
                    <pic:cNvPicPr>
                      <a:picLocks noChangeAspect="1"/>
                    </pic:cNvPicPr>
                  </pic:nvPicPr>
                  <pic:blipFill>
                    <a:blip r:embed="rId92"/>
                    <a:stretch>
                      <a:fillRect/>
                    </a:stretch>
                  </pic:blipFill>
                  <pic:spPr>
                    <a:xfrm>
                      <a:off x="0" y="0"/>
                      <a:ext cx="5271770" cy="2496185"/>
                    </a:xfrm>
                    <a:prstGeom prst="rect">
                      <a:avLst/>
                    </a:prstGeom>
                    <a:noFill/>
                    <a:ln>
                      <a:noFill/>
                    </a:ln>
                  </pic:spPr>
                </pic:pic>
              </a:graphicData>
            </a:graphic>
          </wp:inline>
        </w:drawing>
      </w:r>
    </w:p>
    <w:p>
      <w:pPr>
        <w:keepNext w:val="0"/>
        <w:keepLines w:val="0"/>
        <w:pageBreakBefore w:val="0"/>
        <w:widowControl w:val="0"/>
        <w:kinsoku/>
        <w:overflowPunct/>
        <w:topLinePunct w:val="0"/>
        <w:autoSpaceDE w:val="0"/>
        <w:autoSpaceDN w:val="0"/>
        <w:bidi w:val="0"/>
        <w:snapToGrid/>
        <w:spacing w:line="240" w:lineRule="auto"/>
        <w:ind w:firstLine="0" w:firstLineChars="0"/>
        <w:jc w:val="center"/>
        <w:textAlignment w:val="auto"/>
        <w:rPr>
          <w:b/>
          <w:color w:val="auto"/>
          <w:sz w:val="21"/>
          <w:szCs w:val="21"/>
          <w:highlight w:val="none"/>
        </w:rPr>
      </w:pP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3</w:t>
      </w:r>
      <w:r>
        <w:rPr>
          <w:rFonts w:hint="eastAsia"/>
          <w:b/>
          <w:color w:val="auto"/>
          <w:sz w:val="21"/>
          <w:szCs w:val="21"/>
          <w:highlight w:val="none"/>
        </w:rPr>
        <w:t xml:space="preserve"> </w:t>
      </w:r>
      <w:r>
        <w:rPr>
          <w:rFonts w:hint="eastAsia"/>
          <w:b/>
          <w:color w:val="auto"/>
          <w:sz w:val="21"/>
          <w:szCs w:val="21"/>
          <w:highlight w:val="none"/>
          <w:lang w:val="en-US" w:eastAsia="zh-CN"/>
        </w:rPr>
        <w:t>废水</w:t>
      </w:r>
      <w:r>
        <w:rPr>
          <w:b/>
          <w:color w:val="auto"/>
          <w:sz w:val="21"/>
          <w:szCs w:val="21"/>
          <w:highlight w:val="none"/>
        </w:rPr>
        <w:t>续泄漏</w:t>
      </w:r>
      <w:r>
        <w:rPr>
          <w:rFonts w:hint="eastAsia"/>
          <w:b/>
          <w:color w:val="auto"/>
          <w:sz w:val="21"/>
          <w:szCs w:val="21"/>
          <w:highlight w:val="none"/>
          <w:lang w:val="en-US" w:eastAsia="zh-CN"/>
        </w:rPr>
        <w:t>10</w:t>
      </w:r>
      <w:r>
        <w:rPr>
          <w:b/>
          <w:color w:val="auto"/>
          <w:sz w:val="21"/>
          <w:szCs w:val="21"/>
          <w:highlight w:val="none"/>
        </w:rPr>
        <w:t>0天后含水层</w:t>
      </w:r>
      <w:r>
        <w:rPr>
          <w:rFonts w:hint="eastAsia"/>
          <w:b/>
          <w:bCs/>
          <w:color w:val="auto"/>
          <w:sz w:val="21"/>
          <w:szCs w:val="21"/>
          <w:highlight w:val="none"/>
          <w:lang w:val="en-US" w:eastAsia="zh-CN"/>
        </w:rPr>
        <w:t>NH</w:t>
      </w:r>
      <w:r>
        <w:rPr>
          <w:rFonts w:hint="eastAsia"/>
          <w:b/>
          <w:bCs/>
          <w:color w:val="auto"/>
          <w:sz w:val="21"/>
          <w:szCs w:val="21"/>
          <w:highlight w:val="none"/>
          <w:vertAlign w:val="subscript"/>
          <w:lang w:val="en-US" w:eastAsia="zh-CN"/>
        </w:rPr>
        <w:t>3</w:t>
      </w:r>
      <w:r>
        <w:rPr>
          <w:rFonts w:hint="eastAsia"/>
          <w:b/>
          <w:bCs/>
          <w:color w:val="auto"/>
          <w:sz w:val="21"/>
          <w:szCs w:val="21"/>
          <w:highlight w:val="none"/>
          <w:lang w:val="en-US" w:eastAsia="zh-CN"/>
        </w:rPr>
        <w:t>-N</w:t>
      </w:r>
      <w:r>
        <w:rPr>
          <w:b/>
          <w:color w:val="auto"/>
          <w:sz w:val="21"/>
          <w:szCs w:val="21"/>
          <w:highlight w:val="none"/>
        </w:rPr>
        <w:t>的浓度分布等值线图</w:t>
      </w:r>
    </w:p>
    <w:p>
      <w:pPr>
        <w:spacing w:line="360" w:lineRule="auto"/>
        <w:ind w:firstLine="480"/>
        <w:rPr>
          <w:color w:val="auto"/>
          <w:highlight w:val="none"/>
        </w:rPr>
      </w:pPr>
      <w:r>
        <w:rPr>
          <w:color w:val="auto"/>
          <w:highlight w:val="none"/>
        </w:rPr>
        <w:t>II、</w:t>
      </w:r>
      <w:r>
        <w:rPr>
          <w:rFonts w:hint="eastAsia"/>
          <w:color w:val="auto"/>
          <w:highlight w:val="none"/>
          <w:lang w:val="en-US" w:eastAsia="zh-CN"/>
        </w:rPr>
        <w:t>10</w:t>
      </w:r>
      <w:r>
        <w:rPr>
          <w:color w:val="auto"/>
          <w:highlight w:val="none"/>
        </w:rPr>
        <w:t>00天后</w:t>
      </w:r>
    </w:p>
    <w:p>
      <w:pPr>
        <w:spacing w:line="360" w:lineRule="auto"/>
        <w:ind w:firstLine="480"/>
        <w:rPr>
          <w:color w:val="auto"/>
          <w:highlight w:val="none"/>
        </w:rPr>
      </w:pPr>
      <w:r>
        <w:rPr>
          <w:rFonts w:hint="eastAsia"/>
          <w:color w:val="auto"/>
          <w:highlight w:val="none"/>
          <w:lang w:val="en-US" w:eastAsia="zh-CN"/>
        </w:rPr>
        <w:t>污水调节池</w:t>
      </w:r>
      <w:r>
        <w:rPr>
          <w:color w:val="auto"/>
          <w:highlight w:val="none"/>
        </w:rPr>
        <w:t>泄漏后</w:t>
      </w:r>
      <w:r>
        <w:rPr>
          <w:rFonts w:hint="eastAsia"/>
          <w:color w:val="auto"/>
          <w:highlight w:val="none"/>
          <w:lang w:val="en-US" w:eastAsia="zh-CN"/>
        </w:rPr>
        <w:t>10</w:t>
      </w:r>
      <w:r>
        <w:rPr>
          <w:color w:val="auto"/>
          <w:highlight w:val="none"/>
        </w:rPr>
        <w:t>00天后计算出的</w:t>
      </w:r>
      <w:r>
        <w:rPr>
          <w:rFonts w:hint="eastAsia"/>
          <w:color w:val="auto"/>
          <w:highlight w:val="none"/>
          <w:lang w:val="en-US" w:eastAsia="zh-CN"/>
        </w:rPr>
        <w:t>COD、NH</w:t>
      </w:r>
      <w:r>
        <w:rPr>
          <w:rFonts w:hint="eastAsia"/>
          <w:color w:val="auto"/>
          <w:highlight w:val="none"/>
          <w:vertAlign w:val="subscript"/>
          <w:lang w:val="en-US" w:eastAsia="zh-CN"/>
        </w:rPr>
        <w:t>3</w:t>
      </w:r>
      <w:r>
        <w:rPr>
          <w:rFonts w:hint="eastAsia"/>
          <w:color w:val="auto"/>
          <w:highlight w:val="none"/>
          <w:lang w:val="en-US" w:eastAsia="zh-CN"/>
        </w:rPr>
        <w:t>-N</w:t>
      </w:r>
      <w:r>
        <w:rPr>
          <w:color w:val="auto"/>
          <w:highlight w:val="none"/>
        </w:rPr>
        <w:t>浓度分布等值线图</w:t>
      </w:r>
      <w:r>
        <w:rPr>
          <w:rFonts w:hint="eastAsia"/>
          <w:color w:val="auto"/>
          <w:highlight w:val="none"/>
          <w:lang w:val="en-US" w:eastAsia="zh-CN"/>
        </w:rPr>
        <w:t>分别</w:t>
      </w:r>
      <w:r>
        <w:rPr>
          <w:color w:val="auto"/>
          <w:highlight w:val="none"/>
        </w:rPr>
        <w:t>见图</w:t>
      </w:r>
      <w:r>
        <w:rPr>
          <w:rFonts w:hint="eastAsia"/>
          <w:color w:val="auto"/>
          <w:highlight w:val="none"/>
          <w:lang w:eastAsia="zh-CN"/>
        </w:rPr>
        <w:t>6.2-</w:t>
      </w:r>
      <w:r>
        <w:rPr>
          <w:rFonts w:hint="eastAsia"/>
          <w:color w:val="auto"/>
          <w:highlight w:val="none"/>
          <w:lang w:val="en-US" w:eastAsia="zh-CN"/>
        </w:rPr>
        <w:t>4、</w:t>
      </w:r>
      <w:r>
        <w:rPr>
          <w:rFonts w:hint="eastAsia"/>
          <w:color w:val="auto"/>
          <w:highlight w:val="none"/>
          <w:lang w:eastAsia="zh-CN"/>
        </w:rPr>
        <w:t>6.2-</w:t>
      </w:r>
      <w:r>
        <w:rPr>
          <w:rFonts w:hint="eastAsia"/>
          <w:color w:val="auto"/>
          <w:highlight w:val="none"/>
          <w:lang w:val="en-US" w:eastAsia="zh-CN"/>
        </w:rPr>
        <w:t>5</w:t>
      </w:r>
      <w:r>
        <w:rPr>
          <w:color w:val="auto"/>
          <w:highlight w:val="none"/>
        </w:rPr>
        <w:t>。</w:t>
      </w:r>
    </w:p>
    <w:p>
      <w:pPr>
        <w:keepNext w:val="0"/>
        <w:keepLines w:val="0"/>
        <w:pageBreakBefore w:val="0"/>
        <w:widowControl w:val="0"/>
        <w:kinsoku/>
        <w:overflowPunct/>
        <w:topLinePunct w:val="0"/>
        <w:autoSpaceDE w:val="0"/>
        <w:autoSpaceDN w:val="0"/>
        <w:bidi w:val="0"/>
        <w:adjustRightInd w:val="0"/>
        <w:snapToGrid/>
        <w:spacing w:line="240" w:lineRule="auto"/>
        <w:ind w:left="0" w:leftChars="0" w:firstLine="0" w:firstLineChars="0"/>
        <w:jc w:val="center"/>
        <w:textAlignment w:val="auto"/>
        <w:rPr>
          <w:color w:val="auto"/>
          <w:highlight w:val="none"/>
        </w:rPr>
      </w:pPr>
      <w:r>
        <w:rPr>
          <w:color w:val="auto"/>
          <w:highlight w:val="none"/>
        </w:rPr>
        <w:drawing>
          <wp:inline distT="0" distB="0" distL="114300" distR="114300">
            <wp:extent cx="5269230" cy="2268855"/>
            <wp:effectExtent l="0" t="0" r="7620" b="17145"/>
            <wp:docPr id="2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4"/>
                    <pic:cNvPicPr>
                      <a:picLocks noChangeAspect="1"/>
                    </pic:cNvPicPr>
                  </pic:nvPicPr>
                  <pic:blipFill>
                    <a:blip r:embed="rId93"/>
                    <a:stretch>
                      <a:fillRect/>
                    </a:stretch>
                  </pic:blipFill>
                  <pic:spPr>
                    <a:xfrm>
                      <a:off x="0" y="0"/>
                      <a:ext cx="5269230" cy="2268855"/>
                    </a:xfrm>
                    <a:prstGeom prst="rect">
                      <a:avLst/>
                    </a:prstGeom>
                    <a:noFill/>
                    <a:ln>
                      <a:noFill/>
                    </a:ln>
                  </pic:spPr>
                </pic:pic>
              </a:graphicData>
            </a:graphic>
          </wp:inline>
        </w:drawing>
      </w: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4 废水</w:t>
      </w:r>
      <w:r>
        <w:rPr>
          <w:rFonts w:hint="eastAsia"/>
          <w:b/>
          <w:color w:val="auto"/>
          <w:sz w:val="21"/>
          <w:szCs w:val="21"/>
          <w:highlight w:val="none"/>
        </w:rPr>
        <w:t>连续泄漏</w:t>
      </w:r>
      <w:r>
        <w:rPr>
          <w:rFonts w:hint="eastAsia"/>
          <w:b/>
          <w:color w:val="auto"/>
          <w:sz w:val="21"/>
          <w:szCs w:val="21"/>
          <w:highlight w:val="none"/>
          <w:lang w:val="en-US" w:eastAsia="zh-CN"/>
        </w:rPr>
        <w:t>10</w:t>
      </w:r>
      <w:r>
        <w:rPr>
          <w:rFonts w:hint="eastAsia"/>
          <w:b/>
          <w:color w:val="auto"/>
          <w:sz w:val="21"/>
          <w:szCs w:val="21"/>
          <w:highlight w:val="none"/>
        </w:rPr>
        <w:t>00天后含水层</w:t>
      </w:r>
      <w:r>
        <w:rPr>
          <w:rFonts w:hint="eastAsia"/>
          <w:color w:val="auto"/>
          <w:sz w:val="21"/>
          <w:szCs w:val="21"/>
          <w:highlight w:val="none"/>
          <w:lang w:val="en-US" w:eastAsia="zh-CN"/>
        </w:rPr>
        <w:t>COD</w:t>
      </w:r>
      <w:r>
        <w:rPr>
          <w:rFonts w:hint="eastAsia"/>
          <w:b/>
          <w:color w:val="auto"/>
          <w:sz w:val="21"/>
          <w:szCs w:val="21"/>
          <w:highlight w:val="none"/>
        </w:rPr>
        <w:t>浓度分布等值线图</w:t>
      </w:r>
      <w:r>
        <w:rPr>
          <w:color w:val="auto"/>
          <w:highlight w:val="none"/>
        </w:rPr>
        <w:drawing>
          <wp:inline distT="0" distB="0" distL="114300" distR="114300">
            <wp:extent cx="5273675" cy="2272665"/>
            <wp:effectExtent l="0" t="0" r="3175" b="13335"/>
            <wp:docPr id="2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5"/>
                    <pic:cNvPicPr>
                      <a:picLocks noChangeAspect="1"/>
                    </pic:cNvPicPr>
                  </pic:nvPicPr>
                  <pic:blipFill>
                    <a:blip r:embed="rId94"/>
                    <a:stretch>
                      <a:fillRect/>
                    </a:stretch>
                  </pic:blipFill>
                  <pic:spPr>
                    <a:xfrm>
                      <a:off x="0" y="0"/>
                      <a:ext cx="5273675" cy="2272665"/>
                    </a:xfrm>
                    <a:prstGeom prst="rect">
                      <a:avLst/>
                    </a:prstGeom>
                    <a:noFill/>
                    <a:ln>
                      <a:noFill/>
                    </a:ln>
                  </pic:spPr>
                </pic:pic>
              </a:graphicData>
            </a:graphic>
          </wp:inline>
        </w:drawing>
      </w:r>
    </w:p>
    <w:p>
      <w:pPr>
        <w:keepNext w:val="0"/>
        <w:keepLines w:val="0"/>
        <w:pageBreakBefore w:val="0"/>
        <w:widowControl w:val="0"/>
        <w:kinsoku/>
        <w:overflowPunct/>
        <w:topLinePunct w:val="0"/>
        <w:autoSpaceDE w:val="0"/>
        <w:autoSpaceDN w:val="0"/>
        <w:bidi w:val="0"/>
        <w:snapToGrid/>
        <w:spacing w:line="240" w:lineRule="auto"/>
        <w:ind w:firstLine="0" w:firstLineChars="0"/>
        <w:jc w:val="center"/>
        <w:textAlignment w:val="auto"/>
        <w:rPr>
          <w:b/>
          <w:color w:val="auto"/>
          <w:sz w:val="21"/>
          <w:szCs w:val="21"/>
          <w:highlight w:val="none"/>
        </w:rPr>
      </w:pP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5  废水</w:t>
      </w:r>
      <w:r>
        <w:rPr>
          <w:rFonts w:hint="eastAsia"/>
          <w:b/>
          <w:color w:val="auto"/>
          <w:sz w:val="21"/>
          <w:szCs w:val="21"/>
          <w:highlight w:val="none"/>
        </w:rPr>
        <w:t>连续泄漏</w:t>
      </w:r>
      <w:r>
        <w:rPr>
          <w:rFonts w:hint="eastAsia"/>
          <w:b/>
          <w:color w:val="auto"/>
          <w:sz w:val="21"/>
          <w:szCs w:val="21"/>
          <w:highlight w:val="none"/>
          <w:lang w:val="en-US" w:eastAsia="zh-CN"/>
        </w:rPr>
        <w:t>3</w:t>
      </w:r>
      <w:r>
        <w:rPr>
          <w:rFonts w:hint="eastAsia"/>
          <w:b/>
          <w:color w:val="auto"/>
          <w:sz w:val="21"/>
          <w:szCs w:val="21"/>
          <w:highlight w:val="none"/>
        </w:rPr>
        <w:t>00天含水层后</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eastAsia="zh-CN"/>
        </w:rPr>
        <w:t>-N</w:t>
      </w:r>
      <w:r>
        <w:rPr>
          <w:rFonts w:hint="eastAsia"/>
          <w:b/>
          <w:color w:val="auto"/>
          <w:sz w:val="21"/>
          <w:szCs w:val="21"/>
          <w:highlight w:val="none"/>
        </w:rPr>
        <w:t>浓度分布等值线图</w:t>
      </w:r>
    </w:p>
    <w:p>
      <w:pPr>
        <w:ind w:firstLine="480"/>
        <w:rPr>
          <w:color w:val="auto"/>
          <w:highlight w:val="none"/>
        </w:rPr>
      </w:pPr>
      <w:r>
        <w:rPr>
          <w:color w:val="auto"/>
          <w:highlight w:val="none"/>
        </w:rPr>
        <w:t>III、</w:t>
      </w:r>
      <w:r>
        <w:rPr>
          <w:rFonts w:hint="eastAsia"/>
          <w:color w:val="auto"/>
          <w:highlight w:val="none"/>
          <w:lang w:val="en-US" w:eastAsia="zh-CN"/>
        </w:rPr>
        <w:t>3</w:t>
      </w:r>
      <w:r>
        <w:rPr>
          <w:color w:val="auto"/>
          <w:highlight w:val="none"/>
        </w:rPr>
        <w:t>000天后</w:t>
      </w:r>
    </w:p>
    <w:p>
      <w:pPr>
        <w:ind w:firstLine="480"/>
        <w:rPr>
          <w:color w:val="auto"/>
          <w:highlight w:val="none"/>
        </w:rPr>
      </w:pPr>
      <w:r>
        <w:rPr>
          <w:rFonts w:hint="eastAsia"/>
          <w:color w:val="auto"/>
          <w:highlight w:val="none"/>
          <w:lang w:val="en-US" w:eastAsia="zh-CN"/>
        </w:rPr>
        <w:t>污水调节池</w:t>
      </w:r>
      <w:r>
        <w:rPr>
          <w:color w:val="auto"/>
          <w:highlight w:val="none"/>
        </w:rPr>
        <w:t>泄漏后</w:t>
      </w:r>
      <w:r>
        <w:rPr>
          <w:rFonts w:hint="eastAsia"/>
          <w:color w:val="auto"/>
          <w:highlight w:val="none"/>
          <w:lang w:val="en-US" w:eastAsia="zh-CN"/>
        </w:rPr>
        <w:t>3</w:t>
      </w:r>
      <w:r>
        <w:rPr>
          <w:color w:val="auto"/>
          <w:highlight w:val="none"/>
        </w:rPr>
        <w:t>000天后计算出的</w:t>
      </w:r>
      <w:r>
        <w:rPr>
          <w:rFonts w:hint="eastAsia"/>
          <w:color w:val="auto"/>
          <w:highlight w:val="none"/>
          <w:lang w:val="en-US" w:eastAsia="zh-CN"/>
        </w:rPr>
        <w:t>COD、NH</w:t>
      </w:r>
      <w:r>
        <w:rPr>
          <w:rFonts w:hint="eastAsia"/>
          <w:color w:val="auto"/>
          <w:highlight w:val="none"/>
          <w:vertAlign w:val="subscript"/>
          <w:lang w:val="en-US" w:eastAsia="zh-CN"/>
        </w:rPr>
        <w:t>3</w:t>
      </w:r>
      <w:r>
        <w:rPr>
          <w:rFonts w:hint="eastAsia"/>
          <w:color w:val="auto"/>
          <w:highlight w:val="none"/>
          <w:lang w:val="en-US" w:eastAsia="zh-CN"/>
        </w:rPr>
        <w:t>-N</w:t>
      </w:r>
      <w:r>
        <w:rPr>
          <w:color w:val="auto"/>
          <w:highlight w:val="none"/>
        </w:rPr>
        <w:t>浓度分布等值线图</w:t>
      </w:r>
      <w:r>
        <w:rPr>
          <w:rFonts w:hint="eastAsia"/>
          <w:color w:val="auto"/>
          <w:highlight w:val="none"/>
          <w:lang w:val="en-US" w:eastAsia="zh-CN"/>
        </w:rPr>
        <w:t>分别</w:t>
      </w:r>
      <w:r>
        <w:rPr>
          <w:color w:val="auto"/>
          <w:highlight w:val="none"/>
        </w:rPr>
        <w:t>见图</w:t>
      </w:r>
      <w:r>
        <w:rPr>
          <w:rFonts w:hint="eastAsia"/>
          <w:color w:val="auto"/>
          <w:highlight w:val="none"/>
          <w:lang w:eastAsia="zh-CN"/>
        </w:rPr>
        <w:t>6.2-</w:t>
      </w:r>
      <w:r>
        <w:rPr>
          <w:rFonts w:hint="eastAsia"/>
          <w:color w:val="auto"/>
          <w:highlight w:val="none"/>
          <w:lang w:val="en-US" w:eastAsia="zh-CN"/>
        </w:rPr>
        <w:t>6、</w:t>
      </w:r>
      <w:r>
        <w:rPr>
          <w:rFonts w:hint="eastAsia"/>
          <w:color w:val="auto"/>
          <w:highlight w:val="none"/>
          <w:lang w:eastAsia="zh-CN"/>
        </w:rPr>
        <w:t>6.2-</w:t>
      </w:r>
      <w:r>
        <w:rPr>
          <w:rFonts w:hint="eastAsia"/>
          <w:color w:val="auto"/>
          <w:highlight w:val="none"/>
          <w:lang w:val="en-US" w:eastAsia="zh-CN"/>
        </w:rPr>
        <w:t>7</w:t>
      </w:r>
      <w:r>
        <w:rPr>
          <w:color w:val="auto"/>
          <w:highlight w:val="none"/>
        </w:rPr>
        <w:t>。</w:t>
      </w:r>
    </w:p>
    <w:p>
      <w:pPr>
        <w:pStyle w:val="19"/>
        <w:spacing w:line="240" w:lineRule="auto"/>
        <w:ind w:left="0" w:leftChars="0" w:firstLine="0" w:firstLineChars="0"/>
        <w:rPr>
          <w:b/>
          <w:color w:val="auto"/>
          <w:highlight w:val="none"/>
        </w:rPr>
      </w:pPr>
      <w:r>
        <w:rPr>
          <w:color w:val="auto"/>
          <w:highlight w:val="none"/>
        </w:rPr>
        <w:drawing>
          <wp:inline distT="0" distB="0" distL="114300" distR="114300">
            <wp:extent cx="5269865" cy="1882775"/>
            <wp:effectExtent l="0" t="0" r="6985" b="3175"/>
            <wp:docPr id="2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6"/>
                    <pic:cNvPicPr>
                      <a:picLocks noChangeAspect="1"/>
                    </pic:cNvPicPr>
                  </pic:nvPicPr>
                  <pic:blipFill>
                    <a:blip r:embed="rId95"/>
                    <a:stretch>
                      <a:fillRect/>
                    </a:stretch>
                  </pic:blipFill>
                  <pic:spPr>
                    <a:xfrm>
                      <a:off x="0" y="0"/>
                      <a:ext cx="5269865" cy="1882775"/>
                    </a:xfrm>
                    <a:prstGeom prst="rect">
                      <a:avLst/>
                    </a:prstGeom>
                    <a:noFill/>
                    <a:ln>
                      <a:noFill/>
                    </a:ln>
                  </pic:spPr>
                </pic:pic>
              </a:graphicData>
            </a:graphic>
          </wp:inline>
        </w:drawing>
      </w:r>
    </w:p>
    <w:p>
      <w:pPr>
        <w:keepNext w:val="0"/>
        <w:keepLines w:val="0"/>
        <w:pageBreakBefore w:val="0"/>
        <w:widowControl w:val="0"/>
        <w:kinsoku/>
        <w:overflowPunct/>
        <w:topLinePunct w:val="0"/>
        <w:autoSpaceDE w:val="0"/>
        <w:autoSpaceDN w:val="0"/>
        <w:bidi w:val="0"/>
        <w:snapToGrid/>
        <w:spacing w:line="240" w:lineRule="auto"/>
        <w:ind w:firstLine="0" w:firstLineChars="0"/>
        <w:jc w:val="center"/>
        <w:textAlignment w:val="auto"/>
        <w:rPr>
          <w:rFonts w:hint="eastAsia"/>
          <w:b/>
          <w:color w:val="auto"/>
          <w:sz w:val="21"/>
          <w:szCs w:val="21"/>
          <w:highlight w:val="none"/>
        </w:rPr>
      </w:pP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6</w:t>
      </w:r>
      <w:r>
        <w:rPr>
          <w:rFonts w:hint="eastAsia"/>
          <w:b/>
          <w:color w:val="auto"/>
          <w:sz w:val="21"/>
          <w:szCs w:val="21"/>
          <w:highlight w:val="none"/>
        </w:rPr>
        <w:t xml:space="preserve"> </w:t>
      </w:r>
      <w:r>
        <w:rPr>
          <w:rFonts w:hint="eastAsia"/>
          <w:b/>
          <w:color w:val="auto"/>
          <w:sz w:val="21"/>
          <w:szCs w:val="21"/>
          <w:highlight w:val="none"/>
          <w:lang w:eastAsia="zh-CN"/>
        </w:rPr>
        <w:t>废水</w:t>
      </w:r>
      <w:r>
        <w:rPr>
          <w:b/>
          <w:color w:val="auto"/>
          <w:sz w:val="21"/>
          <w:szCs w:val="21"/>
          <w:highlight w:val="none"/>
        </w:rPr>
        <w:t>连续泄漏30</w:t>
      </w:r>
      <w:r>
        <w:rPr>
          <w:rFonts w:hint="eastAsia"/>
          <w:b/>
          <w:color w:val="auto"/>
          <w:sz w:val="21"/>
          <w:szCs w:val="21"/>
          <w:highlight w:val="none"/>
          <w:lang w:val="en-US" w:eastAsia="zh-CN"/>
        </w:rPr>
        <w:t>00</w:t>
      </w:r>
      <w:r>
        <w:rPr>
          <w:b/>
          <w:color w:val="auto"/>
          <w:sz w:val="21"/>
          <w:szCs w:val="21"/>
          <w:highlight w:val="none"/>
        </w:rPr>
        <w:t>天后含水层</w:t>
      </w:r>
      <w:r>
        <w:rPr>
          <w:rFonts w:hint="eastAsia"/>
          <w:color w:val="auto"/>
          <w:sz w:val="21"/>
          <w:szCs w:val="21"/>
          <w:highlight w:val="none"/>
          <w:lang w:val="en-US" w:eastAsia="zh-CN"/>
        </w:rPr>
        <w:t>COD</w:t>
      </w:r>
      <w:r>
        <w:rPr>
          <w:b/>
          <w:color w:val="auto"/>
          <w:sz w:val="21"/>
          <w:szCs w:val="21"/>
          <w:highlight w:val="none"/>
        </w:rPr>
        <w:t>的浓度分布等值线图</w:t>
      </w:r>
    </w:p>
    <w:p>
      <w:pPr>
        <w:keepNext w:val="0"/>
        <w:keepLines w:val="0"/>
        <w:pageBreakBefore w:val="0"/>
        <w:widowControl w:val="0"/>
        <w:kinsoku/>
        <w:wordWrap w:val="0"/>
        <w:overflowPunct/>
        <w:topLinePunct w:val="0"/>
        <w:autoSpaceDE w:val="0"/>
        <w:autoSpaceDN w:val="0"/>
        <w:bidi w:val="0"/>
        <w:adjustRightInd/>
        <w:snapToGrid/>
        <w:spacing w:line="240" w:lineRule="auto"/>
        <w:ind w:left="0" w:leftChars="0" w:firstLine="0" w:firstLineChars="0"/>
        <w:jc w:val="center"/>
        <w:textAlignment w:val="auto"/>
        <w:rPr>
          <w:b/>
          <w:color w:val="auto"/>
          <w:highlight w:val="none"/>
        </w:rPr>
      </w:pPr>
      <w:r>
        <w:rPr>
          <w:color w:val="auto"/>
          <w:highlight w:val="none"/>
        </w:rPr>
        <w:drawing>
          <wp:inline distT="0" distB="0" distL="114300" distR="114300">
            <wp:extent cx="5271135" cy="1831340"/>
            <wp:effectExtent l="0" t="0" r="5715" b="16510"/>
            <wp:docPr id="206"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34"/>
                    <pic:cNvPicPr>
                      <a:picLocks noChangeAspect="1"/>
                    </pic:cNvPicPr>
                  </pic:nvPicPr>
                  <pic:blipFill>
                    <a:blip r:embed="rId96"/>
                    <a:stretch>
                      <a:fillRect/>
                    </a:stretch>
                  </pic:blipFill>
                  <pic:spPr>
                    <a:xfrm>
                      <a:off x="0" y="0"/>
                      <a:ext cx="5271135" cy="1831340"/>
                    </a:xfrm>
                    <a:prstGeom prst="rect">
                      <a:avLst/>
                    </a:prstGeom>
                    <a:noFill/>
                    <a:ln>
                      <a:noFill/>
                    </a:ln>
                  </pic:spPr>
                </pic:pic>
              </a:graphicData>
            </a:graphic>
          </wp:inline>
        </w:drawing>
      </w:r>
      <w:r>
        <w:rPr>
          <w:b/>
          <w:color w:val="auto"/>
          <w:sz w:val="21"/>
          <w:szCs w:val="21"/>
          <w:highlight w:val="none"/>
        </w:rPr>
        <w:t>图</w:t>
      </w:r>
      <w:r>
        <w:rPr>
          <w:rFonts w:hint="eastAsia"/>
          <w:b/>
          <w:color w:val="auto"/>
          <w:sz w:val="21"/>
          <w:szCs w:val="21"/>
          <w:highlight w:val="none"/>
          <w:lang w:val="en-US" w:eastAsia="zh-CN"/>
        </w:rPr>
        <w:t>5</w:t>
      </w:r>
      <w:r>
        <w:rPr>
          <w:rFonts w:hint="eastAsia"/>
          <w:b/>
          <w:color w:val="auto"/>
          <w:sz w:val="21"/>
          <w:szCs w:val="21"/>
          <w:highlight w:val="none"/>
          <w:lang w:eastAsia="zh-CN"/>
        </w:rPr>
        <w:t>.2-</w:t>
      </w:r>
      <w:r>
        <w:rPr>
          <w:rFonts w:hint="eastAsia"/>
          <w:b/>
          <w:color w:val="auto"/>
          <w:sz w:val="21"/>
          <w:szCs w:val="21"/>
          <w:highlight w:val="none"/>
          <w:lang w:val="en-US" w:eastAsia="zh-CN"/>
        </w:rPr>
        <w:t>7</w:t>
      </w:r>
      <w:r>
        <w:rPr>
          <w:rFonts w:hint="eastAsia"/>
          <w:b/>
          <w:color w:val="auto"/>
          <w:sz w:val="21"/>
          <w:szCs w:val="21"/>
          <w:highlight w:val="none"/>
        </w:rPr>
        <w:t xml:space="preserve"> </w:t>
      </w:r>
      <w:r>
        <w:rPr>
          <w:rFonts w:hint="eastAsia"/>
          <w:b/>
          <w:color w:val="auto"/>
          <w:sz w:val="21"/>
          <w:szCs w:val="21"/>
          <w:highlight w:val="none"/>
          <w:lang w:eastAsia="zh-CN"/>
        </w:rPr>
        <w:t>废水</w:t>
      </w:r>
      <w:r>
        <w:rPr>
          <w:b/>
          <w:color w:val="auto"/>
          <w:sz w:val="21"/>
          <w:szCs w:val="21"/>
          <w:highlight w:val="none"/>
        </w:rPr>
        <w:t>连续泄漏30</w:t>
      </w:r>
      <w:r>
        <w:rPr>
          <w:rFonts w:hint="eastAsia"/>
          <w:b/>
          <w:color w:val="auto"/>
          <w:sz w:val="21"/>
          <w:szCs w:val="21"/>
          <w:highlight w:val="none"/>
          <w:lang w:val="en-US" w:eastAsia="zh-CN"/>
        </w:rPr>
        <w:t>00</w:t>
      </w:r>
      <w:r>
        <w:rPr>
          <w:b/>
          <w:color w:val="auto"/>
          <w:sz w:val="21"/>
          <w:szCs w:val="21"/>
          <w:highlight w:val="none"/>
        </w:rPr>
        <w:t>天后含水层</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eastAsia="zh-CN"/>
        </w:rPr>
        <w:t>-N</w:t>
      </w:r>
      <w:r>
        <w:rPr>
          <w:b/>
          <w:color w:val="auto"/>
          <w:sz w:val="21"/>
          <w:szCs w:val="21"/>
          <w:highlight w:val="none"/>
        </w:rPr>
        <w:t>的浓度分布等值线图</w:t>
      </w:r>
    </w:p>
    <w:p>
      <w:pPr>
        <w:keepNext w:val="0"/>
        <w:keepLines w:val="0"/>
        <w:pageBreakBefore w:val="0"/>
        <w:widowControl w:val="0"/>
        <w:kinsoku/>
        <w:wordWrap w:val="0"/>
        <w:overflowPunct/>
        <w:topLinePunct w:val="0"/>
        <w:autoSpaceDE w:val="0"/>
        <w:autoSpaceDN w:val="0"/>
        <w:bidi w:val="0"/>
        <w:adjustRightInd/>
        <w:snapToGrid/>
        <w:ind w:firstLine="480" w:firstLineChars="200"/>
        <w:textAlignment w:val="auto"/>
        <w:rPr>
          <w:rFonts w:hint="eastAsia"/>
          <w:color w:val="auto"/>
          <w:highlight w:val="none"/>
          <w:lang w:val="en-US" w:eastAsia="zh-CN"/>
        </w:rPr>
      </w:pPr>
      <w:r>
        <w:rPr>
          <w:rFonts w:hint="eastAsia"/>
          <w:color w:val="auto"/>
          <w:highlight w:val="none"/>
          <w:lang w:val="en-US" w:eastAsia="zh-CN"/>
        </w:rPr>
        <w:t>根据预测结果，污水收集池连续泄漏后100</w:t>
      </w:r>
      <w:r>
        <w:rPr>
          <w:rFonts w:hint="default"/>
          <w:color w:val="auto"/>
          <w:highlight w:val="none"/>
          <w:lang w:val="en-US" w:eastAsia="zh-CN"/>
        </w:rPr>
        <w:t>d</w:t>
      </w:r>
      <w:r>
        <w:rPr>
          <w:rFonts w:hint="eastAsia"/>
          <w:color w:val="auto"/>
          <w:highlight w:val="none"/>
          <w:lang w:val="en-US" w:eastAsia="zh-CN"/>
        </w:rPr>
        <w:t>、10</w:t>
      </w:r>
      <w:r>
        <w:rPr>
          <w:rFonts w:hint="default"/>
          <w:color w:val="auto"/>
          <w:highlight w:val="none"/>
          <w:lang w:val="en-US" w:eastAsia="zh-CN"/>
        </w:rPr>
        <w:t>00d</w:t>
      </w:r>
      <w:r>
        <w:rPr>
          <w:rFonts w:hint="eastAsia"/>
          <w:color w:val="auto"/>
          <w:highlight w:val="none"/>
          <w:lang w:val="en-US" w:eastAsia="zh-CN"/>
        </w:rPr>
        <w:t>、</w:t>
      </w:r>
      <w:r>
        <w:rPr>
          <w:rFonts w:hint="default"/>
          <w:color w:val="auto"/>
          <w:highlight w:val="none"/>
          <w:lang w:val="en-US" w:eastAsia="zh-CN"/>
        </w:rPr>
        <w:t>3</w:t>
      </w:r>
      <w:r>
        <w:rPr>
          <w:rFonts w:hint="eastAsia"/>
          <w:color w:val="auto"/>
          <w:highlight w:val="none"/>
          <w:lang w:val="en-US" w:eastAsia="zh-CN"/>
        </w:rPr>
        <w:t>0</w:t>
      </w:r>
      <w:r>
        <w:rPr>
          <w:rFonts w:hint="default"/>
          <w:color w:val="auto"/>
          <w:highlight w:val="none"/>
          <w:lang w:val="en-US" w:eastAsia="zh-CN"/>
        </w:rPr>
        <w:t>00d</w:t>
      </w:r>
      <w:r>
        <w:rPr>
          <w:rFonts w:hint="eastAsia"/>
          <w:color w:val="auto"/>
          <w:highlight w:val="none"/>
          <w:lang w:val="en-US" w:eastAsia="zh-CN"/>
        </w:rPr>
        <w:t>，污染物COD、NH</w:t>
      </w:r>
      <w:r>
        <w:rPr>
          <w:rFonts w:hint="eastAsia"/>
          <w:color w:val="auto"/>
          <w:highlight w:val="none"/>
          <w:vertAlign w:val="subscript"/>
          <w:lang w:val="en-US" w:eastAsia="zh-CN"/>
        </w:rPr>
        <w:t>3</w:t>
      </w:r>
      <w:r>
        <w:rPr>
          <w:rFonts w:hint="eastAsia"/>
          <w:color w:val="auto"/>
          <w:highlight w:val="none"/>
          <w:lang w:val="en-US" w:eastAsia="zh-CN"/>
        </w:rPr>
        <w:t>-N在含水层水平方向上的运移范围。根据《地下水质量标准》（</w:t>
      </w:r>
      <w:r>
        <w:rPr>
          <w:color w:val="auto"/>
          <w:highlight w:val="none"/>
          <w:lang w:val="en-US" w:eastAsia="zh-CN"/>
        </w:rPr>
        <w:t>GB/T14848-2017</w:t>
      </w:r>
      <w:r>
        <w:rPr>
          <w:rFonts w:hint="eastAsia"/>
          <w:color w:val="auto"/>
          <w:highlight w:val="none"/>
          <w:lang w:val="en-US" w:eastAsia="zh-CN"/>
        </w:rPr>
        <w:t>）中Ⅲ类标准，COD、NH</w:t>
      </w:r>
      <w:r>
        <w:rPr>
          <w:rFonts w:hint="eastAsia"/>
          <w:color w:val="auto"/>
          <w:highlight w:val="none"/>
          <w:vertAlign w:val="subscript"/>
          <w:lang w:val="en-US" w:eastAsia="zh-CN"/>
        </w:rPr>
        <w:t>3</w:t>
      </w:r>
      <w:r>
        <w:rPr>
          <w:rFonts w:hint="eastAsia"/>
          <w:color w:val="auto"/>
          <w:highlight w:val="none"/>
          <w:lang w:val="en-US" w:eastAsia="zh-CN"/>
        </w:rPr>
        <w:t>-N的标准限值分别为3</w:t>
      </w:r>
      <w:r>
        <w:rPr>
          <w:rFonts w:hint="default"/>
          <w:color w:val="auto"/>
          <w:highlight w:val="none"/>
          <w:lang w:val="en-US" w:eastAsia="zh-CN"/>
        </w:rPr>
        <w:t>mg/L</w:t>
      </w:r>
      <w:r>
        <w:rPr>
          <w:rFonts w:hint="eastAsia"/>
          <w:color w:val="auto"/>
          <w:highlight w:val="none"/>
          <w:lang w:val="en-US" w:eastAsia="zh-CN"/>
        </w:rPr>
        <w:t>、0.5</w:t>
      </w:r>
      <w:r>
        <w:rPr>
          <w:rFonts w:hint="default"/>
          <w:color w:val="auto"/>
          <w:highlight w:val="none"/>
          <w:lang w:val="en-US" w:eastAsia="zh-CN"/>
        </w:rPr>
        <w:t>mg/L</w:t>
      </w:r>
      <w:r>
        <w:rPr>
          <w:rFonts w:hint="eastAsia"/>
          <w:color w:val="auto"/>
          <w:highlight w:val="none"/>
          <w:lang w:val="en-US" w:eastAsia="zh-CN"/>
        </w:rPr>
        <w:t>，污染物泄漏30</w:t>
      </w:r>
      <w:r>
        <w:rPr>
          <w:rFonts w:hint="default"/>
          <w:color w:val="auto"/>
          <w:highlight w:val="none"/>
          <w:lang w:val="en-US" w:eastAsia="zh-CN"/>
        </w:rPr>
        <w:t>d</w:t>
      </w:r>
      <w:r>
        <w:rPr>
          <w:rFonts w:hint="eastAsia"/>
          <w:color w:val="auto"/>
          <w:highlight w:val="none"/>
          <w:lang w:val="en-US" w:eastAsia="zh-CN"/>
        </w:rPr>
        <w:t>、3</w:t>
      </w:r>
      <w:r>
        <w:rPr>
          <w:rFonts w:hint="default"/>
          <w:color w:val="auto"/>
          <w:highlight w:val="none"/>
          <w:lang w:val="en-US" w:eastAsia="zh-CN"/>
        </w:rPr>
        <w:t>00d</w:t>
      </w:r>
      <w:r>
        <w:rPr>
          <w:rFonts w:hint="eastAsia"/>
          <w:color w:val="auto"/>
          <w:highlight w:val="none"/>
          <w:lang w:val="en-US" w:eastAsia="zh-CN"/>
        </w:rPr>
        <w:t>、</w:t>
      </w:r>
      <w:r>
        <w:rPr>
          <w:rFonts w:hint="default"/>
          <w:color w:val="auto"/>
          <w:highlight w:val="none"/>
          <w:lang w:val="en-US" w:eastAsia="zh-CN"/>
        </w:rPr>
        <w:t>3</w:t>
      </w:r>
      <w:r>
        <w:rPr>
          <w:rFonts w:hint="eastAsia"/>
          <w:color w:val="auto"/>
          <w:highlight w:val="none"/>
          <w:lang w:val="en-US" w:eastAsia="zh-CN"/>
        </w:rPr>
        <w:t>0</w:t>
      </w:r>
      <w:r>
        <w:rPr>
          <w:rFonts w:hint="default"/>
          <w:color w:val="auto"/>
          <w:highlight w:val="none"/>
          <w:lang w:val="en-US" w:eastAsia="zh-CN"/>
        </w:rPr>
        <w:t>00d</w:t>
      </w:r>
      <w:r>
        <w:rPr>
          <w:rFonts w:hint="eastAsia"/>
          <w:color w:val="auto"/>
          <w:highlight w:val="none"/>
          <w:lang w:val="en-US" w:eastAsia="zh-CN"/>
        </w:rPr>
        <w:t>后在含水层中运移，其中COD、NH</w:t>
      </w:r>
      <w:r>
        <w:rPr>
          <w:rFonts w:hint="eastAsia"/>
          <w:color w:val="auto"/>
          <w:highlight w:val="none"/>
          <w:vertAlign w:val="subscript"/>
          <w:lang w:val="en-US" w:eastAsia="zh-CN"/>
        </w:rPr>
        <w:t>3</w:t>
      </w:r>
      <w:r>
        <w:rPr>
          <w:rFonts w:hint="eastAsia"/>
          <w:color w:val="auto"/>
          <w:highlight w:val="none"/>
          <w:lang w:val="en-US" w:eastAsia="zh-CN"/>
        </w:rPr>
        <w:t>-N运移的超标距离分别为</w:t>
      </w:r>
      <w:r>
        <w:rPr>
          <w:rFonts w:hint="default"/>
          <w:color w:val="auto"/>
          <w:highlight w:val="none"/>
          <w:lang w:val="en-US" w:eastAsia="zh-CN"/>
        </w:rPr>
        <w:t>1</w:t>
      </w:r>
      <w:r>
        <w:rPr>
          <w:rFonts w:hint="eastAsia"/>
          <w:color w:val="auto"/>
          <w:highlight w:val="none"/>
          <w:lang w:val="en-US" w:eastAsia="zh-CN"/>
        </w:rPr>
        <w:t>7</w:t>
      </w:r>
      <w:r>
        <w:rPr>
          <w:rFonts w:hint="default"/>
          <w:color w:val="auto"/>
          <w:highlight w:val="none"/>
          <w:lang w:val="en-US" w:eastAsia="zh-CN"/>
        </w:rPr>
        <w:t>m</w:t>
      </w:r>
      <w:r>
        <w:rPr>
          <w:rFonts w:hint="eastAsia"/>
          <w:color w:val="auto"/>
          <w:highlight w:val="none"/>
          <w:lang w:val="en-US" w:eastAsia="zh-CN"/>
        </w:rPr>
        <w:t>、45</w:t>
      </w:r>
      <w:r>
        <w:rPr>
          <w:rFonts w:hint="default"/>
          <w:color w:val="auto"/>
          <w:highlight w:val="none"/>
          <w:lang w:val="en-US" w:eastAsia="zh-CN"/>
        </w:rPr>
        <w:t>m</w:t>
      </w:r>
      <w:r>
        <w:rPr>
          <w:rFonts w:hint="eastAsia"/>
          <w:color w:val="auto"/>
          <w:highlight w:val="none"/>
          <w:lang w:val="en-US" w:eastAsia="zh-CN"/>
        </w:rPr>
        <w:t>、112</w:t>
      </w:r>
      <w:r>
        <w:rPr>
          <w:rFonts w:hint="default"/>
          <w:color w:val="auto"/>
          <w:highlight w:val="none"/>
          <w:lang w:val="en-US" w:eastAsia="zh-CN"/>
        </w:rPr>
        <w:t>m</w:t>
      </w:r>
      <w:r>
        <w:rPr>
          <w:rFonts w:hint="eastAsia"/>
          <w:color w:val="auto"/>
          <w:highlight w:val="none"/>
          <w:lang w:val="en-US" w:eastAsia="zh-CN"/>
        </w:rPr>
        <w:t>和9</w:t>
      </w:r>
      <w:r>
        <w:rPr>
          <w:rFonts w:hint="default"/>
          <w:color w:val="auto"/>
          <w:highlight w:val="none"/>
          <w:lang w:val="en-US" w:eastAsia="zh-CN"/>
        </w:rPr>
        <w:t>m</w:t>
      </w:r>
      <w:r>
        <w:rPr>
          <w:rFonts w:hint="eastAsia"/>
          <w:color w:val="auto"/>
          <w:highlight w:val="none"/>
          <w:lang w:val="en-US" w:eastAsia="zh-CN"/>
        </w:rPr>
        <w:t>、42</w:t>
      </w:r>
      <w:r>
        <w:rPr>
          <w:rFonts w:hint="default"/>
          <w:color w:val="auto"/>
          <w:highlight w:val="none"/>
          <w:lang w:val="en-US" w:eastAsia="zh-CN"/>
        </w:rPr>
        <w:t>m</w:t>
      </w:r>
      <w:r>
        <w:rPr>
          <w:rFonts w:hint="eastAsia"/>
          <w:color w:val="auto"/>
          <w:highlight w:val="none"/>
          <w:lang w:val="en-US" w:eastAsia="zh-CN"/>
        </w:rPr>
        <w:t>、110</w:t>
      </w:r>
      <w:r>
        <w:rPr>
          <w:rFonts w:hint="default"/>
          <w:color w:val="auto"/>
          <w:highlight w:val="none"/>
          <w:lang w:val="en-US" w:eastAsia="zh-CN"/>
        </w:rPr>
        <w:t>m</w:t>
      </w:r>
      <w:r>
        <w:rPr>
          <w:rFonts w:hint="eastAsia"/>
          <w:color w:val="auto"/>
          <w:highlight w:val="none"/>
          <w:lang w:val="en-US" w:eastAsia="zh-CN"/>
        </w:rPr>
        <w:t>。根据调查项目所在地无居民饮用地下水；在预测时间段内，污染物超标范围影响范围较小，不会对周围的环境保护目标造成不利影响。</w:t>
      </w:r>
    </w:p>
    <w:p>
      <w:pPr>
        <w:keepNext w:val="0"/>
        <w:keepLines w:val="0"/>
        <w:pageBreakBefore w:val="0"/>
        <w:widowControl w:val="0"/>
        <w:kinsoku/>
        <w:wordWrap w:val="0"/>
        <w:overflowPunct/>
        <w:topLinePunct w:val="0"/>
        <w:autoSpaceDE w:val="0"/>
        <w:autoSpaceDN w:val="0"/>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为有效控制建设项目对地下水造成污染，建设单位要做好防渗工作，定期检查厂区防渗层的完整性，检查隐蔽工程防渗的完整性，杜绝泄漏事故的的发生。</w:t>
      </w:r>
      <w:r>
        <w:rPr>
          <w:color w:val="auto"/>
        </w:rPr>
        <w:t>建设单位在加强管理、提高环保意识并严格执行本环评提出的分区防渗、监测管理、制定应急预案等措施的前提下，本项目生产运行不会对周围及下游地下水环境产生明显不利影响。</w:t>
      </w:r>
    </w:p>
    <w:bookmarkEnd w:id="92"/>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地下水跟踪监测</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w:t>
      </w:r>
      <w:r>
        <w:rPr>
          <w:rFonts w:hint="eastAsia"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lang w:val="en-US" w:eastAsia="zh-CN"/>
        </w:rPr>
        <w:t>场地下游布置1个地下水跟踪监测点，定期对项目所在地地下水进行监测，发现问题后应立即启动应急预案，防止污水渗漏造成地下水污染。</w:t>
      </w:r>
    </w:p>
    <w:p>
      <w:pPr>
        <w:pageBreakBefore w:val="0"/>
        <w:widowControl w:val="0"/>
        <w:kinsoku/>
        <w:wordWrap/>
        <w:overflowPunct/>
        <w:topLinePunct w:val="0"/>
        <w:autoSpaceDE/>
        <w:autoSpaceDN/>
        <w:bidi w:val="0"/>
        <w:adjustRightInd/>
        <w:snapToGrid/>
        <w:spacing w:line="360" w:lineRule="auto"/>
        <w:textAlignment w:val="auto"/>
        <w:rPr>
          <w:rFonts w:hint="eastAsia"/>
          <w:bCs/>
          <w:color w:val="auto"/>
        </w:rPr>
      </w:pPr>
    </w:p>
    <w:p>
      <w:pPr>
        <w:pStyle w:val="3"/>
        <w:numPr>
          <w:ilvl w:val="0"/>
          <w:numId w:val="0"/>
        </w:numPr>
        <w:spacing w:line="240" w:lineRule="auto"/>
        <w:ind w:leftChars="0"/>
        <w:jc w:val="center"/>
        <w:rPr>
          <w:rFonts w:hint="eastAsia"/>
          <w:color w:val="auto"/>
        </w:rPr>
      </w:pPr>
      <w:r>
        <w:rPr>
          <w:rFonts w:hint="eastAsia"/>
          <w:color w:val="auto"/>
        </w:rPr>
        <w:br w:type="page"/>
      </w:r>
      <w:bookmarkStart w:id="93" w:name="_Toc22339"/>
      <w:r>
        <w:rPr>
          <w:rFonts w:hint="eastAsia"/>
          <w:color w:val="auto"/>
          <w:lang w:val="en-US" w:eastAsia="zh-CN"/>
        </w:rPr>
        <w:t>6</w:t>
      </w:r>
      <w:r>
        <w:rPr>
          <w:rFonts w:hint="eastAsia"/>
          <w:color w:val="auto"/>
        </w:rPr>
        <w:t>环境污染控制对策</w:t>
      </w:r>
      <w:bookmarkEnd w:id="93"/>
    </w:p>
    <w:p>
      <w:pPr>
        <w:pStyle w:val="4"/>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94" w:name="_Toc5167"/>
      <w:r>
        <w:rPr>
          <w:rFonts w:hint="eastAsia"/>
          <w:color w:val="auto"/>
          <w:lang w:val="en-US" w:eastAsia="zh-CN"/>
        </w:rPr>
        <w:t>6.1</w:t>
      </w:r>
      <w:r>
        <w:rPr>
          <w:rFonts w:hint="eastAsia"/>
          <w:color w:val="auto"/>
        </w:rPr>
        <w:t>施工期环境污染控制对策</w:t>
      </w:r>
      <w:bookmarkEnd w:id="94"/>
    </w:p>
    <w:p>
      <w:pPr>
        <w:pStyle w:val="5"/>
        <w:keepNext/>
        <w:keepLines/>
        <w:pageBreakBefore w:val="0"/>
        <w:widowControl w:val="0"/>
        <w:numPr>
          <w:ilvl w:val="0"/>
          <w:numId w:val="0"/>
        </w:numPr>
        <w:kinsoku/>
        <w:wordWrap/>
        <w:overflowPunct/>
        <w:topLinePunct w:val="0"/>
        <w:autoSpaceDE/>
        <w:autoSpaceDN/>
        <w:bidi w:val="0"/>
        <w:adjustRightInd/>
        <w:snapToGrid/>
        <w:spacing w:before="0" w:beforeLines="0" w:line="360" w:lineRule="auto"/>
        <w:ind w:leftChars="0"/>
        <w:textAlignment w:val="auto"/>
        <w:rPr>
          <w:rFonts w:hint="eastAsia"/>
          <w:color w:val="auto"/>
        </w:rPr>
      </w:pPr>
      <w:r>
        <w:rPr>
          <w:rFonts w:hint="eastAsia"/>
          <w:color w:val="auto"/>
          <w:lang w:val="en-US" w:eastAsia="zh-CN"/>
        </w:rPr>
        <w:t>6.1.1</w:t>
      </w:r>
      <w:r>
        <w:rPr>
          <w:rFonts w:hint="eastAsia"/>
          <w:color w:val="auto"/>
        </w:rPr>
        <w:t>废气环境污染控制对策分析</w:t>
      </w:r>
    </w:p>
    <w:p>
      <w:pPr>
        <w:spacing w:line="480" w:lineRule="exact"/>
        <w:ind w:firstLine="480"/>
        <w:rPr>
          <w:rFonts w:hint="eastAsia"/>
          <w:color w:val="auto"/>
        </w:rPr>
      </w:pPr>
      <w:r>
        <w:rPr>
          <w:rFonts w:hint="eastAsia"/>
          <w:color w:val="auto"/>
        </w:rPr>
        <w:t>施工期对大气造成污染的主要是施工粉尘，建设单位须对建设项目施工期废气进行严格控制。</w:t>
      </w:r>
    </w:p>
    <w:p>
      <w:pPr>
        <w:spacing w:line="480" w:lineRule="exact"/>
        <w:ind w:firstLine="480"/>
        <w:rPr>
          <w:color w:val="auto"/>
        </w:rPr>
      </w:pPr>
      <w:r>
        <w:rPr>
          <w:color w:val="auto"/>
        </w:rPr>
        <w:t>项目施工期废气对其影响较大，为了减少施工大气污染对周围环境的影响，项目必须随时对道路进行洒水抑尘，建议每天洒水4～5次。此外为了控制扬尘对周围环境和环境敏感目标的影响，建设单位应加强对施工现场可能产生扬尘的每个环节的严格管理。</w:t>
      </w:r>
    </w:p>
    <w:p>
      <w:pPr>
        <w:spacing w:line="480" w:lineRule="exact"/>
        <w:ind w:firstLine="480"/>
        <w:rPr>
          <w:color w:val="auto"/>
        </w:rPr>
      </w:pPr>
      <w:r>
        <w:rPr>
          <w:color w:val="auto"/>
        </w:rPr>
        <w:t>根据《安徽省大气污染防治行动计划实施方案》</w:t>
      </w:r>
      <w:r>
        <w:rPr>
          <w:rFonts w:hint="eastAsia"/>
          <w:color w:val="auto"/>
        </w:rPr>
        <w:t>要求，严格落实六个</w:t>
      </w:r>
      <w:r>
        <w:rPr>
          <w:rFonts w:hint="eastAsia" w:cs="宋体"/>
          <w:color w:val="auto"/>
          <w:lang w:eastAsia="zh-CN"/>
        </w:rPr>
        <w:t>“</w:t>
      </w:r>
      <w:r>
        <w:rPr>
          <w:rFonts w:hint="eastAsia"/>
          <w:color w:val="auto"/>
        </w:rPr>
        <w:t>百分百</w:t>
      </w:r>
      <w:r>
        <w:rPr>
          <w:rFonts w:hint="eastAsia" w:cs="宋体"/>
          <w:color w:val="auto"/>
          <w:lang w:eastAsia="zh-CN"/>
        </w:rPr>
        <w:t>”</w:t>
      </w:r>
      <w:r>
        <w:rPr>
          <w:rFonts w:hint="eastAsia"/>
          <w:color w:val="auto"/>
        </w:rPr>
        <w:t>（即施工现场 100%围挡、工地砂土 100%覆盖、工地路面 100%硬化、拆除工程 100%洒水压尘、出工地车辆 100%冲净车轮车身、暂不开发的场地 100%绿化）的前提下，建议采取以下防护措施，将对周围环境空气的影响降低到最小程度。</w:t>
      </w:r>
    </w:p>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s="Times New Roman"/>
          <w:color w:val="auto"/>
          <w:kern w:val="2"/>
          <w:sz w:val="24"/>
          <w:szCs w:val="24"/>
          <w:lang w:val="en-US" w:eastAsia="zh-CN" w:bidi="ar-SA"/>
        </w:rPr>
      </w:pPr>
      <w:r>
        <w:rPr>
          <w:rFonts w:hint="default"/>
          <w:color w:val="auto"/>
          <w:sz w:val="24"/>
          <w:szCs w:val="24"/>
          <w:lang w:val="en-US" w:eastAsia="zh-CN"/>
        </w:rPr>
        <w:t>①</w:t>
      </w:r>
      <w:r>
        <w:rPr>
          <w:rFonts w:hint="eastAsia" w:ascii="Times New Roman" w:hAnsi="Times New Roman" w:eastAsia="宋体" w:cs="Times New Roman"/>
          <w:color w:val="auto"/>
          <w:kern w:val="2"/>
          <w:sz w:val="24"/>
          <w:szCs w:val="24"/>
          <w:lang w:val="en-US" w:eastAsia="zh-CN" w:bidi="ar-SA"/>
        </w:rPr>
        <w:t>推进建筑、建造方式转变，开展建筑工地、物料堆场扬尘综合整治</w:t>
      </w:r>
      <w:r>
        <w:rPr>
          <w:rFonts w:hint="eastAsia" w:ascii="Times New Roman" w:hAnsi="Times New Roman" w:eastAsia="宋体" w:cs="宋体"/>
          <w:color w:val="auto"/>
          <w:kern w:val="2"/>
          <w:sz w:val="24"/>
          <w:szCs w:val="24"/>
          <w:lang w:val="en-US" w:eastAsia="zh-CN" w:bidi="ar-SA"/>
        </w:rPr>
        <w:t>；</w:t>
      </w:r>
    </w:p>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color w:val="auto"/>
          <w:sz w:val="24"/>
          <w:szCs w:val="24"/>
          <w:lang w:val="en-US" w:eastAsia="zh-CN"/>
        </w:rPr>
      </w:pPr>
      <w:r>
        <w:rPr>
          <w:rFonts w:hint="default"/>
          <w:color w:val="auto"/>
          <w:sz w:val="24"/>
          <w:szCs w:val="24"/>
          <w:lang w:val="en-US" w:eastAsia="zh-CN"/>
        </w:rPr>
        <w:t>②</w:t>
      </w:r>
      <w:r>
        <w:rPr>
          <w:rFonts w:hint="eastAsia" w:ascii="Times New Roman" w:hAnsi="Times New Roman" w:eastAsia="宋体" w:cs="Times New Roman"/>
          <w:color w:val="auto"/>
          <w:kern w:val="2"/>
          <w:sz w:val="24"/>
          <w:szCs w:val="24"/>
          <w:lang w:val="en-US" w:eastAsia="zh-CN" w:bidi="ar-SA"/>
        </w:rPr>
        <w:t>强化扬尘污染防治责任，严格实行网格化管理，施工企业要在开工前制定建筑施工现场扬尘控制措施，对施工现场实施封闭围挡、道路硬化、材料堆放遮盖、进出车辆冲洗、工程立面围护、建筑垃圾清运等措施。</w:t>
      </w:r>
    </w:p>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color w:val="auto"/>
          <w:lang w:val="en-US" w:eastAsia="zh-CN"/>
        </w:rPr>
      </w:pPr>
      <w:r>
        <w:rPr>
          <w:rFonts w:hint="default"/>
          <w:color w:val="auto"/>
          <w:sz w:val="24"/>
          <w:szCs w:val="24"/>
          <w:lang w:val="en-US" w:eastAsia="zh-CN"/>
        </w:rPr>
        <w:t>③</w:t>
      </w:r>
      <w:r>
        <w:rPr>
          <w:rFonts w:hint="eastAsia" w:ascii="Times New Roman" w:hAnsi="Times New Roman" w:eastAsia="宋体" w:cs="Times New Roman"/>
          <w:color w:val="auto"/>
          <w:kern w:val="2"/>
          <w:sz w:val="24"/>
          <w:szCs w:val="24"/>
          <w:lang w:val="en-US" w:eastAsia="zh-CN" w:bidi="ar-SA"/>
        </w:rPr>
        <w:t>落实物料堆场、储煤场防风抑尘措施。安装渣土运输车辆GPS定位系统，严格实施密闭运输，落实冲洗保洁措施。推行城区道路机械化清扫等低尘作业方式。</w:t>
      </w:r>
    </w:p>
    <w:p>
      <w:pPr>
        <w:spacing w:line="480" w:lineRule="exact"/>
        <w:ind w:firstLine="480"/>
        <w:rPr>
          <w:color w:val="auto"/>
          <w:highlight w:val="none"/>
        </w:rPr>
      </w:pPr>
      <w:r>
        <w:rPr>
          <w:color w:val="auto"/>
          <w:highlight w:val="none"/>
        </w:rPr>
        <w:t>另外，施工过程中应严格按照《防治城市扬尘污染技术规范》（HJ/T393-2007）</w:t>
      </w:r>
      <w:r>
        <w:rPr>
          <w:rFonts w:hint="eastAsia"/>
          <w:color w:val="auto"/>
          <w:highlight w:val="none"/>
          <w:lang w:eastAsia="zh-CN"/>
        </w:rPr>
        <w:t>、《</w:t>
      </w:r>
      <w:r>
        <w:rPr>
          <w:rFonts w:hint="eastAsia"/>
          <w:color w:val="auto"/>
          <w:highlight w:val="none"/>
          <w:lang w:val="en-US" w:eastAsia="zh-CN"/>
        </w:rPr>
        <w:t>安徽省建筑工程施工扬尘污染防治规定</w:t>
      </w:r>
      <w:r>
        <w:rPr>
          <w:rFonts w:hint="eastAsia"/>
          <w:color w:val="auto"/>
          <w:highlight w:val="none"/>
          <w:lang w:eastAsia="zh-CN"/>
        </w:rPr>
        <w:t>》</w:t>
      </w:r>
      <w:r>
        <w:rPr>
          <w:rFonts w:hint="eastAsia"/>
          <w:color w:val="auto"/>
          <w:highlight w:val="none"/>
          <w:lang w:val="en-US" w:eastAsia="zh-CN"/>
        </w:rPr>
        <w:t>和</w:t>
      </w:r>
      <w:r>
        <w:rPr>
          <w:color w:val="auto"/>
          <w:highlight w:val="none"/>
        </w:rPr>
        <w:t>《</w:t>
      </w:r>
      <w:r>
        <w:rPr>
          <w:rFonts w:hint="eastAsia"/>
          <w:color w:val="auto"/>
          <w:highlight w:val="none"/>
          <w:lang w:val="en-US" w:eastAsia="zh-CN"/>
        </w:rPr>
        <w:t>阜阳市建筑施工工地</w:t>
      </w:r>
      <w:r>
        <w:rPr>
          <w:color w:val="auto"/>
          <w:highlight w:val="none"/>
        </w:rPr>
        <w:t>扬尘污染防治</w:t>
      </w:r>
      <w:r>
        <w:rPr>
          <w:rFonts w:hint="eastAsia"/>
          <w:color w:val="auto"/>
          <w:highlight w:val="none"/>
          <w:lang w:val="en-US" w:eastAsia="zh-CN"/>
        </w:rPr>
        <w:t>规定</w:t>
      </w:r>
      <w:r>
        <w:rPr>
          <w:color w:val="auto"/>
          <w:highlight w:val="none"/>
        </w:rPr>
        <w:t>》对施工期扬尘的防治要求。具体如下：</w:t>
      </w:r>
    </w:p>
    <w:p>
      <w:pPr>
        <w:spacing w:line="480" w:lineRule="exact"/>
        <w:ind w:firstLine="480"/>
        <w:rPr>
          <w:color w:val="auto"/>
        </w:rPr>
      </w:pPr>
      <w:r>
        <w:rPr>
          <w:color w:val="auto"/>
        </w:rPr>
        <w:t>（1）施工期间，施工单位应根据《建设工程施工现场管理规定》的规定设置现场平面布置图、工程概况牌、安全生产牌、消防保卫牌、文明施工牌、环境保护牌、管理人员名单及监督电话牌等</w:t>
      </w:r>
      <w:r>
        <w:rPr>
          <w:rFonts w:hint="eastAsia" w:cs="宋体"/>
          <w:color w:val="auto"/>
          <w:lang w:eastAsia="zh-CN"/>
        </w:rPr>
        <w:t>；</w:t>
      </w:r>
      <w:r>
        <w:rPr>
          <w:color w:val="auto"/>
        </w:rPr>
        <w:t>施工工地周围应当设置连续、密闭的围挡，围挡高度不得低于</w:t>
      </w:r>
      <w:r>
        <w:rPr>
          <w:rFonts w:hint="eastAsia"/>
          <w:color w:val="auto"/>
          <w:lang w:val="en-US" w:eastAsia="zh-CN"/>
        </w:rPr>
        <w:t>2.5</w:t>
      </w:r>
      <w:r>
        <w:rPr>
          <w:color w:val="auto"/>
        </w:rPr>
        <w:t>米，</w:t>
      </w:r>
      <w:r>
        <w:rPr>
          <w:rFonts w:hint="eastAsia"/>
          <w:color w:val="auto"/>
          <w:lang w:val="en-US" w:eastAsia="zh-CN"/>
        </w:rPr>
        <w:t>围挡底边封闭并设置防溢沉淀井，不得有泥浆外漏，实现工地周边100%围挡。</w:t>
      </w:r>
      <w:r>
        <w:rPr>
          <w:color w:val="auto"/>
        </w:rPr>
        <w:t>施工尽量从南往北、由西向东进行施工，避免后期施工对敏感点的影响。</w:t>
      </w:r>
    </w:p>
    <w:p>
      <w:pPr>
        <w:spacing w:line="480" w:lineRule="exact"/>
        <w:ind w:firstLine="480"/>
        <w:rPr>
          <w:color w:val="auto"/>
        </w:rPr>
      </w:pPr>
      <w:r>
        <w:rPr>
          <w:color w:val="auto"/>
        </w:rPr>
        <w:t>（2）施工期间，建筑结构脚手架外侧设置密目式安全立网</w:t>
      </w:r>
      <w:r>
        <w:rPr>
          <w:rFonts w:hint="eastAsia"/>
          <w:color w:val="auto"/>
          <w:lang w:eastAsia="zh-CN"/>
        </w:rPr>
        <w:t>，</w:t>
      </w:r>
      <w:r>
        <w:rPr>
          <w:rFonts w:hint="eastAsia"/>
          <w:color w:val="auto"/>
          <w:lang w:val="en-US" w:eastAsia="zh-CN"/>
        </w:rPr>
        <w:t>并保持严密整洁</w:t>
      </w:r>
      <w:r>
        <w:rPr>
          <w:rFonts w:hint="eastAsia" w:cs="宋体"/>
          <w:color w:val="auto"/>
          <w:lang w:eastAsia="zh-CN"/>
        </w:rPr>
        <w:t>；</w:t>
      </w:r>
      <w:r>
        <w:rPr>
          <w:color w:val="auto"/>
        </w:rPr>
        <w:t>进出工地的物料、渣土、垃圾运输车辆的防尘措施、运输路线和时间。进出工地的物料、渣土、垃圾运输车辆，应尽可能采用密闭车斗，并保证物料不遗撒外漏。若无密闭车斗，物料、垃圾、渣土的装载高度不得超过车辆槽帮上沿，车斗应用苫布遮盖严实。苫布边缘至少要遮住槽帮上沿以下15厘米，保证物料、渣土、垃圾等不露出。车辆应按照批准的路线和时间进行物料、渣土、垃圾的运输。</w:t>
      </w:r>
    </w:p>
    <w:p>
      <w:pPr>
        <w:spacing w:line="480" w:lineRule="exact"/>
        <w:ind w:firstLine="480"/>
        <w:rPr>
          <w:color w:val="auto"/>
        </w:rPr>
      </w:pPr>
      <w:r>
        <w:rPr>
          <w:color w:val="auto"/>
        </w:rPr>
        <w:t xml:space="preserve">（3）施工工地内生活区、办公区、作业区加工场、材料堆场地面、车行道路应当进行硬化等防尘处理，施工工地内及工地出口至铺装道路间的车行道路，应采取铺设钢板措施，并保持路面清洁，防止机动车扬尘。 </w:t>
      </w:r>
    </w:p>
    <w:p>
      <w:pPr>
        <w:spacing w:line="480" w:lineRule="exact"/>
        <w:ind w:firstLine="480"/>
        <w:rPr>
          <w:color w:val="auto"/>
        </w:rPr>
      </w:pPr>
      <w:r>
        <w:rPr>
          <w:color w:val="auto"/>
        </w:rPr>
        <w:t>（4）气象预报风力达到5级以上的天气，不得进行土方挖填和转运、爆破、房屋或者其他建（构）筑物拆除等作业</w:t>
      </w:r>
      <w:r>
        <w:rPr>
          <w:rFonts w:hint="eastAsia" w:cs="宋体"/>
          <w:color w:val="auto"/>
          <w:lang w:eastAsia="zh-CN"/>
        </w:rPr>
        <w:t>；</w:t>
      </w:r>
      <w:r>
        <w:rPr>
          <w:color w:val="auto"/>
        </w:rPr>
        <w:t>施工工地道路积尘可采用吸尘或水冲洗的方法清洁施工工地道路积尘，不得在未实施洒水抑尘情况下直接清扫。</w:t>
      </w:r>
    </w:p>
    <w:p>
      <w:pPr>
        <w:spacing w:line="480" w:lineRule="exact"/>
        <w:ind w:firstLine="480"/>
        <w:rPr>
          <w:color w:val="auto"/>
        </w:rPr>
      </w:pPr>
      <w:r>
        <w:rPr>
          <w:color w:val="auto"/>
        </w:rPr>
        <w:t>（5）建筑垃圾等无法在48小时内清运完毕的，应当在施工工地内设置临时堆放场</w:t>
      </w:r>
      <w:r>
        <w:rPr>
          <w:rFonts w:hint="eastAsia" w:cs="宋体"/>
          <w:color w:val="auto"/>
          <w:lang w:eastAsia="zh-CN"/>
        </w:rPr>
        <w:t>；</w:t>
      </w:r>
      <w:r>
        <w:rPr>
          <w:color w:val="auto"/>
        </w:rPr>
        <w:t>临时堆放场应当采取围挡、遮盖等防尘措施，各工地应有专人负责逸散性材料、垃圾、渣土、裸地等密闭、覆盖、洒水作业以及车辆清洗作业等，并记录扬尘控制措施的实施情况。</w:t>
      </w:r>
    </w:p>
    <w:p>
      <w:pPr>
        <w:spacing w:line="480" w:lineRule="exact"/>
        <w:ind w:firstLine="480"/>
        <w:rPr>
          <w:color w:val="auto"/>
        </w:rPr>
      </w:pPr>
      <w:r>
        <w:rPr>
          <w:color w:val="auto"/>
        </w:rPr>
        <w:t>（6）运输车辆应当在除泥、冲洗干净后方可驶出作业场所，不得使用空气压缩机等易产生扬尘污染的设备清理车辆、设备和物料的尘埃</w:t>
      </w:r>
      <w:r>
        <w:rPr>
          <w:rFonts w:hint="eastAsia" w:cs="宋体"/>
          <w:color w:val="auto"/>
          <w:lang w:eastAsia="zh-CN"/>
        </w:rPr>
        <w:t>；</w:t>
      </w:r>
      <w:r>
        <w:rPr>
          <w:color w:val="auto"/>
        </w:rPr>
        <w:t>有条件的，可以设置冲洗槽、排水沟、沉淀池等设施。</w:t>
      </w:r>
    </w:p>
    <w:p>
      <w:pPr>
        <w:spacing w:line="480" w:lineRule="exact"/>
        <w:ind w:firstLine="480"/>
        <w:rPr>
          <w:color w:val="auto"/>
        </w:rPr>
      </w:pPr>
      <w:r>
        <w:rPr>
          <w:color w:val="auto"/>
        </w:rPr>
        <w:t>（7）在进行产生大量泥浆的施工作业时，应当设置相应的泥浆池、泥浆沟，确保泥浆不外溢，废浆应当密闭运输。</w:t>
      </w:r>
    </w:p>
    <w:p>
      <w:pPr>
        <w:spacing w:line="480" w:lineRule="exact"/>
        <w:ind w:firstLine="480"/>
        <w:rPr>
          <w:color w:val="auto"/>
        </w:rPr>
      </w:pPr>
      <w:r>
        <w:rPr>
          <w:color w:val="auto"/>
        </w:rPr>
        <w:t>（8）按照规定使用散装水泥、预拌混凝土和预拌砂浆</w:t>
      </w:r>
      <w:r>
        <w:rPr>
          <w:rFonts w:hint="eastAsia" w:cs="宋体"/>
          <w:color w:val="auto"/>
          <w:lang w:eastAsia="zh-CN"/>
        </w:rPr>
        <w:t>；</w:t>
      </w:r>
      <w:r>
        <w:rPr>
          <w:color w:val="auto"/>
        </w:rPr>
        <w:t>确需在施工现场搅拌混凝土和砂浆的，应当按照相关规定执行并履行备案手续。</w:t>
      </w:r>
    </w:p>
    <w:p>
      <w:pPr>
        <w:spacing w:line="480" w:lineRule="exact"/>
        <w:ind w:firstLine="480"/>
        <w:rPr>
          <w:color w:val="auto"/>
        </w:rPr>
      </w:pPr>
      <w:r>
        <w:rPr>
          <w:color w:val="auto"/>
        </w:rPr>
        <w:t>（9）项目区施工闲置3个月以上的用地，建设单位应当对其裸露泥地进行临时绿化或者铺装。</w:t>
      </w:r>
    </w:p>
    <w:p>
      <w:pPr>
        <w:spacing w:line="480" w:lineRule="exact"/>
        <w:ind w:firstLine="480"/>
        <w:rPr>
          <w:color w:val="auto"/>
        </w:rPr>
      </w:pPr>
      <w:r>
        <w:rPr>
          <w:color w:val="auto"/>
        </w:rPr>
        <w:t>（10）堆放水泥或者其他易飞扬的细颗粒建筑材料，应当密闭存放或者采取覆盖等措施。</w:t>
      </w:r>
    </w:p>
    <w:p>
      <w:pPr>
        <w:spacing w:line="480" w:lineRule="exact"/>
        <w:ind w:firstLine="480"/>
        <w:rPr>
          <w:color w:val="auto"/>
        </w:rPr>
      </w:pPr>
      <w:r>
        <w:rPr>
          <w:color w:val="auto"/>
        </w:rPr>
        <w:t>（11）建（构）筑物内施工材料及垃圾清运，应当采用容器或者管道运输，禁止凌空抛撒。</w:t>
      </w:r>
    </w:p>
    <w:p>
      <w:pPr>
        <w:spacing w:line="480" w:lineRule="exact"/>
        <w:ind w:firstLine="480"/>
        <w:rPr>
          <w:color w:val="auto"/>
        </w:rPr>
      </w:pPr>
      <w:r>
        <w:rPr>
          <w:color w:val="auto"/>
        </w:rPr>
        <w:t>（12）施工单位保洁责任区的范围应根据施工扬尘影响况确定，一般设在施工工地周围20m范围内。</w:t>
      </w:r>
    </w:p>
    <w:p>
      <w:pPr>
        <w:spacing w:line="480" w:lineRule="exact"/>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13</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严格施工扬尘监管，因地制宜稳步发展装配式建筑。施工工地要做到工地周边100%围挡、易扬尘物料堆放100%覆盖、土方开挖100%湿法作业、路面100%硬化、出入车辆100%清洗、渣土车辆100%密闭运输。</w:t>
      </w:r>
    </w:p>
    <w:p>
      <w:pPr>
        <w:spacing w:line="480" w:lineRule="exact"/>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（14）施工现场安装在线监测和视频监控设备，并与当地有关主管部门联网。</w:t>
      </w:r>
    </w:p>
    <w:p>
      <w:pPr>
        <w:spacing w:line="480" w:lineRule="exact"/>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（15）施工现场设置洒水降尘设施，安排专人定时洒水降尘。</w:t>
      </w:r>
    </w:p>
    <w:p>
      <w:pPr>
        <w:spacing w:line="480" w:lineRule="exact"/>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（16）拆除工程工地的围挡应当使用金属或硬质板材材料，严禁使用各类砌筑墙体</w:t>
      </w:r>
      <w:r>
        <w:rPr>
          <w:rFonts w:hint="eastAsia" w:ascii="Times New Roman" w:hAnsi="Times New Roman" w:eastAsia="宋体" w:cs="宋体"/>
          <w:color w:val="auto"/>
          <w:lang w:val="en-US" w:eastAsia="zh-CN"/>
        </w:rPr>
        <w:t>；</w:t>
      </w:r>
      <w:r>
        <w:rPr>
          <w:rFonts w:hint="eastAsia" w:ascii="Times New Roman" w:hAnsi="Times New Roman" w:eastAsia="宋体" w:cs="Times New Roman"/>
          <w:color w:val="auto"/>
          <w:lang w:val="en-US" w:eastAsia="zh-CN"/>
        </w:rPr>
        <w:t>拆除作业实行持续加压洒水或者喷淋方式作业</w:t>
      </w:r>
      <w:r>
        <w:rPr>
          <w:rFonts w:hint="eastAsia" w:ascii="Times New Roman" w:hAnsi="Times New Roman" w:eastAsia="宋体" w:cs="宋体"/>
          <w:color w:val="auto"/>
          <w:lang w:val="en-US" w:eastAsia="zh-CN"/>
        </w:rPr>
        <w:t>；</w:t>
      </w:r>
      <w:r>
        <w:rPr>
          <w:rFonts w:hint="eastAsia" w:ascii="Times New Roman" w:hAnsi="Times New Roman" w:eastAsia="宋体" w:cs="Times New Roman"/>
          <w:color w:val="auto"/>
          <w:lang w:val="en-US" w:eastAsia="zh-CN"/>
        </w:rPr>
        <w:t>拆除作业后，场地闲置1个月以上的，用地单位对拆除后的裸露地面采取绿化等防尘措施。</w:t>
      </w:r>
    </w:p>
    <w:p>
      <w:pPr>
        <w:spacing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通过采取以上措施后，可以有效降低扬尘对周边环境的影响，</w:t>
      </w:r>
      <w:r>
        <w:rPr>
          <w:rFonts w:hint="eastAsia" w:ascii="Times New Roman" w:hAnsi="Times New Roman" w:eastAsia="宋体" w:cs="Times New Roman"/>
          <w:color w:val="auto"/>
          <w:lang w:val="en-US" w:eastAsia="zh-CN"/>
        </w:rPr>
        <w:t>随着施工期结束</w:t>
      </w:r>
      <w:r>
        <w:rPr>
          <w:rFonts w:hint="default" w:ascii="Times New Roman" w:hAnsi="Times New Roman" w:eastAsia="宋体" w:cs="Times New Roman"/>
          <w:color w:val="auto"/>
          <w:lang w:val="en-US" w:eastAsia="zh-CN"/>
        </w:rPr>
        <w:t>，粉尘污染也基本消失。</w:t>
      </w:r>
    </w:p>
    <w:p>
      <w:pPr>
        <w:pStyle w:val="5"/>
        <w:numPr>
          <w:ilvl w:val="0"/>
          <w:numId w:val="0"/>
        </w:numPr>
        <w:spacing w:before="120"/>
        <w:ind w:leftChars="0"/>
        <w:rPr>
          <w:rFonts w:hint="eastAsia"/>
          <w:color w:val="auto"/>
        </w:rPr>
      </w:pPr>
      <w:r>
        <w:rPr>
          <w:rFonts w:hint="eastAsia"/>
          <w:color w:val="auto"/>
          <w:lang w:val="en-US" w:eastAsia="zh-CN"/>
        </w:rPr>
        <w:t>6.1.2</w:t>
      </w:r>
      <w:r>
        <w:rPr>
          <w:rFonts w:hint="eastAsia"/>
          <w:color w:val="auto"/>
        </w:rPr>
        <w:t>废水环境污染控制对策分析</w:t>
      </w:r>
    </w:p>
    <w:p>
      <w:pPr>
        <w:ind w:firstLine="480"/>
        <w:rPr>
          <w:rFonts w:hint="eastAsia"/>
          <w:color w:val="auto"/>
        </w:rPr>
      </w:pPr>
      <w:r>
        <w:rPr>
          <w:rFonts w:hint="eastAsia"/>
          <w:color w:val="auto"/>
        </w:rPr>
        <w:t>（1）加强施工期管理，针对施工期污水产生过程不连续、废水种类较单一等特点，可采取相应措施有效控制污水中污染物的产生量。</w:t>
      </w:r>
    </w:p>
    <w:p>
      <w:pPr>
        <w:ind w:firstLine="480"/>
        <w:rPr>
          <w:rFonts w:hint="eastAsia"/>
          <w:color w:val="auto"/>
        </w:rPr>
      </w:pPr>
      <w:r>
        <w:rPr>
          <w:rFonts w:hint="eastAsia"/>
          <w:color w:val="auto"/>
        </w:rPr>
        <w:t>（2）施工现场建造沉淀池、</w:t>
      </w:r>
      <w:r>
        <w:rPr>
          <w:rFonts w:hint="eastAsia"/>
          <w:color w:val="auto"/>
          <w:lang w:eastAsia="zh-CN"/>
        </w:rPr>
        <w:t>隔油池</w:t>
      </w:r>
      <w:r>
        <w:rPr>
          <w:rFonts w:hint="eastAsia"/>
          <w:color w:val="auto"/>
        </w:rPr>
        <w:t>等污水临时处理设施，对含油量大的施工机械冲洗水或悬浮物含量高的其他施工废水需经处理后回用于洒水抑尘，砂浆和石灰浆等废液集中处理，干燥后与固废一起处置。</w:t>
      </w:r>
    </w:p>
    <w:p>
      <w:pPr>
        <w:ind w:firstLine="480"/>
        <w:rPr>
          <w:rFonts w:hint="eastAsia"/>
          <w:color w:val="auto"/>
        </w:rPr>
      </w:pPr>
      <w:r>
        <w:rPr>
          <w:rFonts w:hint="eastAsia"/>
          <w:color w:val="auto"/>
        </w:rPr>
        <w:t>（3）水泥、黄沙、石灰类的建筑材料分类集中堆放，并采取一定的防雨淋措施，及时清扫施工运输工程中抛洒的上述建筑材料，以免这些物质随雨水冲刷污染附近水体。</w:t>
      </w:r>
    </w:p>
    <w:p>
      <w:pPr>
        <w:ind w:firstLine="480"/>
        <w:rPr>
          <w:rFonts w:hint="eastAsia"/>
          <w:color w:val="auto"/>
        </w:rPr>
      </w:pPr>
      <w:r>
        <w:rPr>
          <w:rFonts w:hint="eastAsia"/>
          <w:color w:val="auto"/>
        </w:rPr>
        <w:t>（4）安装小流量的设备和器具以较少在施工期间的用水量，另外建议用雨水进行冲洗作业。</w:t>
      </w:r>
    </w:p>
    <w:p>
      <w:pPr>
        <w:ind w:firstLine="480"/>
        <w:rPr>
          <w:rFonts w:hint="eastAsia"/>
          <w:color w:val="auto"/>
        </w:rPr>
      </w:pPr>
      <w:r>
        <w:rPr>
          <w:rFonts w:hint="eastAsia"/>
          <w:color w:val="auto"/>
        </w:rPr>
        <w:t>（5）在工地内重复利用积存的雨水和施工废水。</w:t>
      </w:r>
    </w:p>
    <w:p>
      <w:pPr>
        <w:ind w:firstLine="480"/>
        <w:rPr>
          <w:rFonts w:hint="eastAsia"/>
          <w:color w:val="auto"/>
        </w:rPr>
      </w:pPr>
      <w:r>
        <w:rPr>
          <w:rFonts w:hint="eastAsia"/>
          <w:color w:val="auto"/>
        </w:rPr>
        <w:t>（6）生活污水经现有化粪池处理后纳入</w:t>
      </w:r>
      <w:r>
        <w:rPr>
          <w:rFonts w:hint="eastAsia"/>
          <w:color w:val="auto"/>
          <w:lang w:eastAsia="zh-CN"/>
        </w:rPr>
        <w:t>十五里河污水处理厂</w:t>
      </w:r>
      <w:r>
        <w:rPr>
          <w:rFonts w:hint="eastAsia"/>
          <w:color w:val="auto"/>
        </w:rPr>
        <w:t>。</w:t>
      </w:r>
    </w:p>
    <w:p>
      <w:pPr>
        <w:pStyle w:val="5"/>
        <w:numPr>
          <w:ilvl w:val="0"/>
          <w:numId w:val="0"/>
        </w:numPr>
        <w:spacing w:before="120"/>
        <w:ind w:leftChars="0"/>
        <w:rPr>
          <w:rFonts w:hint="eastAsia"/>
          <w:color w:val="auto"/>
        </w:rPr>
      </w:pPr>
      <w:r>
        <w:rPr>
          <w:rFonts w:hint="eastAsia"/>
          <w:color w:val="auto"/>
          <w:lang w:val="en-US" w:eastAsia="zh-CN"/>
        </w:rPr>
        <w:t>6.1.3</w:t>
      </w:r>
      <w:r>
        <w:rPr>
          <w:rFonts w:hint="eastAsia"/>
          <w:color w:val="auto"/>
        </w:rPr>
        <w:t>噪声环境污染控制对策分析</w:t>
      </w:r>
    </w:p>
    <w:p>
      <w:pPr>
        <w:ind w:firstLine="480"/>
        <w:rPr>
          <w:color w:val="auto"/>
        </w:rPr>
      </w:pPr>
      <w:r>
        <w:rPr>
          <w:color w:val="auto"/>
          <w:kern w:val="0"/>
        </w:rPr>
        <w:t>项目施工期噪声，尤其在</w:t>
      </w:r>
      <w:r>
        <w:rPr>
          <w:rFonts w:hint="eastAsia"/>
          <w:color w:val="auto"/>
          <w:kern w:val="0"/>
        </w:rPr>
        <w:t>基础</w:t>
      </w:r>
      <w:r>
        <w:rPr>
          <w:color w:val="auto"/>
          <w:kern w:val="0"/>
        </w:rPr>
        <w:t>打桩阶段施工噪声对</w:t>
      </w:r>
      <w:r>
        <w:rPr>
          <w:rFonts w:hint="eastAsia"/>
          <w:color w:val="auto"/>
          <w:kern w:val="0"/>
        </w:rPr>
        <w:t>区域声环境</w:t>
      </w:r>
      <w:r>
        <w:rPr>
          <w:color w:val="auto"/>
          <w:kern w:val="0"/>
        </w:rPr>
        <w:t>影响较大</w:t>
      </w:r>
      <w:r>
        <w:rPr>
          <w:rFonts w:hint="eastAsia"/>
          <w:color w:val="auto"/>
          <w:kern w:val="0"/>
        </w:rPr>
        <w:t>。</w:t>
      </w:r>
      <w:r>
        <w:rPr>
          <w:rFonts w:hAnsi="宋体"/>
          <w:color w:val="auto"/>
        </w:rPr>
        <w:t>因此，</w:t>
      </w:r>
      <w:r>
        <w:rPr>
          <w:rFonts w:hint="eastAsia" w:hAnsi="宋体"/>
          <w:color w:val="auto"/>
        </w:rPr>
        <w:t>要求项目施工期建设单位采取措施，减少施工噪声对四周敏感目标的影响</w:t>
      </w:r>
      <w:r>
        <w:rPr>
          <w:rFonts w:hAnsi="宋体"/>
          <w:color w:val="auto"/>
        </w:rPr>
        <w:t>。</w:t>
      </w:r>
      <w:r>
        <w:rPr>
          <w:rFonts w:hint="eastAsia" w:hAnsi="宋体"/>
          <w:color w:val="auto"/>
        </w:rPr>
        <w:t>具体如下：</w:t>
      </w:r>
    </w:p>
    <w:p>
      <w:pPr>
        <w:ind w:firstLine="480"/>
        <w:rPr>
          <w:color w:val="auto"/>
        </w:rPr>
      </w:pPr>
      <w:r>
        <w:rPr>
          <w:color w:val="auto"/>
        </w:rPr>
        <w:t>（1）</w:t>
      </w:r>
      <w:r>
        <w:rPr>
          <w:rFonts w:hint="eastAsia"/>
          <w:color w:val="auto"/>
        </w:rPr>
        <w:t>选用符合国家有关标准的施工机器和运输车辆、尽量选择低噪声的施工机械和工艺、振动较大的固定机械应加减震基座，同时加强各类施工设备的维护和保养，保持良好的运转，以便从根本上降低噪声源强。</w:t>
      </w:r>
    </w:p>
    <w:p>
      <w:pPr>
        <w:ind w:firstLine="480"/>
        <w:rPr>
          <w:rFonts w:hint="eastAsia" w:eastAsia="宋体"/>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）尽可能减少清凿工作量，减少镐头机噪声</w:t>
      </w:r>
      <w:r>
        <w:rPr>
          <w:rFonts w:hint="eastAsia" w:cs="宋体"/>
          <w:color w:val="auto"/>
          <w:lang w:eastAsia="zh-CN"/>
        </w:rPr>
        <w:t>；</w:t>
      </w:r>
      <w:r>
        <w:rPr>
          <w:rFonts w:hint="eastAsia"/>
          <w:color w:val="auto"/>
          <w:lang w:eastAsia="zh-CN"/>
        </w:rPr>
        <w:t>施工顺序为从南向北分批次开展，保障施工过程中安全有序、最大程度降低对周边影响</w:t>
      </w:r>
      <w:r>
        <w:rPr>
          <w:rFonts w:hint="eastAsia" w:cs="宋体"/>
          <w:color w:val="auto"/>
          <w:lang w:eastAsia="zh-CN"/>
        </w:rPr>
        <w:t>；</w:t>
      </w:r>
      <w:r>
        <w:rPr>
          <w:rFonts w:hint="eastAsia"/>
          <w:color w:val="auto"/>
          <w:lang w:eastAsia="zh-CN"/>
        </w:rPr>
        <w:t>禁止夜间施工。</w:t>
      </w:r>
    </w:p>
    <w:p>
      <w:pPr>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在施工过程中，施工单位应严格执行《</w:t>
      </w:r>
      <w:r>
        <w:rPr>
          <w:rFonts w:hint="eastAsia"/>
          <w:bCs/>
          <w:color w:val="auto"/>
        </w:rPr>
        <w:t>建筑施工场界环境噪声排放标准</w:t>
      </w:r>
      <w:r>
        <w:rPr>
          <w:color w:val="auto"/>
        </w:rPr>
        <w:t>》（GB12523-</w:t>
      </w:r>
      <w:r>
        <w:rPr>
          <w:rFonts w:hint="eastAsia"/>
          <w:color w:val="auto"/>
        </w:rPr>
        <w:t>2011</w:t>
      </w:r>
      <w:r>
        <w:rPr>
          <w:color w:val="auto"/>
        </w:rPr>
        <w:t>）中的有关规定，避免施工扰民事件的发生。</w:t>
      </w:r>
    </w:p>
    <w:p>
      <w:pPr>
        <w:ind w:firstLine="480"/>
        <w:rPr>
          <w:rFonts w:hint="eastAsia"/>
          <w:color w:val="auto"/>
        </w:rPr>
      </w:pPr>
      <w:r>
        <w:rPr>
          <w:color w:val="auto"/>
        </w:rPr>
        <w:t>（</w:t>
      </w:r>
      <w:r>
        <w:rPr>
          <w:rFonts w:hint="eastAsia"/>
          <w:color w:val="auto"/>
          <w:lang w:val="en-US" w:eastAsia="zh-CN"/>
        </w:rPr>
        <w:t>4</w:t>
      </w:r>
      <w:r>
        <w:rPr>
          <w:color w:val="auto"/>
        </w:rPr>
        <w:t>）从声源上控制：施工机械产生的噪声往往具有突发、无规则、不连续和高强度等特点，施工单位应采取合理安排施工机械操作时间的方法加以缓解，并减少同时作业的高噪施工机械数量，尽可能减轻声源叠加影响。</w:t>
      </w:r>
      <w:r>
        <w:rPr>
          <w:rFonts w:hint="eastAsia"/>
          <w:color w:val="auto"/>
        </w:rPr>
        <w:t>噪声机械设备尽量远离场界，特别是在结构施工阶段，强噪声机械设备应远离场界。</w:t>
      </w:r>
    </w:p>
    <w:p>
      <w:pPr>
        <w:ind w:firstLine="480"/>
        <w:rPr>
          <w:rFonts w:hint="eastAsia"/>
          <w:color w:val="auto"/>
        </w:rPr>
      </w:pPr>
      <w:r>
        <w:rPr>
          <w:color w:val="auto"/>
        </w:rPr>
        <w:t>建设单位在与施工单位签订合同时，应要求其使用的主要机械设备为低噪声机械设备，例如选液压机械取代燃油机械。同时在施工过程中施工单位应设专人对设备进行定期保养和维护，并负责对现场工作人员进行培训，严格按操作规范使用各类机械</w:t>
      </w:r>
      <w:r>
        <w:rPr>
          <w:rFonts w:hint="eastAsia"/>
          <w:color w:val="auto"/>
        </w:rPr>
        <w:t>。</w:t>
      </w:r>
    </w:p>
    <w:p>
      <w:pPr>
        <w:ind w:firstLine="480"/>
        <w:rPr>
          <w:rFonts w:hint="eastAsia" w:eastAsia="宋体"/>
          <w:color w:val="auto"/>
          <w:lang w:eastAsia="zh-CN"/>
        </w:rPr>
      </w:pPr>
      <w:r>
        <w:rPr>
          <w:rFonts w:hint="eastAsia"/>
          <w:color w:val="auto"/>
        </w:rPr>
        <w:t>（</w:t>
      </w:r>
      <w:r>
        <w:rPr>
          <w:rFonts w:hint="eastAsia"/>
          <w:color w:val="auto"/>
          <w:lang w:val="en-US" w:eastAsia="zh-CN"/>
        </w:rPr>
        <w:t>5</w:t>
      </w:r>
      <w:r>
        <w:rPr>
          <w:rFonts w:hint="eastAsia"/>
          <w:color w:val="auto"/>
        </w:rPr>
        <w:t>）</w:t>
      </w:r>
      <w:r>
        <w:rPr>
          <w:color w:val="auto"/>
        </w:rPr>
        <w:t>合理安排施工时间：施工单位应合理安排好施工时间，除工程必须，并取得环保部门批准外，</w:t>
      </w:r>
      <w:r>
        <w:rPr>
          <w:rFonts w:hint="eastAsia"/>
          <w:color w:val="auto"/>
        </w:rPr>
        <w:t>《安徽省环境保护条例》明确规定：城市市区范围内禁止</w:t>
      </w:r>
      <w:r>
        <w:rPr>
          <w:color w:val="auto"/>
        </w:rPr>
        <w:t>午间（中午</w:t>
      </w:r>
      <w:r>
        <w:rPr>
          <w:rFonts w:hint="eastAsia"/>
          <w:color w:val="auto"/>
        </w:rPr>
        <w:t>12</w:t>
      </w:r>
      <w:r>
        <w:rPr>
          <w:color w:val="auto"/>
        </w:rPr>
        <w:t>点至</w:t>
      </w:r>
      <w:r>
        <w:rPr>
          <w:rFonts w:hint="eastAsia"/>
          <w:color w:val="auto"/>
        </w:rPr>
        <w:t>14</w:t>
      </w:r>
      <w:r>
        <w:rPr>
          <w:color w:val="auto"/>
        </w:rPr>
        <w:t>点）和夜间（晚</w:t>
      </w:r>
      <w:r>
        <w:rPr>
          <w:rFonts w:hint="eastAsia"/>
          <w:color w:val="auto"/>
        </w:rPr>
        <w:t>22</w:t>
      </w:r>
      <w:r>
        <w:rPr>
          <w:color w:val="auto"/>
        </w:rPr>
        <w:t>点至晨</w:t>
      </w:r>
      <w:r>
        <w:rPr>
          <w:rFonts w:hint="eastAsia"/>
          <w:color w:val="auto"/>
        </w:rPr>
        <w:t>6</w:t>
      </w:r>
      <w:r>
        <w:rPr>
          <w:color w:val="auto"/>
        </w:rPr>
        <w:t>点）在噪声敏感建筑物集中区域内进行产生环境噪声污染</w:t>
      </w:r>
      <w:r>
        <w:rPr>
          <w:rFonts w:hint="eastAsia"/>
          <w:color w:val="auto"/>
        </w:rPr>
        <w:t>的活动</w:t>
      </w:r>
      <w:r>
        <w:rPr>
          <w:rFonts w:hint="eastAsia" w:cs="宋体"/>
          <w:color w:val="auto"/>
          <w:lang w:eastAsia="zh-CN"/>
        </w:rPr>
        <w:t>；</w:t>
      </w:r>
      <w:r>
        <w:rPr>
          <w:rFonts w:hint="eastAsia"/>
          <w:color w:val="auto"/>
        </w:rPr>
        <w:t>禁止在</w:t>
      </w:r>
      <w:r>
        <w:rPr>
          <w:color w:val="auto"/>
        </w:rPr>
        <w:t>中考、高考等特殊期间</w:t>
      </w:r>
      <w:r>
        <w:rPr>
          <w:rFonts w:hint="eastAsia"/>
          <w:color w:val="auto"/>
        </w:rPr>
        <w:t>，建设单位因任何理由</w:t>
      </w:r>
      <w:r>
        <w:rPr>
          <w:color w:val="auto"/>
        </w:rPr>
        <w:t>违反所在地环境保护行政主管部门的限制性规定，进行产生环境噪声污染活动</w:t>
      </w:r>
      <w:r>
        <w:rPr>
          <w:rFonts w:hint="eastAsia" w:cs="宋体"/>
          <w:color w:val="auto"/>
          <w:lang w:eastAsia="zh-CN"/>
        </w:rPr>
        <w:t>；</w:t>
      </w:r>
      <w:r>
        <w:rPr>
          <w:color w:val="auto"/>
        </w:rPr>
        <w:t>在城市市区噪声敏感建筑物集中区域内，因生产工艺等特殊需要必须连续作业，并产生环境噪声污染的建筑施工，施工单位应当持有县级以上人民政府或者有关主管部门的证明，提前2日公告附近居民，并告知所在地市、县人民政府环境保护行政主管部门</w:t>
      </w:r>
      <w:r>
        <w:rPr>
          <w:rFonts w:hint="eastAsia"/>
          <w:color w:val="auto"/>
        </w:rPr>
        <w:t>，</w:t>
      </w:r>
      <w:r>
        <w:rPr>
          <w:color w:val="auto"/>
        </w:rPr>
        <w:t>尽量缩短工期，避免造成长期影响</w:t>
      </w:r>
      <w:r>
        <w:rPr>
          <w:rFonts w:hint="eastAsia" w:cs="宋体"/>
          <w:color w:val="auto"/>
          <w:lang w:eastAsia="zh-CN"/>
        </w:rPr>
        <w:t>；</w:t>
      </w:r>
    </w:p>
    <w:p>
      <w:pPr>
        <w:ind w:firstLine="480"/>
        <w:rPr>
          <w:rFonts w:hint="eastAsia"/>
          <w:color w:val="auto"/>
        </w:rPr>
      </w:pPr>
      <w:r>
        <w:rPr>
          <w:color w:val="auto"/>
        </w:rPr>
        <w:t>（</w:t>
      </w:r>
      <w:r>
        <w:rPr>
          <w:rFonts w:hint="eastAsia"/>
          <w:color w:val="auto"/>
          <w:lang w:val="en-US" w:eastAsia="zh-CN"/>
        </w:rPr>
        <w:t>6</w:t>
      </w:r>
      <w:r>
        <w:rPr>
          <w:color w:val="auto"/>
        </w:rPr>
        <w:t>）采用距离防护措施：距离防护措施是噪声控制的最方便、简单的方式，噪声衰减量随距离的增大而增大，至声源10m处噪声衰减20dB（A），50m处衰减约34dB（A），100m处衰减约40dB（A），因此在不影响施工情况下将噪声设备尽量不集中安排，并将其</w:t>
      </w:r>
      <w:r>
        <w:rPr>
          <w:rFonts w:hint="eastAsia"/>
          <w:color w:val="auto"/>
        </w:rPr>
        <w:t>施工点</w:t>
      </w:r>
      <w:r>
        <w:rPr>
          <w:color w:val="auto"/>
        </w:rPr>
        <w:t>移至</w:t>
      </w:r>
      <w:r>
        <w:rPr>
          <w:rFonts w:hint="eastAsia"/>
          <w:color w:val="auto"/>
        </w:rPr>
        <w:t>建设地块中部，远离</w:t>
      </w:r>
      <w:r>
        <w:rPr>
          <w:color w:val="auto"/>
        </w:rPr>
        <w:t>距离居民住宅等敏感点较远处</w:t>
      </w:r>
      <w:r>
        <w:rPr>
          <w:rFonts w:hint="eastAsia"/>
          <w:color w:val="auto"/>
        </w:rPr>
        <w:t>，施工点尽量远离南场界，确保</w:t>
      </w:r>
      <w:r>
        <w:rPr>
          <w:color w:val="auto"/>
        </w:rPr>
        <w:t>附近居民区有一个良好的生活环境，强噪声设备至敏感点距离至少在</w:t>
      </w:r>
      <w:r>
        <w:rPr>
          <w:rFonts w:hint="eastAsia"/>
          <w:color w:val="auto"/>
        </w:rPr>
        <w:t>5</w:t>
      </w:r>
      <w:r>
        <w:rPr>
          <w:color w:val="auto"/>
        </w:rPr>
        <w:t>0m以外，可有效地减弱施工噪声对周围居民的影响。同时对固定的机械设备尽量入棚操作</w:t>
      </w:r>
      <w:r>
        <w:rPr>
          <w:rFonts w:hint="eastAsia"/>
          <w:color w:val="auto"/>
        </w:rPr>
        <w:t>。</w:t>
      </w:r>
    </w:p>
    <w:p>
      <w:pPr>
        <w:ind w:firstLine="480"/>
        <w:rPr>
          <w:rFonts w:hint="eastAsia"/>
          <w:color w:val="auto"/>
        </w:rPr>
      </w:pPr>
      <w:r>
        <w:rPr>
          <w:rFonts w:hint="eastAsia"/>
          <w:color w:val="auto"/>
        </w:rPr>
        <w:t>（5）</w:t>
      </w:r>
      <w:r>
        <w:rPr>
          <w:color w:val="auto"/>
        </w:rPr>
        <w:t>采用声屏障措施：在施工场地</w:t>
      </w:r>
      <w:r>
        <w:rPr>
          <w:rFonts w:hint="eastAsia"/>
          <w:color w:val="auto"/>
        </w:rPr>
        <w:t>靠近</w:t>
      </w:r>
      <w:r>
        <w:rPr>
          <w:color w:val="auto"/>
        </w:rPr>
        <w:t>敏感点的地方</w:t>
      </w:r>
      <w:r>
        <w:rPr>
          <w:rFonts w:hint="eastAsia"/>
          <w:color w:val="auto"/>
          <w:lang w:eastAsia="zh-CN"/>
        </w:rPr>
        <w:t>（招商雍华府、安徽省立医院老年医学康复中心</w:t>
      </w:r>
      <w:r>
        <w:rPr>
          <w:rFonts w:hint="eastAsia"/>
          <w:color w:val="auto"/>
          <w:lang w:val="en-US" w:eastAsia="zh-CN"/>
        </w:rPr>
        <w:t>等</w:t>
      </w:r>
      <w:r>
        <w:rPr>
          <w:rFonts w:hint="eastAsia"/>
          <w:color w:val="auto"/>
          <w:lang w:eastAsia="zh-CN"/>
        </w:rPr>
        <w:t>）</w:t>
      </w:r>
      <w:r>
        <w:rPr>
          <w:color w:val="auto"/>
        </w:rPr>
        <w:t>设立临时声屏障</w:t>
      </w:r>
      <w:r>
        <w:rPr>
          <w:rFonts w:hint="eastAsia" w:cs="宋体"/>
          <w:color w:val="auto"/>
          <w:lang w:eastAsia="zh-CN"/>
        </w:rPr>
        <w:t>；</w:t>
      </w:r>
      <w:r>
        <w:rPr>
          <w:color w:val="auto"/>
        </w:rPr>
        <w:t>在施工的结构阶段和装修阶段，对建筑物的外部也应采用围挡，以减轻设备噪声对周围环境的影响</w:t>
      </w:r>
      <w:r>
        <w:rPr>
          <w:rFonts w:hint="eastAsia"/>
          <w:color w:val="auto"/>
        </w:rPr>
        <w:t>。</w:t>
      </w:r>
    </w:p>
    <w:p>
      <w:pPr>
        <w:ind w:firstLine="480"/>
        <w:rPr>
          <w:color w:val="auto"/>
        </w:rPr>
      </w:pPr>
      <w:r>
        <w:rPr>
          <w:rFonts w:hint="eastAsia"/>
          <w:color w:val="auto"/>
        </w:rPr>
        <w:t>（6）</w:t>
      </w:r>
      <w:r>
        <w:rPr>
          <w:color w:val="auto"/>
        </w:rPr>
        <w:t>施工场地的施工车辆出入地点应尽量远离敏感点，车辆出入现场时应低速、禁鸣</w:t>
      </w:r>
      <w:r>
        <w:rPr>
          <w:rFonts w:hint="eastAsia"/>
          <w:color w:val="auto"/>
        </w:rPr>
        <w:t>，</w:t>
      </w:r>
      <w:r>
        <w:rPr>
          <w:color w:val="auto"/>
        </w:rPr>
        <w:t>对于施工期间的材料运输、敲击、人的喊叫等噪声源，要求施工单位文明施工、加强有效管理以缓解其影响。</w:t>
      </w:r>
    </w:p>
    <w:p>
      <w:pPr>
        <w:ind w:firstLine="480"/>
        <w:rPr>
          <w:color w:val="auto"/>
        </w:rPr>
      </w:pPr>
      <w:r>
        <w:rPr>
          <w:color w:val="auto"/>
        </w:rPr>
        <w:t>（</w:t>
      </w:r>
      <w:r>
        <w:rPr>
          <w:rFonts w:hint="eastAsia"/>
          <w:color w:val="auto"/>
        </w:rPr>
        <w:t>7</w:t>
      </w:r>
      <w:r>
        <w:rPr>
          <w:color w:val="auto"/>
        </w:rPr>
        <w:t>）要求业主单位在施工现场标明投诉电话，一旦接到投诉，业主单位应及时与当地环保部门取得联系，以便及时处理环境纠纷。</w:t>
      </w:r>
    </w:p>
    <w:p>
      <w:pPr>
        <w:ind w:firstLine="480"/>
        <w:rPr>
          <w:rFonts w:hint="default"/>
          <w:color w:val="auto"/>
          <w:lang w:val="en-US"/>
        </w:rPr>
      </w:pPr>
      <w:r>
        <w:rPr>
          <w:rFonts w:hint="eastAsia"/>
          <w:color w:val="auto"/>
          <w:lang w:val="en-US" w:eastAsia="zh-CN"/>
        </w:rPr>
        <w:t>施工期噪声较大，但是施工期噪声是暂时性的，施工结束后随即消除。</w:t>
      </w:r>
      <w:r>
        <w:rPr>
          <w:rFonts w:hint="eastAsia"/>
          <w:color w:val="auto"/>
        </w:rPr>
        <w:t>在严格按照以上噪声防治措施的基础上，环评认为建设项目施工期的影响，特别是后期工程施工期对敏感目标的影响将得到有效削减。</w:t>
      </w:r>
      <w:r>
        <w:rPr>
          <w:rFonts w:hint="eastAsia"/>
          <w:color w:val="auto"/>
          <w:lang w:val="en-US" w:eastAsia="zh-CN"/>
        </w:rPr>
        <w:t>综上，施工期落实环评提出的各项减噪措施，噪声的影响是可控的且暂时的。</w:t>
      </w:r>
    </w:p>
    <w:p>
      <w:pPr>
        <w:pStyle w:val="5"/>
        <w:numPr>
          <w:ilvl w:val="0"/>
          <w:numId w:val="0"/>
        </w:numPr>
        <w:spacing w:before="120"/>
        <w:ind w:leftChars="0"/>
        <w:rPr>
          <w:rFonts w:hint="eastAsia"/>
          <w:color w:val="auto"/>
        </w:rPr>
      </w:pPr>
      <w:r>
        <w:rPr>
          <w:rFonts w:hint="eastAsia"/>
          <w:color w:val="auto"/>
          <w:lang w:val="en-US" w:eastAsia="zh-CN"/>
        </w:rPr>
        <w:t>6.1.4</w:t>
      </w:r>
      <w:r>
        <w:rPr>
          <w:rFonts w:hint="eastAsia"/>
          <w:color w:val="auto"/>
        </w:rPr>
        <w:t>固废环境污染控制对策分析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（1）施工人员居住区的生活垃圾要实行袋装化，每天由清洁员清理，集中送至指定堆放点。</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（2）尽量减少建筑材料在运输、装卸、施工过程中的跑、冒、滴、漏，建筑垃圾在指定的堆放点存放，并及时送城市垃圾填埋场。</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3）在工地废料被运送到合适的市场去以前，需要制定一个堆放、分类回收和贮存材料的计划。一般而言，主要是针对钢材、金属、砌块、混凝土、未加工木料，瓦楞板纸和沥青等可再生材料进行现场分类和收集。</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w:t>
      </w:r>
      <w:r>
        <w:rPr>
          <w:color w:val="auto"/>
        </w:rPr>
        <w:t>4</w:t>
      </w:r>
      <w:r>
        <w:rPr>
          <w:rFonts w:hint="eastAsia"/>
          <w:color w:val="auto"/>
        </w:rPr>
        <w:t>）施工渣土要求建设单位和施工单位按照有关规定首先向市容环境卫生主管部门提出申请，并根据指定地点、运输路线、时间运行处置。</w:t>
      </w:r>
    </w:p>
    <w:p>
      <w:pPr>
        <w:pStyle w:val="5"/>
        <w:numPr>
          <w:ilvl w:val="0"/>
          <w:numId w:val="0"/>
        </w:numPr>
        <w:spacing w:before="120"/>
        <w:ind w:leftChars="0"/>
        <w:rPr>
          <w:rFonts w:hint="eastAsia"/>
          <w:color w:val="auto"/>
        </w:rPr>
      </w:pPr>
      <w:r>
        <w:rPr>
          <w:rFonts w:hint="eastAsia"/>
          <w:color w:val="auto"/>
          <w:lang w:val="en-US" w:eastAsia="zh-CN"/>
        </w:rPr>
        <w:t>6.1.5</w:t>
      </w:r>
      <w:r>
        <w:rPr>
          <w:rFonts w:hint="eastAsia"/>
          <w:color w:val="auto"/>
          <w:lang w:eastAsia="zh-CN"/>
        </w:rPr>
        <w:t>地下水</w:t>
      </w:r>
      <w:r>
        <w:rPr>
          <w:rFonts w:hint="eastAsia"/>
          <w:color w:val="auto"/>
        </w:rPr>
        <w:t>环境污染控制对策分析</w:t>
      </w:r>
    </w:p>
    <w:p>
      <w:pPr>
        <w:spacing w:line="360" w:lineRule="auto"/>
        <w:ind w:firstLine="573"/>
        <w:jc w:val="left"/>
        <w:rPr>
          <w:rFonts w:hint="default" w:ascii="Times New Roman" w:hAnsi="Times New Roman" w:eastAsia="宋体" w:cs="Times New Roman"/>
          <w:bCs/>
          <w:color w:val="auto"/>
        </w:rPr>
      </w:pPr>
      <w:r>
        <w:rPr>
          <w:rFonts w:hint="default" w:ascii="Times New Roman" w:hAnsi="Times New Roman" w:eastAsia="宋体" w:cs="Times New Roman"/>
          <w:bCs/>
          <w:color w:val="auto"/>
        </w:rPr>
        <w:t>①本项目医疗废水中含有粪大肠菌群，为防止废水传输过程中以及处理过程中跑、冒、滴、漏等对医院地下水，土壤的污染，要求污水处理站地面做硬化及防渗处理措施，在医院污水井、污水池、排污沟等处内均设有防渗结构层。</w:t>
      </w:r>
    </w:p>
    <w:p>
      <w:pPr>
        <w:spacing w:line="360" w:lineRule="auto"/>
        <w:ind w:firstLine="573"/>
        <w:jc w:val="left"/>
        <w:rPr>
          <w:rFonts w:hint="default" w:ascii="Times New Roman" w:hAnsi="Times New Roman" w:eastAsia="宋体" w:cs="Times New Roman"/>
          <w:bCs/>
          <w:color w:val="auto"/>
        </w:rPr>
      </w:pPr>
      <w:r>
        <w:rPr>
          <w:rFonts w:hint="default" w:ascii="Times New Roman" w:hAnsi="Times New Roman" w:eastAsia="宋体" w:cs="Times New Roman"/>
          <w:bCs/>
          <w:color w:val="auto"/>
        </w:rPr>
        <w:t>②各特殊废水收集系统、特殊废水预处理池槽等防渗防腐，</w:t>
      </w:r>
      <w:r>
        <w:rPr>
          <w:rFonts w:hint="default" w:ascii="Times New Roman" w:hAnsi="Times New Roman" w:eastAsia="宋体" w:cs="Times New Roman"/>
          <w:color w:val="auto"/>
        </w:rPr>
        <w:t>各构筑物池底和池壁采用混凝土构筑，废水输送构筑物采取严格防渗处理，避免废水跑冒</w:t>
      </w:r>
      <w:r>
        <w:rPr>
          <w:rFonts w:hint="default" w:ascii="Times New Roman" w:hAnsi="Times New Roman" w:eastAsia="宋体" w:cs="Times New Roman"/>
          <w:bCs/>
          <w:color w:val="auto"/>
        </w:rPr>
        <w:t>。</w:t>
      </w:r>
      <w:r>
        <w:rPr>
          <w:rFonts w:hint="default" w:ascii="Times New Roman" w:hAnsi="Times New Roman" w:eastAsia="宋体" w:cs="Times New Roman"/>
          <w:color w:val="auto"/>
        </w:rPr>
        <w:t>各防渗层为至少1米厚粘土层（渗透系数≤10</w:t>
      </w:r>
      <w:r>
        <w:rPr>
          <w:rFonts w:hint="default" w:ascii="Times New Roman" w:hAnsi="Times New Roman" w:eastAsia="宋体" w:cs="Times New Roman"/>
          <w:color w:val="auto"/>
          <w:vertAlign w:val="superscript"/>
        </w:rPr>
        <w:t>-7</w:t>
      </w:r>
      <w:r>
        <w:rPr>
          <w:rFonts w:hint="default" w:ascii="Times New Roman" w:hAnsi="Times New Roman" w:eastAsia="宋体" w:cs="Times New Roman"/>
          <w:color w:val="auto"/>
        </w:rPr>
        <w:t>厘米/秒），或2毫米厚高密度聚乙烯，或至少2毫米厚的其它人工材料，（渗透系数≤10</w:t>
      </w:r>
      <w:r>
        <w:rPr>
          <w:rFonts w:hint="default" w:ascii="Times New Roman" w:hAnsi="Times New Roman" w:eastAsia="宋体" w:cs="Times New Roman"/>
          <w:color w:val="auto"/>
          <w:vertAlign w:val="superscript"/>
        </w:rPr>
        <w:t>-10</w:t>
      </w:r>
      <w:r>
        <w:rPr>
          <w:rFonts w:hint="default" w:ascii="Times New Roman" w:hAnsi="Times New Roman" w:eastAsia="宋体" w:cs="Times New Roman"/>
          <w:color w:val="auto"/>
        </w:rPr>
        <w:t>厘米/秒）</w:t>
      </w:r>
      <w:r>
        <w:rPr>
          <w:rFonts w:hint="default" w:ascii="Times New Roman" w:hAnsi="Times New Roman" w:eastAsia="宋体" w:cs="Times New Roman"/>
          <w:bCs/>
          <w:color w:val="auto"/>
        </w:rPr>
        <w:t>。</w:t>
      </w:r>
    </w:p>
    <w:p>
      <w:pPr>
        <w:spacing w:line="360" w:lineRule="auto"/>
        <w:ind w:firstLine="573"/>
        <w:jc w:val="left"/>
        <w:rPr>
          <w:rFonts w:hint="default" w:ascii="Times New Roman" w:hAnsi="Times New Roman" w:eastAsia="宋体" w:cs="Times New Roman"/>
          <w:color w:val="auto"/>
        </w:rPr>
      </w:pPr>
      <w:r>
        <w:rPr>
          <w:rFonts w:hint="default" w:ascii="Times New Roman" w:hAnsi="Times New Roman" w:eastAsia="宋体" w:cs="Times New Roman"/>
          <w:color w:val="auto"/>
        </w:rPr>
        <w:t>③有毒有害固体废物必须送医疗废物临时贮存点，确保防扬散、防流失、防渗漏等措施，医疗废物临时贮存点按照GB18597-2001《危险废物贮存污染控制标准》的要求进行防腐防渗处理，防渗层为至少1m厚黏土层(渗透系数≤10</w:t>
      </w:r>
      <w:r>
        <w:rPr>
          <w:rFonts w:hint="default" w:ascii="Times New Roman" w:hAnsi="Times New Roman" w:eastAsia="宋体" w:cs="Times New Roman"/>
          <w:color w:val="auto"/>
          <w:vertAlign w:val="superscript"/>
        </w:rPr>
        <w:t>-7</w:t>
      </w:r>
      <w:r>
        <w:rPr>
          <w:rFonts w:hint="default" w:ascii="Times New Roman" w:hAnsi="Times New Roman" w:eastAsia="宋体" w:cs="Times New Roman"/>
          <w:color w:val="auto"/>
        </w:rPr>
        <w:t>cm/s)，或2mm厚高密度聚乙烯，或至少2mm厚的其他人工材料(渗透系数≤10</w:t>
      </w:r>
      <w:r>
        <w:rPr>
          <w:rFonts w:hint="default" w:ascii="Times New Roman" w:hAnsi="Times New Roman" w:eastAsia="宋体" w:cs="Times New Roman"/>
          <w:color w:val="auto"/>
          <w:vertAlign w:val="superscript"/>
        </w:rPr>
        <w:t>-10</w:t>
      </w:r>
      <w:r>
        <w:rPr>
          <w:rFonts w:hint="default" w:ascii="Times New Roman" w:hAnsi="Times New Roman" w:eastAsia="宋体" w:cs="Times New Roman"/>
          <w:color w:val="auto"/>
        </w:rPr>
        <w:t xml:space="preserve"> cm/s)</w:t>
      </w:r>
      <w:r>
        <w:rPr>
          <w:rFonts w:hint="eastAsia" w:ascii="Times New Roman" w:hAnsi="Times New Roman" w:eastAsia="宋体" w:cs="宋体"/>
          <w:color w:val="auto"/>
          <w:lang w:eastAsia="zh-CN"/>
        </w:rPr>
        <w:t>；</w:t>
      </w:r>
      <w:r>
        <w:rPr>
          <w:rFonts w:hint="default" w:ascii="Times New Roman" w:hAnsi="Times New Roman" w:eastAsia="宋体" w:cs="Times New Roman"/>
          <w:color w:val="auto"/>
        </w:rPr>
        <w:t>地面采用防渗漏水泥地坪。</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351" w:firstLine="480" w:firstLineChars="200"/>
        <w:jc w:val="both"/>
        <w:textAlignment w:val="auto"/>
        <w:rPr>
          <w:rFonts w:hint="default" w:ascii="Times New Roman" w:hAnsi="Times New Roman" w:eastAsia="宋体" w:cs="Times New Roman"/>
          <w:bCs/>
          <w:color w:val="auto"/>
        </w:rPr>
      </w:pPr>
      <w:r>
        <w:rPr>
          <w:rFonts w:hint="default" w:ascii="Times New Roman" w:hAnsi="Times New Roman" w:eastAsia="宋体" w:cs="Times New Roman"/>
          <w:bCs/>
          <w:color w:val="auto"/>
        </w:rPr>
        <w:t>④风险事故应急响应主要指</w:t>
      </w:r>
      <w:r>
        <w:rPr>
          <w:rFonts w:hint="default" w:ascii="Times New Roman" w:hAnsi="Times New Roman" w:eastAsia="宋体" w:cs="Times New Roman"/>
          <w:color w:val="auto"/>
        </w:rPr>
        <w:t>医院内的污水处理站不能正常运行，为避免污水处理设备出现事故的可能性，医院污水处理工程应设应急事故池，以贮存处理系统事故或其他突发事件时医院污水。</w:t>
      </w:r>
      <w:r>
        <w:rPr>
          <w:color w:val="auto"/>
          <w:w w:val="100"/>
        </w:rPr>
        <w:t>根据《医院污水处理工程技术规范》</w:t>
      </w:r>
      <w:r>
        <w:rPr>
          <w:rFonts w:ascii="Times New Roman" w:hAnsi="Times New Roman" w:eastAsia="Times New Roman"/>
          <w:color w:val="auto"/>
          <w:w w:val="100"/>
        </w:rPr>
        <w:t>(HJ2029-2013)</w:t>
      </w:r>
      <w:r>
        <w:rPr>
          <w:color w:val="auto"/>
          <w:w w:val="100"/>
        </w:rPr>
        <w:t>中要求</w:t>
      </w:r>
      <w:r>
        <w:rPr>
          <w:rFonts w:hint="eastAsia" w:ascii="Times New Roman" w:hAnsi="Times New Roman" w:cs="宋体"/>
          <w:color w:val="auto"/>
          <w:w w:val="100"/>
          <w:lang w:eastAsia="zh-CN"/>
        </w:rPr>
        <w:t>“</w:t>
      </w:r>
      <w:r>
        <w:rPr>
          <w:rFonts w:ascii="Times New Roman" w:hAnsi="Times New Roman" w:eastAsia="Times New Roman"/>
          <w:color w:val="auto"/>
          <w:w w:val="100"/>
        </w:rPr>
        <w:t>12.4.1</w:t>
      </w:r>
      <w:r>
        <w:rPr>
          <w:color w:val="auto"/>
          <w:spacing w:val="1"/>
          <w:w w:val="100"/>
        </w:rPr>
        <w:t>医院污水</w:t>
      </w:r>
      <w:r>
        <w:rPr>
          <w:color w:val="auto"/>
          <w:spacing w:val="-5"/>
          <w:w w:val="100"/>
        </w:rPr>
        <w:t>处理工程应设应急事故池，以贮存处理系统事故或其他突发事件时医院污水。</w:t>
      </w:r>
      <w:r>
        <w:rPr>
          <w:rFonts w:hint="eastAsia"/>
          <w:color w:val="auto"/>
          <w:spacing w:val="-5"/>
          <w:w w:val="100"/>
        </w:rPr>
        <w:t xml:space="preserve">传染病医院污水处理工程应急事故池容积不小于日排放量的 100%，非传染病医院污水处理工程应急事故池容积不小于日排放量的 30% </w:t>
      </w:r>
      <w:r>
        <w:rPr>
          <w:rFonts w:hint="eastAsia" w:ascii="Times New Roman" w:hAnsi="Times New Roman" w:cs="宋体"/>
          <w:color w:val="auto"/>
          <w:w w:val="100"/>
          <w:lang w:eastAsia="zh-CN"/>
        </w:rPr>
        <w:t>”</w:t>
      </w:r>
      <w:r>
        <w:rPr>
          <w:color w:val="auto"/>
          <w:w w:val="100"/>
        </w:rPr>
        <w:t>。</w:t>
      </w:r>
      <w:r>
        <w:rPr>
          <w:rFonts w:hint="eastAsia"/>
          <w:color w:val="auto"/>
          <w:w w:val="100"/>
          <w:lang w:eastAsia="zh-CN"/>
        </w:rPr>
        <w:t>医院一期污水处理站设有一个</w:t>
      </w:r>
      <w:r>
        <w:rPr>
          <w:rFonts w:hint="eastAsia"/>
          <w:color w:val="auto"/>
          <w:w w:val="100"/>
          <w:lang w:val="en-US" w:eastAsia="zh-CN"/>
        </w:rPr>
        <w:t>420</w:t>
      </w:r>
      <w:r>
        <w:rPr>
          <w:color w:val="auto"/>
          <w:highlight w:val="none"/>
        </w:rPr>
        <w:t>m</w:t>
      </w:r>
      <w:r>
        <w:rPr>
          <w:color w:val="auto"/>
          <w:highlight w:val="none"/>
          <w:vertAlign w:val="superscript"/>
        </w:rPr>
        <w:t>3</w:t>
      </w:r>
      <w:r>
        <w:rPr>
          <w:rFonts w:hint="eastAsia"/>
          <w:color w:val="auto"/>
          <w:highlight w:val="none"/>
          <w:lang w:val="en-US" w:eastAsia="zh-CN"/>
        </w:rPr>
        <w:t>的调节池，二期污水处理站设有</w:t>
      </w:r>
      <w:r>
        <w:rPr>
          <w:rFonts w:hint="eastAsia"/>
          <w:color w:val="auto"/>
          <w:w w:val="100"/>
          <w:lang w:eastAsia="zh-CN"/>
        </w:rPr>
        <w:t>一个</w:t>
      </w:r>
      <w:r>
        <w:rPr>
          <w:rFonts w:hint="eastAsia"/>
          <w:color w:val="auto"/>
          <w:w w:val="100"/>
          <w:lang w:val="en-US" w:eastAsia="zh-CN"/>
        </w:rPr>
        <w:t>420</w:t>
      </w:r>
      <w:r>
        <w:rPr>
          <w:color w:val="auto"/>
          <w:highlight w:val="none"/>
        </w:rPr>
        <w:t>m</w:t>
      </w:r>
      <w:r>
        <w:rPr>
          <w:color w:val="auto"/>
          <w:highlight w:val="none"/>
          <w:vertAlign w:val="superscript"/>
        </w:rPr>
        <w:t>3</w:t>
      </w:r>
      <w:r>
        <w:rPr>
          <w:rFonts w:hint="eastAsia"/>
          <w:color w:val="auto"/>
          <w:highlight w:val="none"/>
          <w:lang w:val="en-US" w:eastAsia="zh-CN"/>
        </w:rPr>
        <w:t>的调节池和一个</w:t>
      </w:r>
      <w:r>
        <w:rPr>
          <w:rFonts w:hint="eastAsia"/>
          <w:color w:val="auto"/>
          <w:w w:val="100"/>
          <w:lang w:val="en-US" w:eastAsia="zh-CN"/>
        </w:rPr>
        <w:t>320</w:t>
      </w:r>
      <w:r>
        <w:rPr>
          <w:color w:val="auto"/>
          <w:highlight w:val="none"/>
        </w:rPr>
        <w:t>m</w:t>
      </w:r>
      <w:r>
        <w:rPr>
          <w:color w:val="auto"/>
          <w:highlight w:val="none"/>
          <w:vertAlign w:val="superscript"/>
        </w:rPr>
        <w:t>3</w:t>
      </w:r>
      <w:r>
        <w:rPr>
          <w:rFonts w:hint="eastAsia"/>
          <w:color w:val="auto"/>
          <w:highlight w:val="none"/>
          <w:lang w:val="en-US" w:eastAsia="zh-CN"/>
        </w:rPr>
        <w:t>的事故池，总容积满足要求。事故池</w:t>
      </w:r>
      <w:r>
        <w:rPr>
          <w:rFonts w:hint="default" w:ascii="Times New Roman" w:hAnsi="Times New Roman" w:eastAsia="宋体" w:cs="Times New Roman"/>
          <w:color w:val="auto"/>
        </w:rPr>
        <w:t>设置与调节池串联，发生事故时用跨越管旁路引入</w:t>
      </w:r>
      <w:r>
        <w:rPr>
          <w:rFonts w:hint="default" w:ascii="Times New Roman" w:hAnsi="Times New Roman" w:eastAsia="宋体" w:cs="Times New Roman"/>
          <w:bCs/>
          <w:color w:val="auto"/>
        </w:rPr>
        <w:t>。同时，应急事故池</w:t>
      </w:r>
      <w:r>
        <w:rPr>
          <w:rFonts w:hint="default" w:ascii="Times New Roman" w:hAnsi="Times New Roman" w:eastAsia="宋体" w:cs="Times New Roman"/>
          <w:color w:val="auto"/>
        </w:rPr>
        <w:t>采用防渗钢筋混凝土浇筑池体，池体内表面涂刷水泥基渗透结晶型防渗涂料（渗透系数不大于1.0×10</w:t>
      </w:r>
      <w:r>
        <w:rPr>
          <w:rFonts w:hint="default" w:ascii="Times New Roman" w:hAnsi="Times New Roman" w:eastAsia="宋体" w:cs="Times New Roman"/>
          <w:color w:val="auto"/>
          <w:vertAlign w:val="superscript"/>
        </w:rPr>
        <w:t>-10</w:t>
      </w:r>
      <w:r>
        <w:rPr>
          <w:rFonts w:hint="default" w:ascii="Times New Roman" w:hAnsi="Times New Roman" w:eastAsia="宋体" w:cs="Times New Roman"/>
          <w:color w:val="auto"/>
        </w:rPr>
        <w:t>cm/s）。</w:t>
      </w:r>
    </w:p>
    <w:p>
      <w:pPr>
        <w:spacing w:line="360" w:lineRule="auto"/>
        <w:ind w:firstLine="573"/>
        <w:jc w:val="left"/>
        <w:rPr>
          <w:rFonts w:hint="default" w:ascii="Times New Roman" w:hAnsi="Times New Roman" w:eastAsia="宋体" w:cs="Times New Roman"/>
          <w:bCs/>
          <w:color w:val="auto"/>
        </w:rPr>
      </w:pPr>
      <w:r>
        <w:rPr>
          <w:rFonts w:hint="default" w:ascii="Times New Roman" w:hAnsi="Times New Roman" w:eastAsia="宋体" w:cs="Times New Roman"/>
          <w:bCs/>
          <w:color w:val="auto"/>
        </w:rPr>
        <w:t>此外还要加强管理，完善管理机制，建立严格的管理制度，遵守操作规程。项目采取以上措施后，可最大程度的减少项目污染物的排放对地下水的影响。</w:t>
      </w:r>
    </w:p>
    <w:p>
      <w:pPr>
        <w:pStyle w:val="5"/>
        <w:numPr>
          <w:ilvl w:val="0"/>
          <w:numId w:val="0"/>
        </w:numPr>
        <w:spacing w:before="120"/>
        <w:ind w:leftChars="0"/>
        <w:rPr>
          <w:rFonts w:hint="eastAsia"/>
          <w:color w:val="auto"/>
        </w:rPr>
      </w:pPr>
      <w:r>
        <w:rPr>
          <w:rFonts w:hint="eastAsia"/>
          <w:color w:val="auto"/>
          <w:lang w:val="en-US" w:eastAsia="zh-CN"/>
        </w:rPr>
        <w:t>6.1.6</w:t>
      </w:r>
      <w:r>
        <w:rPr>
          <w:rFonts w:hint="eastAsia"/>
          <w:color w:val="auto"/>
        </w:rPr>
        <w:t>水土保持对策分析</w:t>
      </w:r>
    </w:p>
    <w:p>
      <w:pPr>
        <w:ind w:firstLine="480"/>
        <w:rPr>
          <w:color w:val="auto"/>
        </w:rPr>
      </w:pPr>
      <w:r>
        <w:rPr>
          <w:rFonts w:hint="eastAsia"/>
          <w:color w:val="auto"/>
        </w:rPr>
        <w:t>项目在施工期会导致表层土的剥离，使原本植被覆盖度就较低的地表植被破坏，在一定时期会加剧的水土流失程度。</w:t>
      </w:r>
    </w:p>
    <w:p>
      <w:pPr>
        <w:ind w:firstLine="480"/>
        <w:rPr>
          <w:rFonts w:hint="eastAsia"/>
          <w:color w:val="auto"/>
        </w:rPr>
      </w:pPr>
      <w:r>
        <w:rPr>
          <w:rFonts w:hint="eastAsia"/>
          <w:color w:val="auto"/>
        </w:rPr>
        <w:t>降雨会对项目建设的挖开面产生侵蚀，地面失去植被的</w:t>
      </w:r>
      <w:r>
        <w:rPr>
          <w:rFonts w:hint="eastAsia" w:cs="宋体"/>
          <w:color w:val="auto"/>
          <w:lang w:eastAsia="zh-CN"/>
        </w:rPr>
        <w:t>“</w:t>
      </w:r>
      <w:r>
        <w:rPr>
          <w:rFonts w:hint="eastAsia"/>
          <w:color w:val="auto"/>
        </w:rPr>
        <w:t>保护</w:t>
      </w:r>
      <w:r>
        <w:rPr>
          <w:rFonts w:hint="eastAsia" w:cs="宋体"/>
          <w:color w:val="auto"/>
          <w:lang w:eastAsia="zh-CN"/>
        </w:rPr>
        <w:t>”</w:t>
      </w:r>
      <w:r>
        <w:rPr>
          <w:rFonts w:hint="eastAsia"/>
          <w:color w:val="auto"/>
        </w:rPr>
        <w:t>而裸露，地表径流蓄积功能下降，在水的作用下，高峰地表径流流量增加，地下径流减少，水土侵蚀加剧，最终导致水土流失加剧。场地开挖使原有土地上的植被破坏、土壤输送，地面裸露，临时弃土场堆放的弃土体较疏松，很容易水土侵蚀，尤其是在雨季，水带入河中泥沙量将增加。</w:t>
      </w:r>
    </w:p>
    <w:p>
      <w:pPr>
        <w:ind w:firstLine="480"/>
        <w:rPr>
          <w:rFonts w:hint="eastAsia"/>
          <w:color w:val="auto"/>
        </w:rPr>
      </w:pPr>
      <w:r>
        <w:rPr>
          <w:rFonts w:hint="eastAsia"/>
          <w:color w:val="auto"/>
        </w:rPr>
        <w:t>项目在施工期，在施工场界外围修筑临时排水沟，防止雨水对开采面的冲刷而直接进入周围水体，同时也收集含有大量土粒的雨水。从源头上减少水土流失的形成</w:t>
      </w:r>
      <w:r>
        <w:rPr>
          <w:rFonts w:hint="eastAsia" w:cs="宋体"/>
          <w:color w:val="auto"/>
          <w:lang w:eastAsia="zh-CN"/>
        </w:rPr>
        <w:t>；</w:t>
      </w:r>
      <w:r>
        <w:rPr>
          <w:rFonts w:hint="eastAsia"/>
          <w:color w:val="auto"/>
        </w:rPr>
        <w:t>建设场界内的水土保持与建设计划有机结合，使裸露的挖开面尽量少，施工结束后尽快覆土绿化，减少挖开面裸露时间和裸露面积，同时也尽快的利用临时弃土场的弃土，两方面均能减少和防止水土流失的发生。</w:t>
      </w:r>
    </w:p>
    <w:p>
      <w:pPr>
        <w:ind w:firstLine="480"/>
        <w:rPr>
          <w:color w:val="auto"/>
        </w:rPr>
      </w:pPr>
      <w:r>
        <w:rPr>
          <w:rFonts w:hint="eastAsia"/>
          <w:color w:val="auto"/>
        </w:rPr>
        <w:t>根据项目的建设计划，各场地时空变化，遵循水土保持措施实施进度与主体工程生产建设计划相适应，水土保持与生产建设结合，分清轻重缓急，首先考虑重点防护地段，优先考虑社会生态效益，合理控制资金平衡的原则，对建设区、临时弃土场的水土保持措施实施进度安排如下：</w:t>
      </w:r>
    </w:p>
    <w:p>
      <w:pPr>
        <w:ind w:firstLine="480"/>
        <w:rPr>
          <w:color w:val="auto"/>
        </w:rPr>
      </w:pPr>
      <w:r>
        <w:rPr>
          <w:color w:val="auto"/>
        </w:rPr>
        <w:t>1</w:t>
      </w:r>
      <w:r>
        <w:rPr>
          <w:rFonts w:hint="eastAsia"/>
          <w:color w:val="auto"/>
        </w:rPr>
        <w:t>、建设项目区水土保持措施实施进度安排</w:t>
      </w:r>
    </w:p>
    <w:p>
      <w:pPr>
        <w:ind w:firstLine="480"/>
        <w:rPr>
          <w:color w:val="auto"/>
        </w:rPr>
      </w:pPr>
      <w:r>
        <w:rPr>
          <w:rFonts w:hint="eastAsia"/>
          <w:color w:val="auto"/>
        </w:rPr>
        <w:t>对于项目建设区的水土保持措施，与建设计划统一起来，排水沟在施工场开始前建设完成，同时在排水端设置沉淀塘，进一步减少水土流失</w:t>
      </w:r>
      <w:r>
        <w:rPr>
          <w:rFonts w:hint="eastAsia" w:cs="宋体"/>
          <w:color w:val="auto"/>
          <w:lang w:eastAsia="zh-CN"/>
        </w:rPr>
        <w:t>；</w:t>
      </w:r>
      <w:r>
        <w:rPr>
          <w:rFonts w:hint="eastAsia"/>
          <w:color w:val="auto"/>
        </w:rPr>
        <w:t>施工完成后，迅速启动覆土绿化工程，切实做到，边建设，边绿化。</w:t>
      </w:r>
    </w:p>
    <w:p>
      <w:pPr>
        <w:ind w:firstLine="480"/>
        <w:rPr>
          <w:rFonts w:hint="eastAsia"/>
          <w:color w:val="auto"/>
        </w:rPr>
      </w:pPr>
      <w:r>
        <w:rPr>
          <w:rFonts w:hint="eastAsia"/>
          <w:color w:val="auto"/>
        </w:rPr>
        <w:t>2、临时弃土场水土保持措施实施进度安排</w:t>
      </w:r>
    </w:p>
    <w:p>
      <w:pPr>
        <w:ind w:firstLine="480"/>
        <w:rPr>
          <w:rFonts w:hint="eastAsia"/>
          <w:color w:val="auto"/>
        </w:rPr>
      </w:pPr>
      <w:r>
        <w:rPr>
          <w:rFonts w:hint="eastAsia"/>
          <w:color w:val="auto"/>
        </w:rPr>
        <w:t>临时弃土场外围修筑排水沟，与施工场界排水沟相连，有效的减少水土流失</w:t>
      </w:r>
      <w:r>
        <w:rPr>
          <w:rFonts w:hint="eastAsia" w:cs="宋体"/>
          <w:color w:val="auto"/>
          <w:lang w:eastAsia="zh-CN"/>
        </w:rPr>
        <w:t>；</w:t>
      </w:r>
      <w:r>
        <w:rPr>
          <w:rFonts w:hint="eastAsia"/>
          <w:color w:val="auto"/>
        </w:rPr>
        <w:t>弃土场服役满后，弃土回填完毕口，即启动临时弃土场的复绿工程。</w:t>
      </w:r>
    </w:p>
    <w:p>
      <w:pPr>
        <w:ind w:firstLine="480"/>
        <w:rPr>
          <w:rFonts w:hint="eastAsia"/>
          <w:color w:val="auto"/>
        </w:rPr>
      </w:pPr>
      <w:r>
        <w:rPr>
          <w:rFonts w:hint="eastAsia"/>
          <w:color w:val="auto"/>
        </w:rPr>
        <w:t>经过以上措施的建设和方案的实施，可有效控制水土流失。</w:t>
      </w:r>
    </w:p>
    <w:p>
      <w:pPr>
        <w:pStyle w:val="4"/>
        <w:numPr>
          <w:ilvl w:val="0"/>
          <w:numId w:val="0"/>
        </w:numPr>
        <w:ind w:leftChars="0"/>
        <w:rPr>
          <w:rFonts w:hint="eastAsia"/>
          <w:color w:val="auto"/>
        </w:rPr>
      </w:pPr>
      <w:bookmarkStart w:id="95" w:name="_Toc11011"/>
      <w:r>
        <w:rPr>
          <w:rFonts w:hint="eastAsia"/>
          <w:color w:val="auto"/>
          <w:lang w:val="en-US" w:eastAsia="zh-CN"/>
        </w:rPr>
        <w:t>6.2</w:t>
      </w:r>
      <w:r>
        <w:rPr>
          <w:rFonts w:hint="eastAsia"/>
          <w:color w:val="auto"/>
        </w:rPr>
        <w:t>营运期环境保护措施分析</w:t>
      </w:r>
      <w:bookmarkEnd w:id="95"/>
    </w:p>
    <w:p>
      <w:pPr>
        <w:pStyle w:val="5"/>
        <w:numPr>
          <w:ilvl w:val="0"/>
          <w:numId w:val="0"/>
        </w:numPr>
        <w:spacing w:before="120"/>
        <w:ind w:leftChars="0"/>
        <w:rPr>
          <w:rFonts w:hint="eastAsia"/>
          <w:color w:val="auto"/>
        </w:rPr>
      </w:pPr>
      <w:r>
        <w:rPr>
          <w:rFonts w:hint="eastAsia"/>
          <w:color w:val="auto"/>
          <w:lang w:val="en-US" w:eastAsia="zh-CN"/>
        </w:rPr>
        <w:t>6.2.1</w:t>
      </w:r>
      <w:r>
        <w:rPr>
          <w:rFonts w:hint="eastAsia"/>
          <w:color w:val="auto"/>
        </w:rPr>
        <w:t>废气环境保护措施分析</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rPr>
        <w:t>建设项目营运期废气主要为</w:t>
      </w:r>
      <w:r>
        <w:rPr>
          <w:color w:val="auto"/>
        </w:rPr>
        <w:t>建设项目营运期废气主要为</w:t>
      </w:r>
      <w:r>
        <w:rPr>
          <w:rFonts w:hint="eastAsia"/>
          <w:color w:val="auto"/>
        </w:rPr>
        <w:t>汽车尾气、污水处理站恶臭</w:t>
      </w:r>
      <w:r>
        <w:rPr>
          <w:rFonts w:hint="eastAsia"/>
          <w:color w:val="auto"/>
          <w:lang w:eastAsia="zh-CN"/>
        </w:rPr>
        <w:t>、</w:t>
      </w:r>
      <w:r>
        <w:rPr>
          <w:rFonts w:hint="eastAsia"/>
          <w:color w:val="auto"/>
          <w:lang w:val="en-US" w:eastAsia="zh-CN"/>
        </w:rPr>
        <w:t>食堂油烟、空调燃气废气</w:t>
      </w:r>
      <w:r>
        <w:rPr>
          <w:rFonts w:hint="eastAsia"/>
          <w:color w:val="auto"/>
        </w:rPr>
        <w:t>以及柴油发电机应急时产生的烟气。</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汽车尾气</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rPr>
        <w:t>地上停车场地面停车采用化整为零的策略，结合地形和环形道路网布置，并采用草坪砖铺砌，</w:t>
      </w:r>
      <w:r>
        <w:rPr>
          <w:color w:val="auto"/>
        </w:rPr>
        <w:t>本项目</w:t>
      </w:r>
      <w:r>
        <w:rPr>
          <w:rFonts w:hint="eastAsia"/>
          <w:color w:val="auto"/>
        </w:rPr>
        <w:t>地面停车场</w:t>
      </w:r>
      <w:r>
        <w:rPr>
          <w:color w:val="auto"/>
        </w:rPr>
        <w:t>汽车尾气无法集中控制，属于无规律间歇性排放，因此应遵守国家对汽车尾气排放的年检制度，并做好</w:t>
      </w:r>
      <w:r>
        <w:rPr>
          <w:rFonts w:hint="eastAsia"/>
          <w:color w:val="auto"/>
        </w:rPr>
        <w:t>停车场</w:t>
      </w:r>
      <w:r>
        <w:rPr>
          <w:color w:val="auto"/>
        </w:rPr>
        <w:t>周边的绿化，避免尾气集聚浓度增加。</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rPr>
        <w:t>建设项目地下车库内汽车排放的有害物主要是一氧化碳（CO）、碳氢化合物（HC）、氮氧化物（NO</w:t>
      </w:r>
      <w:r>
        <w:rPr>
          <w:rFonts w:hint="eastAsia"/>
          <w:color w:val="auto"/>
          <w:vertAlign w:val="subscript"/>
        </w:rPr>
        <w:t>X</w:t>
      </w:r>
      <w:r>
        <w:rPr>
          <w:rFonts w:hint="eastAsia"/>
          <w:color w:val="auto"/>
        </w:rPr>
        <w:t>）等有害物质，根据《工业企业设计卫生标准》（</w:t>
      </w:r>
      <w:r>
        <w:rPr>
          <w:color w:val="auto"/>
        </w:rPr>
        <w:t>GBZ1-2002</w:t>
      </w:r>
      <w:r>
        <w:rPr>
          <w:rFonts w:hint="eastAsia"/>
          <w:color w:val="auto"/>
        </w:rPr>
        <w:t>），只要提供充足的新鲜空气，将空气中的CO浓度稀释到《工业企业设计卫生标准》规定的范围以下，HC、NO</w:t>
      </w:r>
      <w:r>
        <w:rPr>
          <w:rFonts w:hint="eastAsia"/>
          <w:color w:val="auto"/>
          <w:vertAlign w:val="subscript"/>
        </w:rPr>
        <w:t>X</w:t>
      </w:r>
      <w:r>
        <w:rPr>
          <w:rFonts w:hint="eastAsia"/>
          <w:color w:val="auto"/>
        </w:rPr>
        <w:t>均能满足《工业企业设计卫生标准》的要求。因此在设计地下车库的通风设计时，应注意以下几点：</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rPr>
        <w:t>①地下车库是一种半封闭或封闭的大空间，无法利用建筑物门窗等开口进行自然通风和排烟。因此，要同时设置机械排风系统、机械排烟系统和送风系统（自然补风或机械送风），或机械排风系统兼排烟系统和送风系统。</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color w:val="auto"/>
        </w:rPr>
        <w:t>②尽量简化排风、送风、排烟系统，目前地下车库的通风设计中，常将排风系统兼作排烟系统使用，使排风系统与排烟系统密切结合起来，变成一个复合系统。通过多年的研究和实践证明，这种复合系统不仅在技术上是可行的，而且在经济上也是节省的。这种系统平时作为机械排风系统用，发生火灾时，又用作机械排烟系统。</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color w:val="auto"/>
        </w:rPr>
      </w:pPr>
      <w:r>
        <w:rPr>
          <w:rFonts w:hint="eastAsia" w:ascii="宋体" w:hAnsi="宋体"/>
          <w:color w:val="auto"/>
        </w:rPr>
        <w:t>③</w:t>
      </w:r>
      <w:r>
        <w:rPr>
          <w:rFonts w:hAnsi="宋体"/>
          <w:color w:val="auto"/>
        </w:rPr>
        <w:t>建议将汽车尾气排风口引到室外竖井排放，竖井</w:t>
      </w:r>
      <w:r>
        <w:rPr>
          <w:rFonts w:hint="eastAsia" w:hAnsi="宋体"/>
          <w:color w:val="auto"/>
        </w:rPr>
        <w:t>出口设置在裙楼顶层</w:t>
      </w:r>
      <w:r>
        <w:rPr>
          <w:rFonts w:hAnsi="宋体"/>
          <w:color w:val="auto"/>
        </w:rPr>
        <w:t>，根据《汽车库建筑设计规范》</w:t>
      </w:r>
      <w:r>
        <w:rPr>
          <w:rFonts w:hint="eastAsia" w:hAnsi="宋体"/>
          <w:color w:val="auto"/>
        </w:rPr>
        <w:t>（</w:t>
      </w:r>
      <w:r>
        <w:rPr>
          <w:color w:val="auto"/>
        </w:rPr>
        <w:t>JGJ100-98</w:t>
      </w:r>
      <w:r>
        <w:rPr>
          <w:rFonts w:hint="eastAsia" w:hAnsi="宋体"/>
          <w:color w:val="auto"/>
        </w:rPr>
        <w:t>）</w:t>
      </w:r>
      <w:r>
        <w:rPr>
          <w:rFonts w:hint="eastAsia" w:hAnsi="宋体"/>
          <w:color w:val="auto"/>
          <w:lang w:eastAsia="zh-CN"/>
        </w:rPr>
        <w:t>：</w:t>
      </w:r>
      <w:r>
        <w:rPr>
          <w:rFonts w:hint="eastAsia" w:hAnsi="宋体" w:cs="宋体"/>
          <w:color w:val="auto"/>
          <w:lang w:eastAsia="zh-CN"/>
        </w:rPr>
        <w:t>“</w:t>
      </w:r>
      <w:r>
        <w:rPr>
          <w:rFonts w:hAnsi="宋体"/>
          <w:color w:val="auto"/>
        </w:rPr>
        <w:t>地下汽车库的排风口应设于下风向，排风口不应朝向邻近建筑物和公共活动场所，排风口离室外地坪高度应大于</w:t>
      </w:r>
      <w:r>
        <w:rPr>
          <w:color w:val="auto"/>
        </w:rPr>
        <w:t>2.5m</w:t>
      </w:r>
      <w:r>
        <w:rPr>
          <w:rFonts w:hAnsi="宋体"/>
          <w:color w:val="auto"/>
        </w:rPr>
        <w:t>，并应作消声处理</w:t>
      </w:r>
      <w:r>
        <w:rPr>
          <w:rFonts w:hint="eastAsia" w:cs="宋体"/>
          <w:color w:val="auto"/>
          <w:lang w:eastAsia="zh-CN"/>
        </w:rPr>
        <w:t>”</w:t>
      </w:r>
      <w:r>
        <w:rPr>
          <w:rFonts w:hAnsi="宋体"/>
          <w:color w:val="auto"/>
        </w:rPr>
        <w:t>，避开人员经常活动区，车库</w:t>
      </w:r>
      <w:r>
        <w:rPr>
          <w:rFonts w:hint="eastAsia" w:hAnsi="宋体"/>
          <w:color w:val="auto"/>
        </w:rPr>
        <w:t>排风口</w:t>
      </w:r>
      <w:r>
        <w:rPr>
          <w:rFonts w:hAnsi="宋体"/>
          <w:color w:val="auto"/>
        </w:rPr>
        <w:t>与最近</w:t>
      </w:r>
      <w:r>
        <w:rPr>
          <w:rFonts w:hint="eastAsia" w:hAnsi="宋体"/>
          <w:color w:val="auto"/>
        </w:rPr>
        <w:t>建筑</w:t>
      </w:r>
      <w:r>
        <w:rPr>
          <w:rFonts w:hAnsi="宋体"/>
          <w:color w:val="auto"/>
        </w:rPr>
        <w:t>间距应在</w:t>
      </w:r>
      <w:r>
        <w:rPr>
          <w:color w:val="auto"/>
        </w:rPr>
        <w:t>10</w:t>
      </w:r>
      <w:r>
        <w:rPr>
          <w:rFonts w:hAnsi="宋体"/>
          <w:color w:val="auto"/>
        </w:rPr>
        <w:t>米以上，以减少对人们的影响。</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color w:val="auto"/>
        </w:rPr>
      </w:pPr>
      <w:r>
        <w:rPr>
          <w:rFonts w:hint="eastAsia" w:hAnsi="宋体"/>
          <w:color w:val="auto"/>
        </w:rPr>
        <w:t>采取上述措施后，排风口设置</w:t>
      </w:r>
      <w:r>
        <w:rPr>
          <w:rFonts w:hAnsi="宋体"/>
          <w:color w:val="auto"/>
        </w:rPr>
        <w:t>避开</w:t>
      </w:r>
      <w:r>
        <w:rPr>
          <w:rFonts w:hint="eastAsia" w:hAnsi="宋体"/>
          <w:color w:val="auto"/>
        </w:rPr>
        <w:t>人员</w:t>
      </w:r>
      <w:r>
        <w:rPr>
          <w:rFonts w:hAnsi="宋体"/>
          <w:color w:val="auto"/>
        </w:rPr>
        <w:t>经常活动区</w:t>
      </w:r>
      <w:r>
        <w:rPr>
          <w:rFonts w:hint="eastAsia" w:hAnsi="宋体"/>
          <w:color w:val="auto"/>
        </w:rPr>
        <w:t>，</w:t>
      </w:r>
      <w:r>
        <w:rPr>
          <w:rFonts w:hAnsi="宋体"/>
          <w:color w:val="auto"/>
        </w:rPr>
        <w:t>不会对</w:t>
      </w:r>
      <w:r>
        <w:rPr>
          <w:rFonts w:hint="eastAsia" w:hAnsi="宋体"/>
          <w:color w:val="auto"/>
        </w:rPr>
        <w:t>项目内部人员</w:t>
      </w:r>
      <w:r>
        <w:rPr>
          <w:rFonts w:hAnsi="宋体"/>
          <w:color w:val="auto"/>
        </w:rPr>
        <w:t>产生不良影响</w:t>
      </w:r>
      <w:r>
        <w:rPr>
          <w:rFonts w:hint="eastAsia" w:hAnsi="宋体"/>
          <w:color w:val="auto"/>
        </w:rPr>
        <w:t>。</w:t>
      </w:r>
    </w:p>
    <w:p>
      <w:pPr>
        <w:keepNext w:val="0"/>
        <w:keepLines w:val="0"/>
        <w:pageBreakBefore w:val="0"/>
        <w:numPr>
          <w:ilvl w:val="0"/>
          <w:numId w:val="0"/>
        </w:numPr>
        <w:kinsoku/>
        <w:wordWrap/>
        <w:overflowPunct/>
        <w:topLinePunct w:val="0"/>
        <w:autoSpaceDE/>
        <w:bidi w:val="0"/>
        <w:adjustRightInd/>
        <w:snapToGrid/>
        <w:spacing w:line="360" w:lineRule="auto"/>
        <w:ind w:firstLine="480" w:firstLineChars="200"/>
        <w:textAlignment w:val="auto"/>
        <w:rPr>
          <w:rFonts w:hint="eastAsia" w:hAnsi="宋体"/>
          <w:bCs/>
          <w:color w:val="auto"/>
          <w:highlight w:val="none"/>
        </w:rPr>
      </w:pPr>
      <w:r>
        <w:rPr>
          <w:rFonts w:hint="eastAsia" w:hAnsi="宋体"/>
          <w:bCs/>
          <w:color w:val="auto"/>
          <w:highlight w:val="none"/>
          <w:lang w:eastAsia="zh-CN"/>
        </w:rPr>
        <w:t>（</w:t>
      </w:r>
      <w:r>
        <w:rPr>
          <w:rFonts w:hint="eastAsia" w:hAnsi="宋体"/>
          <w:bCs/>
          <w:color w:val="auto"/>
          <w:highlight w:val="none"/>
          <w:lang w:val="en-US" w:eastAsia="zh-CN"/>
        </w:rPr>
        <w:t>2</w:t>
      </w:r>
      <w:r>
        <w:rPr>
          <w:rFonts w:hint="eastAsia" w:hAnsi="宋体"/>
          <w:bCs/>
          <w:color w:val="auto"/>
          <w:highlight w:val="none"/>
          <w:lang w:eastAsia="zh-CN"/>
        </w:rPr>
        <w:t>）</w:t>
      </w:r>
      <w:r>
        <w:rPr>
          <w:rFonts w:hint="eastAsia" w:hAnsi="宋体"/>
          <w:bCs/>
          <w:color w:val="auto"/>
          <w:highlight w:val="none"/>
        </w:rPr>
        <w:t>污水处理站恶臭</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bCs/>
          <w:color w:val="auto"/>
          <w:highlight w:val="none"/>
        </w:rPr>
      </w:pPr>
      <w:r>
        <w:rPr>
          <w:rFonts w:hint="eastAsia" w:hAnsi="宋体"/>
          <w:bCs/>
          <w:color w:val="auto"/>
          <w:highlight w:val="none"/>
        </w:rPr>
        <w:t>医院污水处理站产生的废气主要为氨、硫化氢、甲烷、臭气浓度，主要恶臭源是进水格栅、水解酸化池、好氧池、污泥消毒池以及污泥干化池等。本项目污水处理站为地埋式，根据《医院污水处理技术指南》的相关规定，医院应对水处理池加盖板密闭起来，还须在盖板上预留进、出气口，把处于自由扩散状态的气体组织起来，并组织气体进入管道定向流动到能阻截、过滤吸附、辐照或杀死病毒、细菌的设备中，</w:t>
      </w:r>
      <w:r>
        <w:rPr>
          <w:rFonts w:hint="eastAsia" w:hAnsi="宋体"/>
          <w:bCs/>
          <w:color w:val="auto"/>
          <w:highlight w:val="none"/>
          <w:lang w:eastAsia="zh-CN"/>
        </w:rPr>
        <w:t>经处理后达标排放。</w:t>
      </w:r>
      <w:r>
        <w:rPr>
          <w:rFonts w:hint="eastAsia" w:hAnsi="宋体"/>
          <w:bCs/>
          <w:color w:val="auto"/>
          <w:highlight w:val="none"/>
        </w:rPr>
        <w:t>此外，项目区污水处理站应加强绿化</w:t>
      </w:r>
      <w:r>
        <w:rPr>
          <w:rFonts w:hint="eastAsia" w:hAnsi="宋体"/>
          <w:bCs/>
          <w:color w:val="auto"/>
          <w:highlight w:val="none"/>
          <w:lang w:eastAsia="zh-CN"/>
        </w:rPr>
        <w:t>、定期投放除臭剂等，</w:t>
      </w:r>
      <w:r>
        <w:rPr>
          <w:rFonts w:hint="eastAsia" w:hAnsi="宋体"/>
          <w:bCs/>
          <w:color w:val="auto"/>
          <w:highlight w:val="none"/>
        </w:rPr>
        <w:t>以进一步减少恶臭气体对周围环境的影响。</w:t>
      </w:r>
    </w:p>
    <w:p>
      <w:pPr>
        <w:spacing w:line="360" w:lineRule="auto"/>
        <w:ind w:firstLine="480" w:firstLineChars="200"/>
        <w:rPr>
          <w:rFonts w:hint="default" w:ascii="Times New Roman" w:hAnsi="Times New Roman" w:eastAsia="宋体" w:cs="Times New Roman"/>
          <w:b w:val="0"/>
          <w:bCs w:val="0"/>
          <w:color w:val="auto"/>
          <w:kern w:val="2"/>
          <w:szCs w:val="24"/>
          <w:lang w:val="en-US" w:eastAsia="zh-CN"/>
        </w:rPr>
      </w:pPr>
      <w:r>
        <w:rPr>
          <w:rFonts w:hint="default" w:ascii="Times New Roman" w:hAnsi="Times New Roman" w:eastAsia="宋体" w:cs="Times New Roman"/>
          <w:b w:val="0"/>
          <w:bCs w:val="0"/>
          <w:color w:val="auto"/>
          <w:kern w:val="2"/>
          <w:szCs w:val="24"/>
          <w:lang w:val="en-US" w:eastAsia="zh-CN"/>
        </w:rPr>
        <w:t>①常见恶臭气体处理措施</w:t>
      </w:r>
      <w:r>
        <w:rPr>
          <w:rFonts w:hint="eastAsia" w:ascii="Times New Roman" w:hAnsi="Times New Roman" w:eastAsia="宋体" w:cs="Times New Roman"/>
          <w:b w:val="0"/>
          <w:bCs w:val="0"/>
          <w:color w:val="auto"/>
          <w:kern w:val="2"/>
          <w:szCs w:val="24"/>
          <w:lang w:val="en-US" w:eastAsia="zh-CN"/>
        </w:rPr>
        <w:t>比选</w:t>
      </w:r>
    </w:p>
    <w:p>
      <w:pPr>
        <w:spacing w:line="360" w:lineRule="auto"/>
        <w:ind w:firstLine="480" w:firstLineChars="200"/>
        <w:rPr>
          <w:rFonts w:hint="eastAsia" w:ascii="Times New Roman" w:hAnsi="Times New Roman" w:eastAsia="宋体" w:cs="Times New Roman"/>
          <w:color w:val="auto"/>
          <w:kern w:val="2"/>
          <w:szCs w:val="24"/>
          <w:lang w:eastAsia="zh-CN"/>
        </w:rPr>
      </w:pPr>
      <w:r>
        <w:rPr>
          <w:rFonts w:hint="eastAsia" w:ascii="Times New Roman" w:hAnsi="Times New Roman" w:eastAsia="宋体" w:cs="Times New Roman"/>
          <w:color w:val="auto"/>
          <w:kern w:val="2"/>
          <w:szCs w:val="24"/>
          <w:lang w:val="en-US" w:eastAsia="zh-CN"/>
        </w:rPr>
        <w:t>目前污水处理产生的恶臭处理方法从原理上大致可以分为：物理法、化学法、生物法等。物理法主要有活性炭吸附法，化学法主要有焚烧法、湿式化学吸收、离子除臭法，生物除臭主要为土壤法、生物滤池。目前使用的主要脱臭方法及其特点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rPr>
      </w:pPr>
      <w:r>
        <w:rPr>
          <w:rFonts w:hint="eastAsia" w:ascii="Times New Roman" w:hAnsi="Times New Roman" w:eastAsia="宋体" w:cs="Times New Roman"/>
          <w:b/>
          <w:bCs/>
          <w:color w:val="auto"/>
          <w:kern w:val="2"/>
          <w:sz w:val="21"/>
          <w:szCs w:val="21"/>
          <w:lang w:eastAsia="zh-CN"/>
        </w:rPr>
        <w:t>表</w:t>
      </w:r>
      <w:r>
        <w:rPr>
          <w:rFonts w:hint="eastAsia" w:ascii="Times New Roman" w:hAnsi="Times New Roman" w:eastAsia="宋体" w:cs="Times New Roman"/>
          <w:b/>
          <w:bCs/>
          <w:color w:val="auto"/>
          <w:kern w:val="2"/>
          <w:sz w:val="21"/>
          <w:szCs w:val="21"/>
          <w:lang w:val="en-US" w:eastAsia="zh-CN"/>
        </w:rPr>
        <w:t>7.2-1 主要除臭方法比较</w:t>
      </w:r>
    </w:p>
    <w:tbl>
      <w:tblPr>
        <w:tblStyle w:val="49"/>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298"/>
        <w:gridCol w:w="1596"/>
        <w:gridCol w:w="2673"/>
        <w:gridCol w:w="2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大类</w:t>
            </w: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除臭方法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适用范围</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优点</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物理法</w:t>
            </w: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活性炭吸附法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低、中浓度废气小、中型设施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去除效率高，维护简单、运行方便</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不能用于大气量和高 浓度废气，活性炭再生 或更换成本高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化学法</w:t>
            </w: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焚烧法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高浓度废气大型设施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可分解高浓度废气去除率可达</w:t>
            </w:r>
            <w:r>
              <w:rPr>
                <w:rFonts w:hint="default" w:ascii="Times New Roman" w:hAnsi="Times New Roman" w:eastAsia="宋体" w:cs="Times New Roman"/>
                <w:color w:val="auto"/>
                <w:sz w:val="21"/>
                <w:szCs w:val="21"/>
                <w:highlight w:val="none"/>
                <w:lang w:val="en-US" w:eastAsia="zh-CN"/>
              </w:rPr>
              <w:t>95%</w:t>
            </w:r>
            <w:r>
              <w:rPr>
                <w:rFonts w:hint="eastAsia" w:ascii="Times New Roman" w:hAnsi="Times New Roman" w:eastAsia="宋体" w:cs="Times New Roman"/>
                <w:color w:val="auto"/>
                <w:sz w:val="21"/>
                <w:szCs w:val="21"/>
                <w:highlight w:val="none"/>
                <w:lang w:val="en-US" w:eastAsia="zh-CN"/>
              </w:rPr>
              <w:t>，运行方便</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仅用于高浓度废气、有二次污染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湿式化学吸收</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中、高浓度废气小至大型设施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去除率可达</w:t>
            </w:r>
            <w:r>
              <w:rPr>
                <w:rFonts w:hint="default" w:ascii="Times New Roman" w:hAnsi="Times New Roman" w:eastAsia="宋体" w:cs="Times New Roman"/>
                <w:color w:val="auto"/>
                <w:sz w:val="21"/>
                <w:szCs w:val="21"/>
                <w:highlight w:val="none"/>
                <w:lang w:val="en-US" w:eastAsia="zh-CN"/>
              </w:rPr>
              <w:t>95%</w:t>
            </w:r>
            <w:r>
              <w:rPr>
                <w:rFonts w:hint="eastAsia" w:ascii="Times New Roman" w:hAnsi="Times New Roman" w:eastAsia="宋体" w:cs="Times New Roman"/>
                <w:color w:val="auto"/>
                <w:sz w:val="21"/>
                <w:szCs w:val="21"/>
                <w:highlight w:val="none"/>
                <w:lang w:val="en-US" w:eastAsia="zh-CN"/>
              </w:rPr>
              <w:t>，可处理高浓度气体、占地小、投资小运行稳定</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维修要求高，运行费用高、去除率不如生物法高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离子除臭法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低、中浓度废气小、中型设施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去除率高，可达</w:t>
            </w:r>
            <w:r>
              <w:rPr>
                <w:rFonts w:hint="default" w:ascii="Times New Roman" w:hAnsi="Times New Roman" w:eastAsia="宋体" w:cs="Times New Roman"/>
                <w:color w:val="auto"/>
                <w:sz w:val="21"/>
                <w:szCs w:val="21"/>
                <w:highlight w:val="none"/>
                <w:lang w:val="en-US" w:eastAsia="zh-CN"/>
              </w:rPr>
              <w:t>90%</w:t>
            </w:r>
            <w:r>
              <w:rPr>
                <w:rFonts w:hint="eastAsia" w:ascii="Times New Roman" w:hAnsi="Times New Roman" w:eastAsia="宋体" w:cs="Times New Roman"/>
                <w:color w:val="auto"/>
                <w:sz w:val="21"/>
                <w:szCs w:val="21"/>
                <w:highlight w:val="none"/>
                <w:lang w:val="en-US" w:eastAsia="zh-CN"/>
              </w:rPr>
              <w:t>，投资高、但运行费用低，处理效果非常好不产生二次污染</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投资高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生物法</w:t>
            </w: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土壤法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低、中浓度废气小至大型设施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投资少、维护费用低，不 产生二次污染</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占地多：不适于多暴雨多雪地区，对于高温、高湿和含水尘等气体须预处理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2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生物滤池法</w:t>
            </w:r>
          </w:p>
        </w:tc>
        <w:tc>
          <w:tcPr>
            <w:tcW w:w="15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低、中浓度废气小至大型设施</w:t>
            </w:r>
          </w:p>
        </w:tc>
        <w:tc>
          <w:tcPr>
            <w:tcW w:w="26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对臭气处理效果相对其 它方法简单、经济、高效，占地面积较大、易堵塞，去除率达到95%，低投资，不产生二次污染</w:t>
            </w:r>
          </w:p>
        </w:tc>
        <w:tc>
          <w:tcPr>
            <w:tcW w:w="2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占地面积大、易堵塞、对湿度、温度要求较高</w:t>
            </w:r>
          </w:p>
        </w:tc>
      </w:tr>
    </w:tbl>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bCs/>
          <w:color w:val="auto"/>
          <w:highlight w:val="none"/>
          <w:lang w:eastAsia="zh-CN"/>
        </w:rPr>
      </w:pPr>
      <w:r>
        <w:rPr>
          <w:rFonts w:hint="eastAsia" w:hAnsi="宋体"/>
          <w:bCs/>
          <w:color w:val="auto"/>
          <w:highlight w:val="none"/>
          <w:lang w:eastAsia="zh-CN"/>
        </w:rPr>
        <w:t>②本项目污水处理站恶臭治理措施</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bCs/>
          <w:color w:val="auto"/>
          <w:highlight w:val="none"/>
        </w:rPr>
      </w:pPr>
      <w:r>
        <w:rPr>
          <w:rFonts w:hint="default" w:ascii="Times New Roman" w:hAnsi="Times New Roman" w:eastAsia="宋体" w:cs="Times New Roman"/>
          <w:color w:val="auto"/>
          <w:kern w:val="2"/>
          <w:szCs w:val="24"/>
          <w:lang w:val="en-US" w:eastAsia="zh-CN"/>
        </w:rPr>
        <w:t>对比各项除臭工艺的优缺点</w:t>
      </w:r>
      <w:r>
        <w:rPr>
          <w:rFonts w:hint="eastAsia" w:hAnsi="宋体"/>
          <w:bCs/>
          <w:color w:val="auto"/>
          <w:highlight w:val="none"/>
          <w:lang w:eastAsia="zh-CN"/>
        </w:rPr>
        <w:t>，本项目污水处理站恶臭采用生物除臭</w:t>
      </w:r>
      <w:r>
        <w:rPr>
          <w:rFonts w:hint="eastAsia" w:hAnsi="宋体"/>
          <w:bCs/>
          <w:color w:val="auto"/>
          <w:highlight w:val="none"/>
        </w:rPr>
        <w:t>处理</w:t>
      </w:r>
      <w:r>
        <w:rPr>
          <w:rFonts w:hint="eastAsia" w:hAnsi="宋体"/>
          <w:bCs/>
          <w:color w:val="auto"/>
          <w:highlight w:val="none"/>
          <w:lang w:eastAsia="zh-CN"/>
        </w:rPr>
        <w:t>，然后通过</w:t>
      </w:r>
      <w:r>
        <w:rPr>
          <w:rFonts w:hint="eastAsia" w:hAnsi="宋体"/>
          <w:bCs/>
          <w:color w:val="auto"/>
          <w:highlight w:val="none"/>
          <w:lang w:val="en-US" w:eastAsia="zh-CN"/>
        </w:rPr>
        <w:t>15m排气筒达标排放</w:t>
      </w:r>
      <w:r>
        <w:rPr>
          <w:rFonts w:hint="eastAsia" w:hAnsi="宋体"/>
          <w:bCs/>
          <w:color w:val="auto"/>
          <w:highlight w:val="none"/>
        </w:rPr>
        <w:t>。</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bCs/>
          <w:color w:val="auto"/>
          <w:highlight w:val="none"/>
          <w:lang w:eastAsia="zh-CN"/>
        </w:rPr>
      </w:pPr>
      <w:r>
        <w:rPr>
          <w:rFonts w:hint="eastAsia" w:hAnsi="宋体"/>
          <w:bCs/>
          <w:color w:val="auto"/>
          <w:highlight w:val="none"/>
          <w:lang w:eastAsia="zh-CN"/>
        </w:rPr>
        <w:t>对照《排污许可证申请与核发技术规范</w:t>
      </w:r>
      <w:r>
        <w:rPr>
          <w:rFonts w:hint="eastAsia" w:hAnsi="宋体"/>
          <w:bCs/>
          <w:color w:val="auto"/>
          <w:highlight w:val="none"/>
          <w:lang w:val="en-US" w:eastAsia="zh-CN"/>
        </w:rPr>
        <w:t xml:space="preserve"> </w:t>
      </w:r>
      <w:r>
        <w:rPr>
          <w:rFonts w:hint="eastAsia" w:hAnsi="宋体"/>
          <w:bCs/>
          <w:color w:val="auto"/>
          <w:highlight w:val="none"/>
          <w:lang w:eastAsia="zh-CN"/>
        </w:rPr>
        <w:t>医疗机构》（HJ 1105—2020）附录</w:t>
      </w:r>
      <w:r>
        <w:rPr>
          <w:rFonts w:hint="eastAsia" w:hAnsi="宋体"/>
          <w:bCs/>
          <w:color w:val="auto"/>
          <w:highlight w:val="none"/>
          <w:lang w:val="en-US" w:eastAsia="zh-CN"/>
        </w:rPr>
        <w:t>A 表 A.1，医院污水处理站无组织废气治理推荐的可行技术包含</w:t>
      </w:r>
      <w:r>
        <w:rPr>
          <w:rFonts w:hint="eastAsia" w:hAnsi="宋体" w:cs="宋体"/>
          <w:bCs/>
          <w:color w:val="auto"/>
          <w:highlight w:val="none"/>
          <w:lang w:val="en-US" w:eastAsia="zh-CN"/>
        </w:rPr>
        <w:t>“</w:t>
      </w:r>
      <w:r>
        <w:rPr>
          <w:rFonts w:hint="eastAsia" w:hAnsi="宋体"/>
          <w:bCs/>
          <w:color w:val="auto"/>
          <w:highlight w:val="none"/>
          <w:lang w:val="en-US" w:eastAsia="zh-CN"/>
        </w:rPr>
        <w:t>产生恶臭区域加罩或加盖，投放除臭剂</w:t>
      </w:r>
      <w:r>
        <w:rPr>
          <w:rFonts w:hint="eastAsia" w:hAnsi="宋体" w:cs="宋体"/>
          <w:bCs/>
          <w:color w:val="auto"/>
          <w:highlight w:val="none"/>
          <w:lang w:val="en-US" w:eastAsia="zh-CN"/>
        </w:rPr>
        <w:t>”；</w:t>
      </w:r>
      <w:r>
        <w:rPr>
          <w:rFonts w:hint="eastAsia" w:hAnsi="宋体"/>
          <w:bCs/>
          <w:color w:val="auto"/>
          <w:highlight w:val="none"/>
          <w:lang w:val="en-US" w:eastAsia="zh-CN"/>
        </w:rPr>
        <w:t>有组织废气治理推荐的可行技术包含</w:t>
      </w:r>
      <w:r>
        <w:rPr>
          <w:rFonts w:hint="eastAsia" w:hAnsi="宋体" w:cs="宋体"/>
          <w:bCs/>
          <w:color w:val="auto"/>
          <w:highlight w:val="none"/>
          <w:lang w:val="en-US" w:eastAsia="zh-CN"/>
        </w:rPr>
        <w:t>“</w:t>
      </w:r>
      <w:r>
        <w:rPr>
          <w:rFonts w:hint="eastAsia" w:hAnsi="宋体"/>
          <w:bCs/>
          <w:color w:val="auto"/>
          <w:highlight w:val="none"/>
          <w:lang w:val="en-US" w:eastAsia="zh-CN"/>
        </w:rPr>
        <w:t>喷淋塔除臭、活性炭吸附、生物除臭等</w:t>
      </w:r>
      <w:r>
        <w:rPr>
          <w:rFonts w:hint="eastAsia" w:hAnsi="宋体" w:cs="宋体"/>
          <w:bCs/>
          <w:color w:val="auto"/>
          <w:highlight w:val="none"/>
          <w:lang w:val="en-US" w:eastAsia="zh-CN"/>
        </w:rPr>
        <w:t>”</w:t>
      </w:r>
      <w:r>
        <w:rPr>
          <w:rFonts w:hint="eastAsia" w:hAnsi="宋体"/>
          <w:bCs/>
          <w:color w:val="auto"/>
          <w:highlight w:val="none"/>
          <w:lang w:val="en-US" w:eastAsia="zh-CN"/>
        </w:rPr>
        <w:t>，处理后废气通过排气筒排放。因此，本项目</w:t>
      </w:r>
      <w:r>
        <w:rPr>
          <w:rFonts w:hint="eastAsia" w:hAnsi="宋体"/>
          <w:bCs/>
          <w:color w:val="auto"/>
          <w:highlight w:val="none"/>
          <w:lang w:eastAsia="zh-CN"/>
        </w:rPr>
        <w:t>污水处理站</w:t>
      </w:r>
      <w:r>
        <w:rPr>
          <w:rFonts w:hint="eastAsia" w:hAnsi="宋体"/>
          <w:bCs/>
          <w:color w:val="auto"/>
          <w:highlight w:val="none"/>
          <w:lang w:val="en-US" w:eastAsia="zh-CN"/>
        </w:rPr>
        <w:t>采取地埋式、密闭收集、光氧+</w:t>
      </w:r>
      <w:r>
        <w:rPr>
          <w:rFonts w:hint="eastAsia" w:hAnsi="宋体"/>
          <w:bCs/>
          <w:color w:val="auto"/>
          <w:highlight w:val="none"/>
          <w:lang w:eastAsia="zh-CN"/>
        </w:rPr>
        <w:t>活性炭吸附、</w:t>
      </w:r>
      <w:r>
        <w:rPr>
          <w:rFonts w:hint="eastAsia" w:hAnsi="宋体"/>
          <w:bCs/>
          <w:color w:val="auto"/>
          <w:highlight w:val="none"/>
          <w:lang w:val="en-US" w:eastAsia="zh-CN"/>
        </w:rPr>
        <w:t>15m排气筒排放</w:t>
      </w:r>
      <w:r>
        <w:rPr>
          <w:rFonts w:hint="eastAsia" w:hAnsi="宋体"/>
          <w:bCs/>
          <w:color w:val="auto"/>
          <w:highlight w:val="none"/>
          <w:lang w:eastAsia="zh-CN"/>
        </w:rPr>
        <w:t>的治理措施符合要求。</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default" w:hAnsi="宋体" w:eastAsia="宋体"/>
          <w:bCs/>
          <w:color w:val="auto"/>
          <w:highlight w:val="none"/>
          <w:lang w:val="en-US" w:eastAsia="zh-CN"/>
        </w:rPr>
      </w:pPr>
      <w:r>
        <w:rPr>
          <w:rFonts w:hint="eastAsia" w:hAnsi="宋体"/>
          <w:bCs/>
          <w:color w:val="auto"/>
          <w:highlight w:val="none"/>
          <w:lang w:eastAsia="zh-CN"/>
        </w:rPr>
        <w:t>综上所述：本项目污水处理站采取的光氧</w:t>
      </w:r>
      <w:r>
        <w:rPr>
          <w:rFonts w:hint="eastAsia" w:hAnsi="宋体"/>
          <w:bCs/>
          <w:color w:val="auto"/>
          <w:highlight w:val="none"/>
          <w:lang w:val="en-US" w:eastAsia="zh-CN"/>
        </w:rPr>
        <w:t>+</w:t>
      </w:r>
      <w:r>
        <w:rPr>
          <w:rFonts w:hint="eastAsia" w:hAnsi="宋体"/>
          <w:bCs/>
          <w:color w:val="auto"/>
          <w:highlight w:val="none"/>
          <w:lang w:eastAsia="zh-CN"/>
        </w:rPr>
        <w:t>活性炭吸附处理工艺对恶臭废气的处理是可行的。</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default" w:hAnsi="宋体"/>
          <w:color w:val="auto"/>
          <w:highlight w:val="none"/>
          <w:lang w:val="en-US" w:eastAsia="zh-CN"/>
        </w:rPr>
      </w:pPr>
      <w:r>
        <w:rPr>
          <w:rFonts w:hint="eastAsia" w:hAnsi="宋体"/>
          <w:color w:val="auto"/>
          <w:highlight w:val="none"/>
          <w:lang w:eastAsia="zh-CN"/>
        </w:rPr>
        <w:t>（</w:t>
      </w:r>
      <w:r>
        <w:rPr>
          <w:rFonts w:hint="eastAsia" w:hAnsi="宋体"/>
          <w:color w:val="auto"/>
          <w:highlight w:val="none"/>
          <w:lang w:val="en-US" w:eastAsia="zh-CN"/>
        </w:rPr>
        <w:t>3</w:t>
      </w:r>
      <w:r>
        <w:rPr>
          <w:rFonts w:hint="eastAsia" w:hAnsi="宋体"/>
          <w:color w:val="auto"/>
          <w:highlight w:val="none"/>
          <w:lang w:eastAsia="zh-CN"/>
        </w:rPr>
        <w:t>）</w:t>
      </w:r>
      <w:r>
        <w:rPr>
          <w:rFonts w:hint="eastAsia" w:hAnsi="宋体"/>
          <w:color w:val="auto"/>
          <w:highlight w:val="none"/>
          <w:lang w:val="en-US" w:eastAsia="zh-CN"/>
        </w:rPr>
        <w:t>食堂油烟废气</w:t>
      </w:r>
    </w:p>
    <w:p>
      <w:pPr>
        <w:keepNext w:val="0"/>
        <w:keepLines w:val="0"/>
        <w:pageBreakBefore w:val="0"/>
        <w:widowControl/>
        <w:tabs>
          <w:tab w:val="left" w:pos="0"/>
        </w:tabs>
        <w:kinsoku/>
        <w:wordWrap/>
        <w:overflowPunct/>
        <w:topLinePunct w:val="0"/>
        <w:autoSpaceDE/>
        <w:autoSpaceDN w:val="0"/>
        <w:bidi w:val="0"/>
        <w:adjustRightInd/>
        <w:snapToGrid/>
        <w:spacing w:line="360" w:lineRule="auto"/>
        <w:ind w:firstLine="480" w:firstLineChars="200"/>
        <w:textAlignment w:val="auto"/>
        <w:rPr>
          <w:rFonts w:hint="default" w:ascii="Times New Roman"/>
          <w:color w:val="auto"/>
          <w:szCs w:val="24"/>
        </w:rPr>
      </w:pPr>
      <w:r>
        <w:rPr>
          <w:rFonts w:hint="default" w:ascii="Times New Roman"/>
          <w:color w:val="auto"/>
          <w:kern w:val="2"/>
          <w:szCs w:val="24"/>
        </w:rPr>
        <w:t>根据工程分析章节可知，项目产生的油烟经油烟净化装置处理后外排浓度</w:t>
      </w:r>
      <w:r>
        <w:rPr>
          <w:rFonts w:hint="default" w:ascii="Times New Roman"/>
          <w:color w:val="auto"/>
          <w:szCs w:val="24"/>
        </w:rPr>
        <w:t>可以满足《饮食业油烟排放标准》(GB18483-2001)（浓度小于2mg/m</w:t>
      </w:r>
      <w:r>
        <w:rPr>
          <w:rFonts w:hint="default" w:ascii="Times New Roman"/>
          <w:color w:val="auto"/>
          <w:szCs w:val="24"/>
          <w:vertAlign w:val="superscript"/>
        </w:rPr>
        <w:t>3</w:t>
      </w:r>
      <w:r>
        <w:rPr>
          <w:rFonts w:hint="default" w:ascii="Times New Roman"/>
          <w:color w:val="auto"/>
          <w:szCs w:val="24"/>
        </w:rPr>
        <w:t>）中标准浓度限值的要求。食堂油烟经油烟净化器处理后通过管道引</w:t>
      </w:r>
      <w:r>
        <w:rPr>
          <w:rFonts w:hint="eastAsia"/>
          <w:color w:val="auto"/>
          <w:szCs w:val="24"/>
          <w:lang w:val="en-US" w:eastAsia="zh-CN"/>
        </w:rPr>
        <w:t>至食堂楼顶</w:t>
      </w:r>
      <w:r>
        <w:rPr>
          <w:rFonts w:hint="default" w:ascii="Times New Roman"/>
          <w:color w:val="auto"/>
          <w:szCs w:val="24"/>
        </w:rPr>
        <w:t>达标外排，对周围大气环境影响较小。</w:t>
      </w:r>
    </w:p>
    <w:p>
      <w:pPr>
        <w:keepNext w:val="0"/>
        <w:keepLines w:val="0"/>
        <w:pageBreakBefore w:val="0"/>
        <w:widowControl/>
        <w:tabs>
          <w:tab w:val="left" w:pos="0"/>
        </w:tabs>
        <w:kinsoku/>
        <w:wordWrap/>
        <w:overflowPunct/>
        <w:topLinePunct w:val="0"/>
        <w:autoSpaceDE/>
        <w:autoSpaceDN w:val="0"/>
        <w:bidi w:val="0"/>
        <w:adjustRightInd/>
        <w:snapToGrid/>
        <w:spacing w:line="360" w:lineRule="auto"/>
        <w:ind w:firstLine="480" w:firstLineChars="200"/>
        <w:textAlignment w:val="auto"/>
        <w:rPr>
          <w:rFonts w:hint="default" w:ascii="Times New Roman"/>
          <w:color w:val="auto"/>
          <w:kern w:val="2"/>
          <w:szCs w:val="24"/>
        </w:rPr>
      </w:pPr>
      <w:r>
        <w:rPr>
          <w:rFonts w:hint="default" w:ascii="Times New Roman"/>
          <w:color w:val="auto"/>
          <w:kern w:val="2"/>
          <w:szCs w:val="24"/>
        </w:rPr>
        <w:t>为尽量降低该项目食堂废气污染， 改善食堂工作人员工作环境， 项目采取如下措施：</w:t>
      </w:r>
    </w:p>
    <w:p>
      <w:pPr>
        <w:keepNext w:val="0"/>
        <w:keepLines w:val="0"/>
        <w:pageBreakBefore w:val="0"/>
        <w:widowControl/>
        <w:tabs>
          <w:tab w:val="left" w:pos="0"/>
        </w:tabs>
        <w:kinsoku/>
        <w:wordWrap/>
        <w:overflowPunct/>
        <w:topLinePunct w:val="0"/>
        <w:autoSpaceDE/>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2"/>
          <w:szCs w:val="24"/>
          <w:lang w:eastAsia="zh-CN"/>
        </w:rPr>
      </w:pPr>
      <w:r>
        <w:rPr>
          <w:rFonts w:hint="default" w:ascii="Times New Roman" w:hAnsi="Times New Roman" w:cs="Times New Roman"/>
          <w:color w:val="auto"/>
          <w:kern w:val="2"/>
          <w:szCs w:val="24"/>
        </w:rPr>
        <w:t>①加大食堂通风量，保证食堂内适当负压，防止污染物外逸形成无组织排放</w:t>
      </w:r>
      <w:r>
        <w:rPr>
          <w:rFonts w:hint="eastAsia" w:cs="宋体"/>
          <w:color w:val="auto"/>
          <w:kern w:val="2"/>
          <w:szCs w:val="24"/>
          <w:lang w:eastAsia="zh-CN"/>
        </w:rPr>
        <w:t>；</w:t>
      </w:r>
    </w:p>
    <w:p>
      <w:pPr>
        <w:keepNext w:val="0"/>
        <w:keepLines w:val="0"/>
        <w:pageBreakBefore w:val="0"/>
        <w:widowControl/>
        <w:tabs>
          <w:tab w:val="left" w:pos="0"/>
        </w:tabs>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②定期对油烟净化器进行维护和保养，使之在最佳工况下运行。</w:t>
      </w:r>
    </w:p>
    <w:p>
      <w:pPr>
        <w:keepNext w:val="0"/>
        <w:keepLines w:val="0"/>
        <w:pageBreakBefore w:val="0"/>
        <w:widowControl/>
        <w:tabs>
          <w:tab w:val="left" w:pos="0"/>
        </w:tabs>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采取以上油烟净化的污染措施后，本项目食堂油烟对周围大气环境影响较小。</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default" w:hAnsi="宋体"/>
          <w:color w:val="auto"/>
          <w:highlight w:val="none"/>
          <w:lang w:val="en-US" w:eastAsia="zh-CN"/>
        </w:rPr>
      </w:pPr>
      <w:r>
        <w:rPr>
          <w:rFonts w:hint="eastAsia" w:hAnsi="宋体"/>
          <w:color w:val="auto"/>
          <w:highlight w:val="none"/>
          <w:lang w:eastAsia="zh-CN"/>
        </w:rPr>
        <w:t>（</w:t>
      </w:r>
      <w:r>
        <w:rPr>
          <w:rFonts w:hint="eastAsia" w:hAnsi="宋体"/>
          <w:color w:val="auto"/>
          <w:highlight w:val="none"/>
          <w:lang w:val="en-US" w:eastAsia="zh-CN"/>
        </w:rPr>
        <w:t>4</w:t>
      </w:r>
      <w:r>
        <w:rPr>
          <w:rFonts w:hint="eastAsia" w:hAnsi="宋体"/>
          <w:color w:val="auto"/>
          <w:highlight w:val="none"/>
          <w:lang w:eastAsia="zh-CN"/>
        </w:rPr>
        <w:t>）</w:t>
      </w:r>
      <w:r>
        <w:rPr>
          <w:rFonts w:hint="eastAsia" w:hAnsi="宋体"/>
          <w:color w:val="auto"/>
          <w:highlight w:val="none"/>
          <w:lang w:val="en-US" w:eastAsia="zh-CN"/>
        </w:rPr>
        <w:t>天然气燃烧废气</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cs="Times New Roman"/>
          <w:color w:val="auto"/>
          <w:sz w:val="24"/>
          <w:szCs w:val="24"/>
          <w:highlight w:val="none"/>
          <w:lang w:val="en-US" w:eastAsia="zh-CN"/>
        </w:rPr>
      </w:pPr>
      <w:r>
        <w:rPr>
          <w:rFonts w:hint="eastAsia"/>
          <w:color w:val="auto"/>
          <w:highlight w:val="none"/>
          <w:lang w:val="en-US" w:eastAsia="zh-CN"/>
        </w:rPr>
        <w:t>项目的锅炉采用低氮燃烧器，燃烧后的废气通过管道引至</w:t>
      </w:r>
      <w:r>
        <w:rPr>
          <w:rFonts w:hint="eastAsia" w:ascii="Times New Roman" w:hAnsi="Times New Roman" w:eastAsia="宋体" w:cs="Times New Roman"/>
          <w:color w:val="auto"/>
          <w:kern w:val="2"/>
          <w:sz w:val="24"/>
          <w:szCs w:val="24"/>
          <w:highlight w:val="none"/>
          <w:lang w:val="en-US" w:eastAsia="zh-CN" w:bidi="ar-SA"/>
        </w:rPr>
        <w:t>医技综合楼</w:t>
      </w:r>
      <w:r>
        <w:rPr>
          <w:rFonts w:hint="eastAsia"/>
          <w:color w:val="auto"/>
          <w:vertAlign w:val="baseline"/>
          <w:lang w:val="en-US" w:eastAsia="zh-CN"/>
        </w:rPr>
        <w:t>南楼</w:t>
      </w:r>
      <w:r>
        <w:rPr>
          <w:rFonts w:hint="eastAsia"/>
          <w:color w:val="auto"/>
          <w:highlight w:val="none"/>
          <w:lang w:val="en-US" w:eastAsia="zh-CN"/>
        </w:rPr>
        <w:t>楼顶排放。根据工程分析，</w:t>
      </w:r>
      <w:r>
        <w:rPr>
          <w:rFonts w:hint="eastAsia" w:hAnsi="宋体"/>
          <w:color w:val="auto"/>
          <w:highlight w:val="none"/>
          <w:lang w:val="en-US" w:eastAsia="zh-CN"/>
        </w:rPr>
        <w:t>天然气燃烧</w:t>
      </w:r>
      <w:r>
        <w:rPr>
          <w:rFonts w:hint="eastAsia"/>
          <w:color w:val="auto"/>
          <w:highlight w:val="none"/>
          <w:lang w:val="en-US" w:eastAsia="zh-CN"/>
        </w:rPr>
        <w:t>废气排放浓度满足《锅炉大气污染物排放标准》</w:t>
      </w:r>
      <w:r>
        <w:rPr>
          <w:rFonts w:hint="eastAsia" w:ascii="Times New Roman" w:hAnsi="Times New Roman" w:cs="Times New Roman"/>
          <w:color w:val="auto"/>
          <w:highlight w:val="none"/>
          <w:lang w:val="en-US" w:eastAsia="zh-CN"/>
        </w:rPr>
        <w:t>（GB13271-2014）表3大气污染物特别排放限值</w:t>
      </w:r>
      <w:r>
        <w:rPr>
          <w:rFonts w:hint="eastAsia" w:cs="Times New Roman"/>
          <w:color w:val="auto"/>
          <w:highlight w:val="none"/>
          <w:lang w:val="en-US" w:eastAsia="zh-CN"/>
        </w:rPr>
        <w:t>要</w:t>
      </w:r>
      <w:r>
        <w:rPr>
          <w:rFonts w:hint="eastAsia" w:cs="Times New Roman"/>
          <w:color w:val="auto"/>
          <w:sz w:val="24"/>
          <w:szCs w:val="24"/>
          <w:highlight w:val="none"/>
          <w:lang w:val="en-US" w:eastAsia="zh-CN"/>
        </w:rPr>
        <w:t>求及</w:t>
      </w:r>
      <w:r>
        <w:rPr>
          <w:rFonts w:hint="default" w:ascii="Times New Roman" w:hAnsi="Times New Roman" w:eastAsia="宋体" w:cs="Times New Roman"/>
          <w:color w:val="auto"/>
          <w:sz w:val="24"/>
          <w:szCs w:val="24"/>
          <w:highlight w:val="none"/>
          <w:vertAlign w:val="baseline"/>
          <w:lang w:val="en-US" w:eastAsia="zh-CN"/>
        </w:rPr>
        <w:t>《安徽省大气办关于印发安徽省2020年大气污染防治重点工作任务的通知》（皖大气办[2020]2号）</w:t>
      </w:r>
      <w:r>
        <w:rPr>
          <w:rFonts w:hint="default" w:ascii="Times New Roman" w:hAnsi="Times New Roman" w:eastAsia="宋体" w:cs="Times New Roman"/>
          <w:color w:val="auto"/>
          <w:kern w:val="2"/>
          <w:sz w:val="24"/>
          <w:szCs w:val="24"/>
          <w:lang w:val="en-US" w:eastAsia="zh-CN" w:bidi="ar"/>
        </w:rPr>
        <w:t>中</w:t>
      </w:r>
      <w:r>
        <w:rPr>
          <w:rFonts w:hint="eastAsia" w:ascii="Times New Roman" w:hAnsi="Times New Roman" w:eastAsia="宋体" w:cs="宋体"/>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NO</w:t>
      </w:r>
      <w:r>
        <w:rPr>
          <w:rFonts w:hint="default" w:ascii="Times New Roman" w:hAnsi="Times New Roman" w:eastAsia="宋体" w:cs="Times New Roman"/>
          <w:color w:val="auto"/>
          <w:kern w:val="2"/>
          <w:sz w:val="24"/>
          <w:szCs w:val="24"/>
          <w:vertAlign w:val="subscript"/>
          <w:lang w:val="en-US" w:eastAsia="zh-CN" w:bidi="ar"/>
        </w:rPr>
        <w:t>X</w:t>
      </w:r>
      <w:r>
        <w:rPr>
          <w:rFonts w:hint="default" w:ascii="Times New Roman" w:hAnsi="Times New Roman" w:eastAsia="宋体" w:cs="Times New Roman"/>
          <w:color w:val="auto"/>
          <w:kern w:val="2"/>
          <w:sz w:val="24"/>
          <w:szCs w:val="24"/>
          <w:lang w:val="en-US" w:eastAsia="zh-CN" w:bidi="ar"/>
        </w:rPr>
        <w:t>排放浓度不高于50毫克/立方米</w:t>
      </w:r>
      <w:r>
        <w:rPr>
          <w:rFonts w:hint="eastAsia" w:ascii="Times New Roman" w:hAnsi="Times New Roman" w:eastAsia="宋体" w:cs="宋体"/>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的要求</w:t>
      </w:r>
      <w:r>
        <w:rPr>
          <w:rFonts w:hint="eastAsia" w:cs="Times New Roman"/>
          <w:color w:val="auto"/>
          <w:sz w:val="24"/>
          <w:szCs w:val="24"/>
          <w:highlight w:val="none"/>
          <w:lang w:val="en-US" w:eastAsia="zh-CN"/>
        </w:rPr>
        <w:t>。</w:t>
      </w:r>
    </w:p>
    <w:p>
      <w:pPr>
        <w:pageBreakBefore w:val="0"/>
        <w:kinsoku/>
        <w:wordWrap/>
        <w:overflowPunct/>
        <w:topLinePunct w:val="0"/>
        <w:autoSpaceDE/>
        <w:bidi w:val="0"/>
        <w:adjustRightInd/>
        <w:snapToGrid/>
        <w:spacing w:line="360" w:lineRule="auto"/>
        <w:textAlignment w:val="auto"/>
        <w:rPr>
          <w:rFonts w:hint="default"/>
          <w:color w:val="auto"/>
          <w:lang w:val="en-US" w:eastAsia="zh-CN"/>
        </w:rPr>
      </w:pPr>
      <w:r>
        <w:rPr>
          <w:rFonts w:hint="eastAsia"/>
          <w:color w:val="auto"/>
          <w:lang w:val="en-US" w:eastAsia="zh-CN"/>
        </w:rPr>
        <w:t>本项目用天然气燃烧释放的热能加热热水，属于燃气锅炉，对照《排污许可证申请与核发技术规范 锅炉》（HJ953—2018 ），本项目采用低氮燃烧符合可行技术要求。</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color w:val="auto"/>
        </w:rPr>
      </w:pPr>
      <w:r>
        <w:rPr>
          <w:rFonts w:hint="eastAsia" w:hAnsi="宋体"/>
          <w:color w:val="auto"/>
          <w:lang w:eastAsia="zh-CN"/>
        </w:rPr>
        <w:t>（</w:t>
      </w:r>
      <w:r>
        <w:rPr>
          <w:rFonts w:hint="eastAsia" w:hAnsi="宋体"/>
          <w:color w:val="auto"/>
          <w:lang w:val="en-US" w:eastAsia="zh-CN"/>
        </w:rPr>
        <w:t>5</w:t>
      </w:r>
      <w:r>
        <w:rPr>
          <w:rFonts w:hint="eastAsia" w:hAnsi="宋体"/>
          <w:color w:val="auto"/>
          <w:lang w:eastAsia="zh-CN"/>
        </w:rPr>
        <w:t>）</w:t>
      </w:r>
      <w:r>
        <w:rPr>
          <w:rFonts w:hint="eastAsia" w:hAnsi="宋体"/>
          <w:color w:val="auto"/>
        </w:rPr>
        <w:t>柴油燃烧烟气</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hAnsi="宋体"/>
          <w:color w:val="auto"/>
        </w:rPr>
      </w:pPr>
      <w:r>
        <w:rPr>
          <w:color w:val="auto"/>
          <w:szCs w:val="21"/>
        </w:rPr>
        <w:t>柴油发电机应急及试机过程中</w:t>
      </w:r>
      <w:r>
        <w:rPr>
          <w:rFonts w:hint="eastAsia"/>
          <w:color w:val="auto"/>
          <w:szCs w:val="21"/>
        </w:rPr>
        <w:t>会有烟气产生，主要污染物为</w:t>
      </w:r>
      <w:r>
        <w:rPr>
          <w:color w:val="auto"/>
          <w:szCs w:val="21"/>
        </w:rPr>
        <w:t>SO</w:t>
      </w:r>
      <w:r>
        <w:rPr>
          <w:color w:val="auto"/>
          <w:szCs w:val="21"/>
          <w:vertAlign w:val="subscript"/>
        </w:rPr>
        <w:t>2</w:t>
      </w:r>
      <w:r>
        <w:rPr>
          <w:color w:val="auto"/>
          <w:szCs w:val="21"/>
        </w:rPr>
        <w:t>、NOx</w:t>
      </w:r>
      <w:r>
        <w:rPr>
          <w:rFonts w:hint="eastAsia"/>
          <w:color w:val="auto"/>
          <w:szCs w:val="21"/>
        </w:rPr>
        <w:t>和</w:t>
      </w:r>
      <w:r>
        <w:rPr>
          <w:color w:val="auto"/>
          <w:szCs w:val="21"/>
        </w:rPr>
        <w:t>烟尘</w:t>
      </w:r>
      <w:r>
        <w:rPr>
          <w:rFonts w:hint="eastAsia"/>
          <w:color w:val="auto"/>
          <w:szCs w:val="21"/>
        </w:rPr>
        <w:t>，产</w:t>
      </w:r>
      <w:r>
        <w:rPr>
          <w:rFonts w:hint="eastAsia"/>
          <w:color w:val="auto"/>
          <w:szCs w:val="21"/>
          <w:lang w:val="en-US" w:eastAsia="zh-CN"/>
        </w:rPr>
        <w:t>生</w:t>
      </w:r>
      <w:r>
        <w:rPr>
          <w:rFonts w:hint="eastAsia"/>
          <w:color w:val="auto"/>
          <w:szCs w:val="21"/>
        </w:rPr>
        <w:t>量较小</w:t>
      </w:r>
      <w:r>
        <w:rPr>
          <w:color w:val="auto"/>
          <w:szCs w:val="21"/>
        </w:rPr>
        <w:t>，</w:t>
      </w:r>
      <w:r>
        <w:rPr>
          <w:rFonts w:hint="eastAsia"/>
          <w:color w:val="auto"/>
          <w:szCs w:val="21"/>
        </w:rPr>
        <w:t>为了减少柴油燃烧烟气中黑烟颗粒物对大气环境的影响，环评要求应急柴油发电机设置柴油发电机配套的尾气净化系统（DPF黑烟颗粒捕捉器）</w:t>
      </w:r>
      <w:r>
        <w:rPr>
          <w:rFonts w:hint="eastAsia"/>
          <w:color w:val="auto"/>
          <w:szCs w:val="21"/>
          <w:lang w:eastAsia="zh-CN"/>
        </w:rPr>
        <w:t>，</w:t>
      </w:r>
      <w:r>
        <w:rPr>
          <w:rFonts w:hint="eastAsia"/>
          <w:color w:val="auto"/>
          <w:szCs w:val="21"/>
        </w:rPr>
        <w:t>柴油发电机尾气引至</w:t>
      </w:r>
      <w:r>
        <w:rPr>
          <w:rFonts w:hint="eastAsia"/>
          <w:color w:val="auto"/>
          <w:szCs w:val="21"/>
          <w:lang w:eastAsia="zh-CN"/>
        </w:rPr>
        <w:t>医技综合楼</w:t>
      </w:r>
      <w:r>
        <w:rPr>
          <w:rFonts w:hint="eastAsia"/>
          <w:color w:val="auto"/>
          <w:vertAlign w:val="baseline"/>
          <w:lang w:val="en-US" w:eastAsia="zh-CN"/>
        </w:rPr>
        <w:t>南楼</w:t>
      </w:r>
      <w:r>
        <w:rPr>
          <w:rFonts w:hint="eastAsia"/>
          <w:color w:val="auto"/>
          <w:szCs w:val="21"/>
        </w:rPr>
        <w:t>楼</w:t>
      </w:r>
      <w:r>
        <w:rPr>
          <w:rFonts w:hint="eastAsia"/>
          <w:color w:val="auto"/>
        </w:rPr>
        <w:t>顶排放，</w:t>
      </w:r>
      <w:r>
        <w:rPr>
          <w:rFonts w:hint="eastAsia"/>
          <w:color w:val="auto"/>
          <w:szCs w:val="21"/>
        </w:rPr>
        <w:t>颗粒物去除效率达90%以上。</w:t>
      </w:r>
    </w:p>
    <w:p>
      <w:pPr>
        <w:keepNext w:val="0"/>
        <w:keepLines w:val="0"/>
        <w:pageBreakBefore w:val="0"/>
        <w:kinsoku/>
        <w:wordWrap/>
        <w:overflowPunct/>
        <w:topLinePunct w:val="0"/>
        <w:autoSpaceDE/>
        <w:bidi w:val="0"/>
        <w:adjustRightInd/>
        <w:snapToGrid/>
        <w:spacing w:line="360" w:lineRule="auto"/>
        <w:ind w:firstLine="480" w:firstLineChars="200"/>
        <w:textAlignment w:val="auto"/>
        <w:rPr>
          <w:rFonts w:hint="eastAsia"/>
          <w:color w:val="auto"/>
        </w:rPr>
      </w:pPr>
      <w:r>
        <w:rPr>
          <w:rFonts w:hint="eastAsia" w:hAnsi="宋体"/>
          <w:color w:val="auto"/>
        </w:rPr>
        <w:t>柴油发电机的排气从入口进入过滤体，然后由入口通道的壁流面流入出口通道，再从出口通道排出。尾气在通过通道壁时，微粒被捕集于壁内或壁面上，以完成尾气排放炭烟颗粒净化工作。可减少柴油发动机所产生的烟灰达90%以上。DPF系列净化器采用人工清灰再生方式，使用一段时间后需人工拆下DPF净化芯除灰。</w:t>
      </w:r>
    </w:p>
    <w:p>
      <w:pPr>
        <w:pStyle w:val="5"/>
        <w:pageBreakBefore w:val="0"/>
        <w:numPr>
          <w:ilvl w:val="0"/>
          <w:numId w:val="0"/>
        </w:numPr>
        <w:kinsoku/>
        <w:wordWrap/>
        <w:overflowPunct/>
        <w:topLinePunct w:val="0"/>
        <w:autoSpaceDE/>
        <w:bidi w:val="0"/>
        <w:adjustRightInd/>
        <w:snapToGrid/>
        <w:spacing w:before="0" w:beforeLines="0" w:line="360" w:lineRule="auto"/>
        <w:ind w:leftChars="0"/>
        <w:textAlignment w:val="auto"/>
        <w:rPr>
          <w:rFonts w:hint="eastAsia"/>
          <w:color w:val="auto"/>
        </w:rPr>
      </w:pPr>
      <w:r>
        <w:rPr>
          <w:rFonts w:hint="eastAsia"/>
          <w:color w:val="auto"/>
          <w:lang w:val="en-US" w:eastAsia="zh-CN"/>
        </w:rPr>
        <w:t>6.2.2</w:t>
      </w:r>
      <w:r>
        <w:rPr>
          <w:rFonts w:hint="eastAsia"/>
          <w:color w:val="auto"/>
        </w:rPr>
        <w:t>废水环境保护措施分析</w:t>
      </w:r>
    </w:p>
    <w:p>
      <w:pPr>
        <w:pStyle w:val="2"/>
        <w:pageBreakBefore w:val="0"/>
        <w:numPr>
          <w:ilvl w:val="0"/>
          <w:numId w:val="0"/>
        </w:numPr>
        <w:kinsoku/>
        <w:wordWrap/>
        <w:overflowPunct/>
        <w:topLinePunct w:val="0"/>
        <w:autoSpaceDE/>
        <w:bidi w:val="0"/>
        <w:adjustRightInd/>
        <w:snapToGrid/>
        <w:spacing w:line="360" w:lineRule="auto"/>
        <w:textAlignment w:val="auto"/>
        <w:rPr>
          <w:rFonts w:hint="eastAsia"/>
          <w:color w:val="auto"/>
        </w:rPr>
      </w:pPr>
      <w:r>
        <w:rPr>
          <w:rFonts w:hint="eastAsia"/>
          <w:color w:val="auto"/>
          <w:lang w:val="en-US" w:eastAsia="zh-CN"/>
        </w:rPr>
        <w:t>6.2.2.1</w:t>
      </w:r>
      <w:r>
        <w:rPr>
          <w:rFonts w:hint="eastAsia"/>
          <w:color w:val="auto"/>
        </w:rPr>
        <w:t>废水源强</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textAlignment w:val="auto"/>
        <w:rPr>
          <w:rFonts w:hint="eastAsia"/>
          <w:color w:val="auto"/>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color w:val="auto"/>
          <w:sz w:val="24"/>
          <w:lang w:eastAsia="zh-CN"/>
        </w:rPr>
        <w:t>项目的传染性废水</w:t>
      </w:r>
      <w:r>
        <w:rPr>
          <w:rFonts w:hint="eastAsia" w:ascii="Times New Roman" w:hAnsi="Times New Roman" w:eastAsia="宋体" w:cs="Times New Roman"/>
          <w:color w:val="auto"/>
          <w:spacing w:val="0"/>
          <w:w w:val="100"/>
          <w:highlight w:val="none"/>
          <w:lang w:eastAsia="zh-CN"/>
        </w:rPr>
        <w:t>经</w:t>
      </w:r>
      <w:r>
        <w:rPr>
          <w:rFonts w:hint="eastAsia" w:cs="Times New Roman"/>
          <w:color w:val="auto"/>
          <w:spacing w:val="0"/>
          <w:w w:val="100"/>
          <w:highlight w:val="none"/>
          <w:lang w:eastAsia="zh-CN"/>
        </w:rPr>
        <w:t>特殊门诊楼</w:t>
      </w:r>
      <w:r>
        <w:rPr>
          <w:rFonts w:hint="eastAsia" w:ascii="Times New Roman" w:hAnsi="Times New Roman" w:eastAsia="宋体" w:cs="Times New Roman"/>
          <w:color w:val="auto"/>
          <w:spacing w:val="0"/>
          <w:w w:val="100"/>
          <w:highlight w:val="none"/>
          <w:lang w:eastAsia="zh-CN"/>
        </w:rPr>
        <w:t>污水管道收集后汇入</w:t>
      </w:r>
      <w:r>
        <w:rPr>
          <w:rFonts w:hint="eastAsia" w:cs="Times New Roman"/>
          <w:color w:val="auto"/>
          <w:spacing w:val="0"/>
          <w:w w:val="100"/>
          <w:highlight w:val="none"/>
          <w:lang w:eastAsia="zh-CN"/>
        </w:rPr>
        <w:t>特殊门诊楼</w:t>
      </w:r>
      <w:r>
        <w:rPr>
          <w:rFonts w:hint="eastAsia" w:ascii="Times New Roman" w:hAnsi="Times New Roman" w:eastAsia="宋体" w:cs="Times New Roman"/>
          <w:color w:val="auto"/>
          <w:spacing w:val="0"/>
          <w:w w:val="100"/>
          <w:highlight w:val="none"/>
          <w:lang w:eastAsia="zh-CN"/>
        </w:rPr>
        <w:t>下方的消毒池预处理，然后经院区污水管道</w:t>
      </w:r>
      <w:r>
        <w:rPr>
          <w:rFonts w:hint="eastAsia"/>
          <w:color w:val="auto"/>
          <w:sz w:val="24"/>
          <w:lang w:eastAsia="zh-CN"/>
        </w:rPr>
        <w:t>进入院区污水处理站进一步处理</w:t>
      </w:r>
      <w:r>
        <w:rPr>
          <w:rFonts w:hint="eastAsia" w:cs="宋体"/>
          <w:color w:val="auto"/>
          <w:sz w:val="24"/>
          <w:lang w:eastAsia="zh-CN"/>
        </w:rPr>
        <w:t>；</w:t>
      </w:r>
      <w:r>
        <w:rPr>
          <w:rFonts w:hint="eastAsia"/>
          <w:color w:val="auto"/>
          <w:sz w:val="24"/>
          <w:lang w:eastAsia="zh-CN"/>
        </w:rPr>
        <w:t>非传染性废水含门急诊医技楼、住院（</w:t>
      </w:r>
      <w:r>
        <w:rPr>
          <w:rFonts w:hint="eastAsia"/>
          <w:color w:val="auto"/>
          <w:sz w:val="24"/>
          <w:lang w:val="en-US" w:eastAsia="zh-CN"/>
        </w:rPr>
        <w:t>病床</w:t>
      </w:r>
      <w:r>
        <w:rPr>
          <w:rFonts w:hint="eastAsia"/>
          <w:color w:val="auto"/>
          <w:sz w:val="24"/>
          <w:lang w:eastAsia="zh-CN"/>
        </w:rPr>
        <w:t>）废水、</w:t>
      </w:r>
      <w:r>
        <w:rPr>
          <w:rFonts w:hint="eastAsia" w:ascii="Times New Roman" w:hAnsi="Times New Roman" w:eastAsia="宋体" w:cs="Times New Roman"/>
          <w:color w:val="auto"/>
          <w:spacing w:val="0"/>
          <w:w w:val="100"/>
          <w:highlight w:val="none"/>
          <w:lang w:eastAsia="zh-CN"/>
        </w:rPr>
        <w:t>医护人员</w:t>
      </w:r>
      <w:r>
        <w:rPr>
          <w:rFonts w:hint="eastAsia"/>
          <w:color w:val="auto"/>
          <w:sz w:val="24"/>
          <w:lang w:eastAsia="zh-CN"/>
        </w:rPr>
        <w:t>办公生活污水、</w:t>
      </w:r>
      <w:r>
        <w:rPr>
          <w:rFonts w:hint="eastAsia" w:ascii="Times New Roman" w:hAnsi="Times New Roman" w:eastAsia="宋体" w:cs="Times New Roman"/>
          <w:color w:val="auto"/>
          <w:spacing w:val="0"/>
          <w:w w:val="100"/>
          <w:highlight w:val="none"/>
          <w:lang w:eastAsia="zh-CN"/>
        </w:rPr>
        <w:t>行政及后勤人员</w:t>
      </w:r>
      <w:r>
        <w:rPr>
          <w:rFonts w:hint="eastAsia"/>
          <w:color w:val="auto"/>
          <w:sz w:val="24"/>
          <w:lang w:eastAsia="zh-CN"/>
        </w:rPr>
        <w:t>生活污水、</w:t>
      </w:r>
      <w:r>
        <w:rPr>
          <w:rFonts w:hint="eastAsia" w:ascii="Times New Roman" w:hAnsi="Times New Roman" w:eastAsia="宋体" w:cs="Times New Roman"/>
          <w:color w:val="auto"/>
          <w:spacing w:val="0"/>
          <w:w w:val="100"/>
          <w:highlight w:val="none"/>
          <w:lang w:eastAsia="zh-CN"/>
        </w:rPr>
        <w:t>陪护人员</w:t>
      </w:r>
      <w:r>
        <w:rPr>
          <w:rFonts w:hint="eastAsia"/>
          <w:color w:val="auto"/>
          <w:sz w:val="24"/>
          <w:lang w:eastAsia="zh-CN"/>
        </w:rPr>
        <w:t>生活污水、软水制备浓水等，经管道收集后进入院区污水处理站处理</w:t>
      </w:r>
      <w:r>
        <w:rPr>
          <w:rFonts w:hint="eastAsia"/>
          <w:color w:val="auto"/>
          <w:sz w:val="24"/>
        </w:rPr>
        <w:t>。</w:t>
      </w:r>
      <w:r>
        <w:rPr>
          <w:color w:val="auto"/>
          <w:sz w:val="24"/>
        </w:rPr>
        <w:t>废水处理达到《医疗机构水污染物排放标准》GB18466-2005表</w:t>
      </w:r>
      <w:r>
        <w:rPr>
          <w:rFonts w:hint="eastAsia"/>
          <w:color w:val="auto"/>
          <w:sz w:val="24"/>
          <w:lang w:val="en-US" w:eastAsia="zh-CN"/>
        </w:rPr>
        <w:t>2</w:t>
      </w:r>
      <w:r>
        <w:rPr>
          <w:color w:val="auto"/>
          <w:sz w:val="24"/>
        </w:rPr>
        <w:t>中</w:t>
      </w:r>
      <w:r>
        <w:rPr>
          <w:rFonts w:hint="eastAsia"/>
          <w:color w:val="auto"/>
          <w:sz w:val="24"/>
        </w:rPr>
        <w:t>预处理</w:t>
      </w:r>
      <w:r>
        <w:rPr>
          <w:color w:val="auto"/>
          <w:sz w:val="24"/>
        </w:rPr>
        <w:t>标准</w:t>
      </w:r>
      <w:r>
        <w:rPr>
          <w:rFonts w:hint="eastAsia"/>
          <w:color w:val="auto"/>
          <w:sz w:val="24"/>
          <w:lang w:eastAsia="zh-CN"/>
        </w:rPr>
        <w:t>及十五里河污水处理厂接管标准</w:t>
      </w:r>
      <w:r>
        <w:rPr>
          <w:color w:val="auto"/>
          <w:sz w:val="24"/>
        </w:rPr>
        <w:t>后排入市政污水管网，</w:t>
      </w:r>
      <w:r>
        <w:rPr>
          <w:rFonts w:hint="eastAsia"/>
          <w:color w:val="auto"/>
          <w:sz w:val="24"/>
          <w:lang w:eastAsia="zh-CN"/>
        </w:rPr>
        <w:t>经十五里河污水处理厂深度</w:t>
      </w:r>
      <w:r>
        <w:rPr>
          <w:rFonts w:hint="eastAsia"/>
          <w:color w:val="auto"/>
          <w:sz w:val="24"/>
        </w:rPr>
        <w:t>处理达标后</w:t>
      </w:r>
      <w:r>
        <w:rPr>
          <w:rFonts w:hint="eastAsia"/>
          <w:color w:val="auto"/>
          <w:sz w:val="24"/>
          <w:lang w:eastAsia="zh-CN"/>
        </w:rPr>
        <w:t>尾水</w:t>
      </w:r>
      <w:r>
        <w:rPr>
          <w:color w:val="auto"/>
          <w:sz w:val="24"/>
        </w:rPr>
        <w:t>排入</w:t>
      </w:r>
      <w:r>
        <w:rPr>
          <w:rFonts w:hint="eastAsia"/>
          <w:color w:val="auto"/>
          <w:sz w:val="24"/>
          <w:lang w:eastAsia="zh-CN"/>
        </w:rPr>
        <w:t>十五里河。项目废水</w:t>
      </w:r>
      <w:r>
        <w:rPr>
          <w:rFonts w:hint="eastAsia"/>
          <w:color w:val="auto"/>
        </w:rPr>
        <w:t>污染物产生及排放情况如下：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b/>
          <w:color w:val="auto"/>
          <w:sz w:val="21"/>
          <w:szCs w:val="21"/>
          <w:lang w:eastAsia="zh-CN"/>
        </w:rPr>
      </w:pPr>
      <w:r>
        <w:rPr>
          <w:rFonts w:hAnsi="宋体"/>
          <w:b/>
          <w:color w:val="auto"/>
          <w:sz w:val="21"/>
          <w:szCs w:val="21"/>
        </w:rPr>
        <w:t>表</w:t>
      </w:r>
      <w:r>
        <w:rPr>
          <w:rFonts w:hint="eastAsia" w:hAnsi="宋体"/>
          <w:b/>
          <w:color w:val="auto"/>
          <w:sz w:val="21"/>
          <w:szCs w:val="21"/>
          <w:lang w:val="en-US" w:eastAsia="zh-CN"/>
        </w:rPr>
        <w:t>6</w:t>
      </w:r>
      <w:r>
        <w:rPr>
          <w:rFonts w:hint="eastAsia"/>
          <w:b/>
          <w:color w:val="auto"/>
          <w:sz w:val="21"/>
          <w:szCs w:val="21"/>
        </w:rPr>
        <w:t>.2-</w:t>
      </w:r>
      <w:r>
        <w:rPr>
          <w:rFonts w:hint="eastAsia"/>
          <w:b/>
          <w:color w:val="auto"/>
          <w:sz w:val="21"/>
          <w:szCs w:val="21"/>
          <w:lang w:val="en-US" w:eastAsia="zh-CN"/>
        </w:rPr>
        <w:t>2</w:t>
      </w:r>
      <w:r>
        <w:rPr>
          <w:rFonts w:hint="eastAsia"/>
          <w:b/>
          <w:color w:val="auto"/>
          <w:sz w:val="21"/>
          <w:szCs w:val="21"/>
        </w:rPr>
        <w:t xml:space="preserve">  项目</w:t>
      </w:r>
      <w:r>
        <w:rPr>
          <w:rFonts w:hint="eastAsia"/>
          <w:b/>
          <w:color w:val="auto"/>
          <w:sz w:val="21"/>
          <w:szCs w:val="21"/>
          <w:lang w:eastAsia="zh-CN"/>
        </w:rPr>
        <w:t>新增</w:t>
      </w:r>
      <w:r>
        <w:rPr>
          <w:rFonts w:hint="eastAsia"/>
          <w:b/>
          <w:color w:val="auto"/>
          <w:sz w:val="21"/>
          <w:szCs w:val="21"/>
        </w:rPr>
        <w:t>废水产生及</w:t>
      </w:r>
      <w:r>
        <w:rPr>
          <w:rFonts w:hint="eastAsia"/>
          <w:b/>
          <w:color w:val="auto"/>
          <w:sz w:val="21"/>
          <w:szCs w:val="21"/>
          <w:lang w:eastAsia="zh-CN"/>
        </w:rPr>
        <w:t>治理</w:t>
      </w:r>
      <w:r>
        <w:rPr>
          <w:rFonts w:hint="eastAsia" w:ascii="宋体" w:hAnsi="宋体"/>
          <w:b/>
          <w:color w:val="auto"/>
          <w:sz w:val="21"/>
          <w:szCs w:val="21"/>
        </w:rPr>
        <w:t>情况</w:t>
      </w:r>
      <w:r>
        <w:rPr>
          <w:rFonts w:hint="eastAsia" w:ascii="宋体" w:hAnsi="宋体"/>
          <w:b/>
          <w:color w:val="auto"/>
          <w:sz w:val="21"/>
          <w:szCs w:val="21"/>
          <w:lang w:eastAsia="zh-CN"/>
        </w:rPr>
        <w:t>一览表</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701"/>
        <w:gridCol w:w="1667"/>
        <w:gridCol w:w="1349"/>
        <w:gridCol w:w="1094"/>
        <w:gridCol w:w="1094"/>
        <w:gridCol w:w="1094"/>
        <w:gridCol w:w="1094"/>
        <w:gridCol w:w="1097"/>
        <w:gridCol w:w="1698"/>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废水性质</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废水量</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eastAsia="zh-CN"/>
              </w:rPr>
              <w:t>）</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3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3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动植物油</w:t>
            </w:r>
          </w:p>
        </w:tc>
        <w:tc>
          <w:tcPr>
            <w:tcW w:w="5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粪大肠菌群</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MPN/L)</w:t>
            </w:r>
          </w:p>
        </w:tc>
        <w:tc>
          <w:tcPr>
            <w:tcW w:w="5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废水</w:t>
            </w:r>
          </w:p>
        </w:tc>
        <w:tc>
          <w:tcPr>
            <w:tcW w:w="59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传染性废水</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处理前</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36306</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3.0×108</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特殊门诊</w:t>
            </w:r>
            <w:r>
              <w:rPr>
                <w:rFonts w:hint="default" w:ascii="Times New Roman" w:hAnsi="Times New Roman" w:eastAsia="宋体" w:cs="Times New Roman"/>
                <w:i w:val="0"/>
                <w:iCs w:val="0"/>
                <w:color w:val="auto"/>
                <w:kern w:val="0"/>
                <w:sz w:val="21"/>
                <w:szCs w:val="21"/>
                <w:highlight w:val="none"/>
                <w:u w:val="none"/>
                <w:lang w:val="en-US" w:eastAsia="zh-CN" w:bidi="ar"/>
              </w:rPr>
              <w:t>废水，预消毒后进入二期污水处理站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去除率</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≥99.9999%</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处理后</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3000</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59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综合废水</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产生浓度（mg/L）</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350327</w:t>
            </w:r>
            <w:r>
              <w:rPr>
                <w:rFonts w:hint="eastAsia" w:ascii="Times New Roman" w:hAnsi="Times New Roman" w:eastAsia="宋体" w:cs="Times New Roman"/>
                <w:color w:val="auto"/>
                <w:kern w:val="2"/>
                <w:sz w:val="21"/>
                <w:szCs w:val="21"/>
                <w:vertAlign w:val="baseline"/>
                <w:lang w:val="en-US" w:eastAsia="zh-CN" w:bidi="ar-SA"/>
              </w:rPr>
              <w:t>（含传染性废水</w:t>
            </w:r>
            <w:r>
              <w:rPr>
                <w:rFonts w:hint="default" w:ascii="Times New Roman" w:hAnsi="Times New Roman" w:eastAsia="宋体" w:cs="Times New Roman"/>
                <w:color w:val="auto"/>
                <w:kern w:val="2"/>
                <w:sz w:val="21"/>
                <w:szCs w:val="21"/>
                <w:vertAlign w:val="baseline"/>
                <w:lang w:val="en-US" w:eastAsia="zh-CN" w:bidi="ar-SA"/>
              </w:rPr>
              <w:t>36306</w:t>
            </w:r>
            <w:r>
              <w:rPr>
                <w:rFonts w:hint="eastAsia" w:ascii="Times New Roman" w:hAnsi="Times New Roman" w:eastAsia="宋体" w:cs="Times New Roman"/>
                <w:color w:val="auto"/>
                <w:kern w:val="2"/>
                <w:sz w:val="21"/>
                <w:szCs w:val="21"/>
                <w:vertAlign w:val="baseline"/>
                <w:lang w:val="en-US" w:eastAsia="zh-CN" w:bidi="ar-SA"/>
              </w:rPr>
              <w:t>）</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120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经院区污水处理站处理后排入市政污水管网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105.10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52.55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42.04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17.52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0.35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去除率</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84%</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46%</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66%</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≥99.9999%</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cs="Times New Roman"/>
                <w:color w:val="auto"/>
                <w:sz w:val="21"/>
                <w:szCs w:val="21"/>
                <w:highlight w:val="none"/>
                <w:lang w:val="en-US" w:eastAsia="zh-CN"/>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排放浓度（mg/L）</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19</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27</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0.34</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9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15.76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2.80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6.66 </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9.46 </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0.12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医院</w:t>
            </w:r>
            <w:r>
              <w:rPr>
                <w:rFonts w:hint="eastAsia" w:ascii="Times New Roman" w:hAnsi="Times New Roman" w:eastAsia="宋体" w:cs="Times New Roman"/>
                <w:b/>
                <w:bCs/>
                <w:color w:val="auto"/>
                <w:sz w:val="21"/>
                <w:szCs w:val="21"/>
                <w:highlight w:val="none"/>
                <w:lang w:val="en-US" w:eastAsia="zh-CN"/>
              </w:rPr>
              <w:t>总排口排放</w:t>
            </w:r>
            <w:r>
              <w:rPr>
                <w:rFonts w:hint="default" w:ascii="Times New Roman" w:hAnsi="Times New Roman" w:eastAsia="宋体" w:cs="Times New Roman"/>
                <w:b/>
                <w:bCs/>
                <w:color w:val="auto"/>
                <w:sz w:val="21"/>
                <w:szCs w:val="21"/>
                <w:highlight w:val="none"/>
              </w:rPr>
              <w:t>标准（mg/L）</w:t>
            </w:r>
          </w:p>
        </w:tc>
        <w:tc>
          <w:tcPr>
            <w:tcW w:w="47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250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100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60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35</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20</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5000</w:t>
            </w:r>
          </w:p>
        </w:tc>
        <w:tc>
          <w:tcPr>
            <w:tcW w:w="59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十五里河</w:t>
            </w:r>
            <w:r>
              <w:rPr>
                <w:rFonts w:hint="default" w:ascii="Times New Roman" w:hAnsi="Times New Roman" w:eastAsia="宋体" w:cs="Times New Roman"/>
                <w:color w:val="auto"/>
                <w:sz w:val="21"/>
                <w:szCs w:val="21"/>
                <w:highlight w:val="none"/>
              </w:rPr>
              <w:t>污水处理厂处理后</w:t>
            </w: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476" w:type="pct"/>
            <w:vMerge w:val="restar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664227</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45</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8</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386"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w:t>
            </w:r>
          </w:p>
        </w:tc>
        <w:tc>
          <w:tcPr>
            <w:tcW w:w="387"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0.34</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1000</w:t>
            </w:r>
          </w:p>
        </w:tc>
        <w:tc>
          <w:tcPr>
            <w:tcW w:w="599"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476" w:type="pct"/>
            <w:vMerge w:val="continue"/>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94" w:type="dxa"/>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15.76 </w:t>
            </w:r>
          </w:p>
        </w:tc>
        <w:tc>
          <w:tcPr>
            <w:tcW w:w="1094" w:type="dxa"/>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2.80 </w:t>
            </w:r>
          </w:p>
        </w:tc>
        <w:tc>
          <w:tcPr>
            <w:tcW w:w="1094" w:type="dxa"/>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3.50 </w:t>
            </w:r>
          </w:p>
        </w:tc>
        <w:tc>
          <w:tcPr>
            <w:tcW w:w="1094" w:type="dxa"/>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1.75 </w:t>
            </w:r>
          </w:p>
        </w:tc>
        <w:tc>
          <w:tcPr>
            <w:tcW w:w="1097" w:type="dxa"/>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0.12 </w:t>
            </w:r>
          </w:p>
        </w:tc>
        <w:tc>
          <w:tcPr>
            <w:tcW w:w="599" w:type="pct"/>
            <w:noWrap w:val="0"/>
            <w:vAlign w:val="center"/>
          </w:tcPr>
          <w:p>
            <w:pPr>
              <w:keepNext w:val="0"/>
              <w:keepLines w:val="0"/>
              <w:pageBreakBefore w:val="0"/>
              <w:widowControl w:val="0"/>
              <w:tabs>
                <w:tab w:val="left" w:pos="528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599"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b/>
          <w:color w:val="auto"/>
          <w:sz w:val="21"/>
          <w:szCs w:val="21"/>
          <w:lang w:eastAsia="zh-CN"/>
        </w:rPr>
      </w:pPr>
    </w:p>
    <w:p>
      <w:pPr>
        <w:pStyle w:val="2"/>
        <w:pageBreakBefore w:val="0"/>
        <w:widowControl w:val="0"/>
        <w:numPr>
          <w:ilvl w:val="0"/>
          <w:numId w:val="0"/>
        </w:numPr>
        <w:kinsoku/>
        <w:wordWrap/>
        <w:overflowPunct/>
        <w:topLinePunct w:val="0"/>
        <w:autoSpaceDE/>
        <w:autoSpaceDN/>
        <w:bidi w:val="0"/>
        <w:adjustRightInd/>
        <w:snapToGrid/>
        <w:spacing w:before="0" w:after="0" w:line="480" w:lineRule="exact"/>
        <w:ind w:right="0" w:rightChars="0"/>
        <w:jc w:val="both"/>
        <w:textAlignment w:val="auto"/>
        <w:rPr>
          <w:rFonts w:hint="eastAsia"/>
          <w:color w:val="auto"/>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2"/>
        <w:pageBreakBefore w:val="0"/>
        <w:widowControl w:val="0"/>
        <w:numPr>
          <w:ilvl w:val="0"/>
          <w:numId w:val="0"/>
        </w:numPr>
        <w:kinsoku/>
        <w:wordWrap/>
        <w:overflowPunct/>
        <w:topLinePunct w:val="0"/>
        <w:autoSpaceDE/>
        <w:autoSpaceDN/>
        <w:bidi w:val="0"/>
        <w:adjustRightInd/>
        <w:snapToGrid/>
        <w:spacing w:before="0" w:after="0" w:line="480" w:lineRule="exact"/>
        <w:ind w:right="0" w:rightChars="0"/>
        <w:jc w:val="both"/>
        <w:textAlignment w:val="auto"/>
        <w:rPr>
          <w:rFonts w:hint="eastAsia"/>
          <w:color w:val="auto"/>
        </w:rPr>
      </w:pPr>
      <w:r>
        <w:rPr>
          <w:rFonts w:hint="eastAsia"/>
          <w:color w:val="auto"/>
          <w:lang w:val="en-US" w:eastAsia="zh-CN"/>
        </w:rPr>
        <w:t>6.2.3</w:t>
      </w:r>
      <w:r>
        <w:rPr>
          <w:rFonts w:hint="eastAsia"/>
          <w:color w:val="auto"/>
        </w:rPr>
        <w:t>废水处理措施</w:t>
      </w:r>
    </w:p>
    <w:p>
      <w:pPr>
        <w:pageBreakBefore w:val="0"/>
        <w:widowControl w:val="0"/>
        <w:kinsoku/>
        <w:wordWrap/>
        <w:overflowPunct/>
        <w:topLinePunct w:val="0"/>
        <w:autoSpaceDE/>
        <w:autoSpaceDN/>
        <w:bidi w:val="0"/>
        <w:adjustRightInd/>
        <w:snapToGrid/>
        <w:spacing w:line="480" w:lineRule="exact"/>
        <w:ind w:right="0" w:rightChars="0" w:firstLine="480"/>
        <w:jc w:val="both"/>
        <w:textAlignment w:val="auto"/>
        <w:rPr>
          <w:rFonts w:hint="eastAsia"/>
          <w:color w:val="auto"/>
        </w:rPr>
      </w:pPr>
      <w:r>
        <w:rPr>
          <w:rFonts w:hint="eastAsia"/>
          <w:color w:val="auto"/>
          <w:lang w:eastAsia="zh-CN"/>
        </w:rPr>
        <w:t>本项目为综合医院扩建项目，废水排放执行</w:t>
      </w:r>
      <w:r>
        <w:rPr>
          <w:rFonts w:hint="eastAsia"/>
          <w:color w:val="auto"/>
        </w:rPr>
        <w:t>《医疗机构水污染物排放标准》（GB18466-2005）表</w:t>
      </w:r>
      <w:r>
        <w:rPr>
          <w:rFonts w:hint="eastAsia"/>
          <w:color w:val="auto"/>
          <w:lang w:val="en-US" w:eastAsia="zh-CN"/>
        </w:rPr>
        <w:t>2中预处理</w:t>
      </w:r>
      <w:r>
        <w:rPr>
          <w:rFonts w:hint="eastAsia"/>
          <w:color w:val="auto"/>
          <w:lang w:eastAsia="zh-CN"/>
        </w:rPr>
        <w:t>标准及十五里河污水处理厂接管标准</w:t>
      </w:r>
      <w:r>
        <w:rPr>
          <w:rFonts w:hint="eastAsia"/>
          <w:color w:val="auto"/>
        </w:rPr>
        <w:t>。</w:t>
      </w:r>
    </w:p>
    <w:p>
      <w:pPr>
        <w:pageBreakBefore w:val="0"/>
        <w:widowControl w:val="0"/>
        <w:kinsoku/>
        <w:wordWrap/>
        <w:overflowPunct/>
        <w:topLinePunct w:val="0"/>
        <w:autoSpaceDE/>
        <w:autoSpaceDN/>
        <w:bidi w:val="0"/>
        <w:adjustRightInd/>
        <w:snapToGrid/>
        <w:spacing w:line="480" w:lineRule="exact"/>
        <w:ind w:right="0" w:rightChars="0" w:firstLine="480" w:firstLineChars="200"/>
        <w:jc w:val="both"/>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建设单位拟在项目区东北角新建一个</w:t>
      </w:r>
      <w:r>
        <w:rPr>
          <w:rFonts w:hint="eastAsia" w:ascii="Times New Roman" w:hAnsi="Times New Roman" w:eastAsia="宋体" w:cs="Times New Roman"/>
          <w:b w:val="0"/>
          <w:bCs w:val="0"/>
          <w:color w:val="auto"/>
          <w:highlight w:val="none"/>
          <w:lang w:val="en-US" w:eastAsia="zh-CN"/>
        </w:rPr>
        <w:t>处理能力为</w:t>
      </w:r>
      <w:r>
        <w:rPr>
          <w:rFonts w:hint="eastAsia" w:cs="Times New Roman"/>
          <w:b w:val="0"/>
          <w:bCs w:val="0"/>
          <w:color w:val="auto"/>
          <w:highlight w:val="none"/>
          <w:lang w:val="en-US" w:eastAsia="zh-CN"/>
        </w:rPr>
        <w:t>2000</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的</w:t>
      </w:r>
      <w:r>
        <w:rPr>
          <w:rFonts w:hint="eastAsia" w:cs="Times New Roman"/>
          <w:b w:val="0"/>
          <w:bCs w:val="0"/>
          <w:color w:val="auto"/>
          <w:highlight w:val="none"/>
          <w:lang w:val="en-US" w:eastAsia="zh-CN"/>
        </w:rPr>
        <w:t>综合污水处理站，</w:t>
      </w:r>
      <w:r>
        <w:rPr>
          <w:rFonts w:hint="eastAsia"/>
          <w:color w:val="auto"/>
          <w:highlight w:val="none"/>
          <w:lang w:eastAsia="zh-CN"/>
        </w:rPr>
        <w:t>处理工艺均为</w:t>
      </w:r>
      <w:r>
        <w:rPr>
          <w:rFonts w:hint="eastAsia" w:cs="宋体"/>
          <w:color w:val="auto"/>
          <w:lang w:eastAsia="zh-CN"/>
        </w:rPr>
        <w:t>“</w:t>
      </w:r>
      <w:r>
        <w:rPr>
          <w:rFonts w:hint="eastAsia"/>
          <w:color w:val="auto"/>
          <w:highlight w:val="none"/>
          <w:lang w:val="en-US" w:eastAsia="zh-CN"/>
        </w:rPr>
        <w:t>格栅+调节+水解酸化+生物接触氧化+沉淀+消毒</w:t>
      </w:r>
      <w:r>
        <w:rPr>
          <w:rFonts w:hint="eastAsia" w:cs="宋体"/>
          <w:color w:val="auto"/>
          <w:lang w:eastAsia="zh-CN"/>
        </w:rPr>
        <w:t>”</w:t>
      </w:r>
      <w:r>
        <w:rPr>
          <w:rFonts w:hint="eastAsia"/>
          <w:color w:val="auto"/>
          <w:lang w:eastAsia="zh-CN"/>
        </w:rPr>
        <w:t>。感染楼（特殊门诊楼）废水单独设置了一个预消毒池，位于感染楼下方，设计规模为</w:t>
      </w:r>
      <w:r>
        <w:rPr>
          <w:rFonts w:hint="eastAsia"/>
          <w:color w:val="auto"/>
          <w:lang w:val="en-US" w:eastAsia="zh-CN"/>
        </w:rPr>
        <w:t>10</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w:t>
      </w:r>
      <w:r>
        <w:rPr>
          <w:rFonts w:hint="eastAsia" w:ascii="Times New Roman" w:hAnsi="Times New Roman" w:eastAsia="宋体" w:cs="Times New Roman"/>
          <w:b w:val="0"/>
          <w:bCs w:val="0"/>
          <w:color w:val="auto"/>
          <w:highlight w:val="none"/>
          <w:lang w:val="en-US" w:eastAsia="zh-CN"/>
        </w:rPr>
        <w:t>h，消毒工艺采用“臭氧消毒+单过硫酸氢钾复合盐消毒粉”</w:t>
      </w:r>
      <w:r>
        <w:rPr>
          <w:rFonts w:hint="eastAsia" w:cs="Times New Roman"/>
          <w:b w:val="0"/>
          <w:bCs w:val="0"/>
          <w:color w:val="auto"/>
          <w:highlight w:val="none"/>
          <w:lang w:val="en-US" w:eastAsia="zh-CN"/>
        </w:rPr>
        <w:t>，感染楼废水经预消毒池处理后再进入院区综合污水处理站处理后排入市政污水管网</w:t>
      </w:r>
      <w:r>
        <w:rPr>
          <w:rFonts w:hint="eastAsia" w:ascii="Times New Roman" w:hAnsi="Times New Roman" w:eastAsia="宋体" w:cs="Times New Roman"/>
          <w:b w:val="0"/>
          <w:bCs w:val="0"/>
          <w:color w:val="auto"/>
          <w:highlight w:val="none"/>
          <w:lang w:val="en-US" w:eastAsia="zh-CN"/>
        </w:rPr>
        <w:t>。</w:t>
      </w:r>
    </w:p>
    <w:p>
      <w:pPr>
        <w:pageBreakBefore w:val="0"/>
        <w:widowControl w:val="0"/>
        <w:kinsoku/>
        <w:wordWrap/>
        <w:overflowPunct/>
        <w:topLinePunct w:val="0"/>
        <w:autoSpaceDE/>
        <w:autoSpaceDN/>
        <w:bidi w:val="0"/>
        <w:adjustRightInd/>
        <w:snapToGrid/>
        <w:spacing w:line="480" w:lineRule="exact"/>
        <w:ind w:right="0" w:rightChars="0" w:firstLine="480" w:firstLineChars="200"/>
        <w:jc w:val="both"/>
        <w:textAlignment w:val="auto"/>
        <w:rPr>
          <w:rFonts w:hint="eastAsia"/>
          <w:color w:val="auto"/>
          <w:lang w:eastAsia="zh-CN"/>
        </w:rPr>
      </w:pPr>
      <w:r>
        <w:rPr>
          <w:rFonts w:hint="eastAsia"/>
          <w:color w:val="auto"/>
          <w:lang w:eastAsia="zh-CN"/>
        </w:rPr>
        <w:t>废水治理具体流程介绍：</w:t>
      </w:r>
    </w:p>
    <w:p>
      <w:pPr>
        <w:pageBreakBefore w:val="0"/>
        <w:widowControl w:val="0"/>
        <w:kinsoku/>
        <w:wordWrap/>
        <w:overflowPunct/>
        <w:topLinePunct w:val="0"/>
        <w:autoSpaceDE/>
        <w:autoSpaceDN/>
        <w:bidi w:val="0"/>
        <w:adjustRightInd/>
        <w:snapToGrid/>
        <w:spacing w:line="480" w:lineRule="exact"/>
        <w:ind w:right="0" w:rightChars="0" w:firstLine="480" w:firstLineChars="200"/>
        <w:jc w:val="both"/>
        <w:textAlignment w:val="auto"/>
        <w:rPr>
          <w:rFonts w:hint="default"/>
          <w:color w:val="auto"/>
          <w:lang w:val="en-US" w:eastAsia="zh-CN"/>
        </w:rPr>
      </w:pPr>
      <w:r>
        <w:rPr>
          <w:rFonts w:hint="eastAsia"/>
          <w:color w:val="auto"/>
          <w:lang w:eastAsia="zh-CN"/>
        </w:rPr>
        <w:t>预消毒：传染性废水经管道收集进入感染楼东侧地埋式预消毒池内，通过臭氧</w:t>
      </w:r>
      <w:r>
        <w:rPr>
          <w:rFonts w:hint="eastAsia"/>
          <w:color w:val="auto"/>
          <w:lang w:val="en-US" w:eastAsia="zh-CN"/>
        </w:rPr>
        <w:t>+</w:t>
      </w:r>
      <w:r>
        <w:rPr>
          <w:rFonts w:hint="eastAsia"/>
          <w:color w:val="auto"/>
          <w:lang w:eastAsia="zh-CN"/>
        </w:rPr>
        <w:t>消毒粉（单过硫酸氢钾）进行消毒，池内废水停留一段时间（不低于</w:t>
      </w:r>
      <w:r>
        <w:rPr>
          <w:rFonts w:hint="eastAsia"/>
          <w:color w:val="auto"/>
          <w:lang w:val="en-US" w:eastAsia="zh-CN"/>
        </w:rPr>
        <w:t>90min</w:t>
      </w:r>
      <w:r>
        <w:rPr>
          <w:rFonts w:hint="eastAsia"/>
          <w:color w:val="auto"/>
          <w:lang w:eastAsia="zh-CN"/>
        </w:rPr>
        <w:t>）后再通过管道进入院区综合污水处理站处理。</w:t>
      </w:r>
    </w:p>
    <w:p>
      <w:pPr>
        <w:pageBreakBefore w:val="0"/>
        <w:widowControl w:val="0"/>
        <w:kinsoku/>
        <w:wordWrap/>
        <w:overflowPunct/>
        <w:topLinePunct w:val="0"/>
        <w:autoSpaceDE/>
        <w:autoSpaceDN/>
        <w:bidi w:val="0"/>
        <w:adjustRightInd/>
        <w:snapToGrid/>
        <w:spacing w:line="480" w:lineRule="exact"/>
        <w:ind w:right="0" w:rightChars="0" w:firstLine="480" w:firstLineChars="200"/>
        <w:jc w:val="both"/>
        <w:textAlignment w:val="auto"/>
        <w:rPr>
          <w:rFonts w:hint="eastAsia"/>
          <w:color w:val="auto"/>
        </w:rPr>
      </w:pPr>
      <w:r>
        <w:rPr>
          <w:rFonts w:hint="eastAsia"/>
          <w:color w:val="auto"/>
          <w:lang w:eastAsia="zh-CN"/>
        </w:rPr>
        <w:t>综合处理：</w:t>
      </w:r>
      <w:r>
        <w:rPr>
          <w:rFonts w:hint="eastAsia"/>
          <w:color w:val="auto"/>
        </w:rPr>
        <w:t>污水通过化粪池进入调节池，调节池前部设置自动格栅</w:t>
      </w:r>
      <w:r>
        <w:rPr>
          <w:rFonts w:hint="eastAsia" w:cs="宋体"/>
          <w:color w:val="auto"/>
          <w:lang w:eastAsia="zh-CN"/>
        </w:rPr>
        <w:t>；</w:t>
      </w:r>
      <w:r>
        <w:rPr>
          <w:rFonts w:hint="eastAsia"/>
          <w:color w:val="auto"/>
        </w:rPr>
        <w:t>调节池内设提升水泵，污水经提升后进入水解酸化池分解大分子较难降解的有机物，同时对回流的消化液进行脱氮处理，其出水进入接触氧化池，在好氧条件下对废水中的有机物进行最终降解，并且对废水中的氨氮氧化为硝态氮</w:t>
      </w:r>
      <w:r>
        <w:rPr>
          <w:rFonts w:hint="eastAsia" w:cs="宋体"/>
          <w:color w:val="auto"/>
          <w:lang w:eastAsia="zh-CN"/>
        </w:rPr>
        <w:t>；</w:t>
      </w:r>
      <w:r>
        <w:rPr>
          <w:rFonts w:hint="eastAsia"/>
          <w:color w:val="auto"/>
        </w:rPr>
        <w:t>出水进入二沉池，采用消毒剂对二沉池出水进行消毒后达标排放。</w:t>
      </w:r>
    </w:p>
    <w:p>
      <w:pPr>
        <w:pageBreakBefore w:val="0"/>
        <w:widowControl w:val="0"/>
        <w:kinsoku/>
        <w:wordWrap/>
        <w:overflowPunct/>
        <w:topLinePunct w:val="0"/>
        <w:autoSpaceDE/>
        <w:autoSpaceDN/>
        <w:bidi w:val="0"/>
        <w:adjustRightInd/>
        <w:snapToGrid/>
        <w:spacing w:line="480" w:lineRule="exact"/>
        <w:ind w:right="0" w:rightChars="0" w:firstLine="480"/>
        <w:jc w:val="both"/>
        <w:textAlignment w:val="auto"/>
        <w:rPr>
          <w:rFonts w:hint="eastAsia" w:eastAsia="长城黑体"/>
          <w:color w:val="auto"/>
        </w:rPr>
      </w:pPr>
      <w:r>
        <w:rPr>
          <w:rFonts w:hint="eastAsia" w:eastAsia="长城黑体"/>
          <w:color w:val="auto"/>
        </w:rPr>
        <w:t>项目污水处理流程具体见下图</w:t>
      </w:r>
      <w:r>
        <w:rPr>
          <w:rFonts w:hint="eastAsia" w:eastAsia="长城黑体"/>
          <w:color w:val="auto"/>
          <w:lang w:eastAsia="zh-CN"/>
        </w:rPr>
        <w:t>：</w:t>
      </w:r>
    </w:p>
    <w:p>
      <w:pPr>
        <w:pageBreakBefore w:val="0"/>
        <w:widowControl w:val="0"/>
        <w:kinsoku/>
        <w:wordWrap/>
        <w:overflowPunct/>
        <w:topLinePunct w:val="0"/>
        <w:autoSpaceDE/>
        <w:autoSpaceDN/>
        <w:bidi w:val="0"/>
        <w:adjustRightInd/>
        <w:snapToGrid/>
        <w:spacing w:line="480" w:lineRule="exact"/>
        <w:ind w:right="0" w:rightChars="0" w:firstLine="480"/>
        <w:jc w:val="both"/>
        <w:textAlignment w:val="auto"/>
        <w:rPr>
          <w:rFonts w:hint="eastAsia" w:eastAsia="长城黑体"/>
          <w:color w:val="auto"/>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长城黑体"/>
          <w:color w:val="auto"/>
          <w:lang w:eastAsia="zh-CN"/>
        </w:rPr>
      </w:pPr>
      <w:r>
        <w:rPr>
          <w:rFonts w:hint="eastAsia" w:eastAsia="长城黑体"/>
          <w:color w:val="auto"/>
          <w:sz w:val="18"/>
          <w:szCs w:val="18"/>
          <w:lang w:eastAsia="zh-CN"/>
        </w:rPr>
        <w:object>
          <v:shape id="_x0000_i1047" o:spt="75" type="#_x0000_t75" style="height:503.25pt;width:426.75pt;" o:ole="t" filled="f" o:preferrelative="t" stroked="f" coordsize="21600,21600">
            <v:path/>
            <v:fill on="f" focussize="0,0"/>
            <v:stroke on="f"/>
            <v:imagedata r:id="rId98" o:title=""/>
            <o:lock v:ext="edit" aspectratio="t"/>
            <w10:wrap type="none"/>
            <w10:anchorlock/>
          </v:shape>
          <o:OLEObject Type="Embed" ProgID="Visio.Drawing.11" ShapeID="_x0000_i1047" DrawAspect="Content" ObjectID="_1468075747" r:id="rId97">
            <o:LockedField>false</o:LockedField>
          </o:OLEObject>
        </w:object>
      </w:r>
    </w:p>
    <w:p>
      <w:pPr>
        <w:ind w:firstLine="482"/>
        <w:jc w:val="center"/>
        <w:rPr>
          <w:rFonts w:hint="eastAsia"/>
          <w:color w:val="auto"/>
        </w:rPr>
      </w:pPr>
      <w:r>
        <w:rPr>
          <w:rFonts w:hint="eastAsia"/>
          <w:b/>
          <w:color w:val="auto"/>
          <w:sz w:val="21"/>
          <w:szCs w:val="21"/>
        </w:rPr>
        <w:t>图</w:t>
      </w:r>
      <w:r>
        <w:rPr>
          <w:rFonts w:hint="eastAsia"/>
          <w:b/>
          <w:color w:val="auto"/>
          <w:sz w:val="21"/>
          <w:szCs w:val="21"/>
          <w:lang w:val="en-US" w:eastAsia="zh-CN"/>
        </w:rPr>
        <w:t>6.</w:t>
      </w:r>
      <w:r>
        <w:rPr>
          <w:rFonts w:hint="eastAsia"/>
          <w:b/>
          <w:color w:val="auto"/>
          <w:sz w:val="21"/>
          <w:szCs w:val="21"/>
        </w:rPr>
        <w:t>2-1  项目污水处理流程图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eastAsia="宋体"/>
          <w:color w:val="auto"/>
          <w:lang w:val="en-US" w:eastAsia="zh-CN"/>
        </w:rPr>
      </w:pPr>
      <w:r>
        <w:rPr>
          <w:rFonts w:hint="eastAsia"/>
          <w:color w:val="auto"/>
          <w:lang w:val="en-US" w:eastAsia="zh-CN"/>
        </w:rPr>
        <w:t>综合污水处理站主要工艺参数：</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right="0" w:rightChars="0" w:firstLine="480"/>
        <w:jc w:val="left"/>
        <w:textAlignment w:val="auto"/>
        <w:rPr>
          <w:rFonts w:hint="eastAsia" w:ascii="宋体" w:hAnsi="宋体"/>
          <w:color w:val="auto"/>
          <w:szCs w:val="28"/>
          <w:highlight w:val="none"/>
          <w:lang w:eastAsia="zh-CN"/>
        </w:rPr>
      </w:pPr>
      <w:r>
        <w:rPr>
          <w:rFonts w:hint="eastAsia"/>
          <w:color w:val="auto"/>
          <w:highlight w:val="none"/>
          <w:lang w:eastAsia="zh-CN"/>
        </w:rPr>
        <w:t>格栅：</w:t>
      </w:r>
      <w:r>
        <w:rPr>
          <w:rFonts w:hint="eastAsia" w:ascii="宋体" w:hAnsi="宋体" w:eastAsia="宋体"/>
          <w:color w:val="auto"/>
          <w:szCs w:val="28"/>
          <w:highlight w:val="none"/>
        </w:rPr>
        <w:t>调节池前端置格栅，用于拦截污水中的颗粒和软性缠绕质，保证后续管路的畅通，并降低系统工作负荷。格栅采用人工格栅，考虑便于格栅渣清理，检修等日</w:t>
      </w:r>
      <w:r>
        <w:rPr>
          <w:rFonts w:hint="eastAsia" w:ascii="宋体" w:hAnsi="宋体"/>
          <w:color w:val="auto"/>
          <w:szCs w:val="28"/>
          <w:highlight w:val="none"/>
          <w:lang w:eastAsia="zh-CN"/>
        </w:rPr>
        <w:t>常维护工作。</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right="0" w:rightChars="0" w:firstLine="480"/>
        <w:jc w:val="both"/>
        <w:textAlignment w:val="auto"/>
        <w:rPr>
          <w:rFonts w:hint="eastAsia" w:ascii="Times New Roman" w:hAnsi="Times New Roman" w:eastAsia="宋体" w:cs="Times New Roman"/>
          <w:color w:val="auto"/>
          <w:lang w:val="en-US" w:eastAsia="zh-CN"/>
        </w:rPr>
      </w:pPr>
      <w:r>
        <w:rPr>
          <w:rFonts w:hint="eastAsia"/>
          <w:color w:val="auto"/>
          <w:highlight w:val="none"/>
        </w:rPr>
        <w:t>调节池</w:t>
      </w:r>
      <w:r>
        <w:rPr>
          <w:rFonts w:hint="eastAsia"/>
          <w:color w:val="auto"/>
          <w:highlight w:val="none"/>
          <w:lang w:eastAsia="zh-CN"/>
        </w:rPr>
        <w:t>：</w:t>
      </w:r>
      <w:r>
        <w:rPr>
          <w:rFonts w:hint="default" w:ascii="Times New Roman" w:hAnsi="Times New Roman" w:cs="Times New Roman"/>
          <w:color w:val="auto"/>
        </w:rPr>
        <w:t>调节池的主要作用是调节水量、均化水质，为后续工艺的稳定运行提供保证。减轻和避免水温、水质、水量的变化等冲击性负荷对后续处理工艺系统的负面影响。调节池内设预曝气系统，曝气管路上安装气体流量计和控制阀门</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调节池的有效容积按日处理水量的6~8小时计算，故本项目的调节池的容积应不小于221m</w:t>
      </w:r>
      <w:r>
        <w:rPr>
          <w:rFonts w:hint="eastAsia" w:ascii="Times New Roman" w:hAnsi="Times New Roman" w:cs="Times New Roman"/>
          <w:color w:val="auto"/>
          <w:vertAlign w:val="superscript"/>
          <w:lang w:val="en-US" w:eastAsia="zh-CN"/>
        </w:rPr>
        <w:t>3</w:t>
      </w:r>
      <w:r>
        <w:rPr>
          <w:rFonts w:hint="default" w:ascii="Times New Roman" w:hAnsi="Times New Roman" w:cs="Times New Roman"/>
          <w:color w:val="auto"/>
        </w:rPr>
        <w:t>。</w:t>
      </w:r>
      <w:r>
        <w:rPr>
          <w:rFonts w:hint="eastAsia" w:ascii="Times New Roman" w:hAnsi="Times New Roman" w:cs="Times New Roman"/>
          <w:color w:val="auto"/>
          <w:lang w:val="en-US" w:eastAsia="zh-CN"/>
        </w:rPr>
        <w:t>调</w:t>
      </w:r>
      <w:r>
        <w:rPr>
          <w:rFonts w:hint="default" w:ascii="Times New Roman" w:hAnsi="Times New Roman" w:cs="Times New Roman"/>
          <w:color w:val="auto"/>
          <w:lang w:val="en-US" w:eastAsia="zh-CN"/>
        </w:rPr>
        <w:t>节池宜采用推流式潜水搅拌机，搅拌机选型应按照CJ/T109-2000进行设备选型，搅拌功率应结合池体大小进行确定，一般可按5 W/m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~10 W/m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计算。 调节池应设置排空集水坑，池底流向集水坑的坡度应不小于3~5‰</w:t>
      </w:r>
      <w:r>
        <w:rPr>
          <w:rFonts w:hint="eastAsia" w:ascii="Times New Roman" w:hAnsi="Times New Roman" w:cs="Times New Roman"/>
          <w:color w:val="auto"/>
          <w:lang w:eastAsia="zh-CN"/>
        </w:rPr>
        <w:t>。</w:t>
      </w:r>
      <w:r>
        <w:rPr>
          <w:rFonts w:hint="eastAsia" w:ascii="宋体" w:hAnsi="宋体" w:eastAsia="宋体"/>
          <w:color w:val="auto"/>
          <w:szCs w:val="28"/>
          <w:highlight w:val="none"/>
        </w:rPr>
        <w:t>调节池污水经提升泵房提升送至接触氧化池。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color w:val="auto"/>
          <w:highlight w:val="none"/>
        </w:rPr>
      </w:pPr>
      <w:bookmarkStart w:id="96" w:name="_Toc372485905"/>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水解酸化池</w:t>
      </w:r>
      <w:bookmarkEnd w:id="96"/>
      <w:r>
        <w:rPr>
          <w:rFonts w:hint="eastAsia"/>
          <w:color w:val="auto"/>
          <w:highlight w:val="none"/>
          <w:lang w:eastAsia="zh-CN"/>
        </w:rPr>
        <w:t>：</w:t>
      </w:r>
      <w:r>
        <w:rPr>
          <w:rFonts w:hint="eastAsia"/>
          <w:color w:val="auto"/>
          <w:highlight w:val="none"/>
        </w:rPr>
        <w:t>对污水中大分子的有机物进行水解酸化，改善污水的可生化性，为后续的生化处理提供便利。通过微生物的同化异化作用，分解合成污水中的有机污染物，一部分合成微生物自身，一部分分解为无机物，从而达到去处有机物的目的。另外该池因是缺氧环境还具有反硝化脱氮的作用。水解酸化池的主要功能是进一步降解有机物和反硝化脱氮。</w:t>
      </w:r>
      <w:r>
        <w:rPr>
          <w:rFonts w:hint="eastAsia" w:ascii="Times New Roman" w:hAnsi="Times New Roman" w:cs="Times New Roman"/>
          <w:color w:val="auto"/>
          <w:lang w:val="en-US" w:eastAsia="zh-CN"/>
        </w:rPr>
        <w:t xml:space="preserve">水解池为常温水解酸化池，温度宜为15~40 ℃，DO宜保持在0.2~0.5 mg/L。水解酸化池一般采用上向流方式，最大上升流速宜为1.0 m/h ~1.5 m/h，水力停留时间一般为2.5 h ~3 h。 </w:t>
      </w:r>
    </w:p>
    <w:p>
      <w:pPr>
        <w:pageBreakBefore w:val="0"/>
        <w:widowControl w:val="0"/>
        <w:kinsoku/>
        <w:wordWrap/>
        <w:overflowPunct/>
        <w:topLinePunct w:val="0"/>
        <w:bidi w:val="0"/>
        <w:adjustRightInd/>
        <w:snapToGrid/>
        <w:spacing w:line="360" w:lineRule="auto"/>
        <w:ind w:right="0" w:rightChars="0" w:firstLine="480"/>
        <w:jc w:val="left"/>
        <w:textAlignment w:val="auto"/>
        <w:rPr>
          <w:rFonts w:hint="default" w:ascii="Times New Roman" w:hAnsi="Times New Roman" w:eastAsia="新宋体" w:cs="Times New Roman"/>
          <w:color w:val="auto"/>
          <w:lang w:val="en-US" w:eastAsia="zh-CN"/>
        </w:rPr>
      </w:pPr>
      <w:bookmarkStart w:id="97" w:name="_Toc372485906"/>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生物接触氧化池</w:t>
      </w:r>
      <w:bookmarkEnd w:id="97"/>
      <w:r>
        <w:rPr>
          <w:rFonts w:hint="eastAsia"/>
          <w:color w:val="auto"/>
          <w:highlight w:val="none"/>
          <w:lang w:eastAsia="zh-CN"/>
        </w:rPr>
        <w:t>：</w:t>
      </w:r>
      <w:r>
        <w:rPr>
          <w:rFonts w:hint="eastAsia"/>
          <w:color w:val="auto"/>
          <w:highlight w:val="none"/>
        </w:rPr>
        <w:t>生物接触氧化池又称淹没式</w:t>
      </w:r>
      <w:r>
        <w:rPr>
          <w:rFonts w:hint="eastAsia"/>
          <w:color w:val="auto"/>
          <w:highlight w:val="none"/>
          <w:lang w:eastAsia="zh-CN"/>
        </w:rPr>
        <w:t>光氧催化</w:t>
      </w:r>
      <w:r>
        <w:rPr>
          <w:rFonts w:hint="eastAsia"/>
          <w:color w:val="auto"/>
          <w:highlight w:val="none"/>
        </w:rPr>
        <w:t>，是在滤池的内部布设浸没于水中的挂膜介质填料，系统采用压缩空气鼓泡充氧，废水中的有机物被吸附于填料表面的生物膜上，并在微生物的作用下氧化降解。与传统活性污泥法比具有容积负荷高，占地面积小，耐冲击负荷能力强，污泥产率低等特点。</w:t>
      </w:r>
      <w:r>
        <w:rPr>
          <w:rFonts w:hint="default" w:ascii="Times New Roman" w:hAnsi="Times New Roman" w:eastAsia="新宋体" w:cs="Times New Roman"/>
          <w:color w:val="auto"/>
          <w:lang w:val="en-US" w:eastAsia="zh-CN"/>
        </w:rPr>
        <w:t>生物接触氧化池的填料应采用符合HJ/T245和HJ/T246要求的轻质、高强、防腐蚀、易于挂膜、比表面积大和空隙率高的组合体。生物接触氧化池污泥负荷可采用0.8~1.5 kg-BOD</w:t>
      </w:r>
      <w:r>
        <w:rPr>
          <w:rFonts w:hint="default" w:ascii="Times New Roman" w:hAnsi="Times New Roman" w:eastAsia="新宋体" w:cs="Times New Roman"/>
          <w:color w:val="auto"/>
          <w:vertAlign w:val="subscript"/>
          <w:lang w:val="en-US" w:eastAsia="zh-CN"/>
        </w:rPr>
        <w:t>5</w:t>
      </w:r>
      <w:r>
        <w:rPr>
          <w:rFonts w:hint="default" w:ascii="Times New Roman" w:hAnsi="Times New Roman" w:eastAsia="新宋体" w:cs="Times New Roman"/>
          <w:color w:val="auto"/>
          <w:lang w:val="en-US" w:eastAsia="zh-CN"/>
        </w:rPr>
        <w:t>/(m</w:t>
      </w:r>
      <w:r>
        <w:rPr>
          <w:rFonts w:hint="default" w:ascii="Times New Roman" w:hAnsi="Times New Roman" w:eastAsia="新宋体" w:cs="Times New Roman"/>
          <w:color w:val="auto"/>
          <w:vertAlign w:val="superscript"/>
          <w:lang w:val="en-US" w:eastAsia="zh-CN"/>
        </w:rPr>
        <w:t>3</w:t>
      </w:r>
      <w:r>
        <w:rPr>
          <w:rFonts w:hint="default" w:ascii="Times New Roman" w:hAnsi="Times New Roman" w:eastAsia="新宋体" w:cs="Times New Roman"/>
          <w:color w:val="auto"/>
          <w:lang w:val="en-US" w:eastAsia="zh-CN"/>
        </w:rPr>
        <w:t xml:space="preserve">填料·d)，水力停留时间2~5 h，气水比15~20。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color w:val="auto"/>
          <w:highlight w:val="none"/>
        </w:rPr>
      </w:pPr>
      <w:bookmarkStart w:id="98" w:name="_Toc372485907"/>
      <w:r>
        <w:rPr>
          <w:rFonts w:hint="eastAsia"/>
          <w:color w:val="auto"/>
          <w:highlight w:val="none"/>
          <w:lang w:val="en-US" w:eastAsia="zh-CN"/>
        </w:rPr>
        <w:t>（5）沉淀</w:t>
      </w:r>
      <w:r>
        <w:rPr>
          <w:rFonts w:hint="eastAsia"/>
          <w:color w:val="auto"/>
          <w:highlight w:val="none"/>
        </w:rPr>
        <w:t>池</w:t>
      </w:r>
      <w:bookmarkEnd w:id="98"/>
      <w:r>
        <w:rPr>
          <w:rFonts w:hint="eastAsia"/>
          <w:color w:val="auto"/>
          <w:highlight w:val="none"/>
          <w:lang w:eastAsia="zh-CN"/>
        </w:rPr>
        <w:t>：</w:t>
      </w:r>
      <w:r>
        <w:rPr>
          <w:rFonts w:hint="eastAsia"/>
          <w:color w:val="auto"/>
          <w:highlight w:val="none"/>
        </w:rPr>
        <w:t>污水经过生物好氧氧化后，出水中夹带氧化过程中产生的少量的活性污泥及新陈代谢的生物膜，以及不能进行生物降解的少量固形物，进入沉淀池固液分离。</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color w:val="auto"/>
          <w:highlight w:val="none"/>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w:t>
      </w:r>
      <w:r>
        <w:rPr>
          <w:rFonts w:hint="eastAsia"/>
          <w:color w:val="auto"/>
          <w:highlight w:val="none"/>
        </w:rPr>
        <w:t>消毒池</w:t>
      </w:r>
      <w:r>
        <w:rPr>
          <w:rFonts w:hint="eastAsia"/>
          <w:color w:val="auto"/>
          <w:highlight w:val="none"/>
          <w:lang w:eastAsia="zh-CN"/>
        </w:rPr>
        <w:t>：沉淀池废水排入</w:t>
      </w:r>
      <w:r>
        <w:rPr>
          <w:rFonts w:hint="eastAsia"/>
          <w:color w:val="auto"/>
          <w:highlight w:val="none"/>
          <w:lang w:val="en-US" w:eastAsia="zh-CN"/>
        </w:rPr>
        <w:t>消毒池内，通过投药设备自动向消毒池投加单过</w:t>
      </w:r>
      <w:r>
        <w:rPr>
          <w:rFonts w:hint="eastAsia"/>
          <w:color w:val="auto"/>
          <w:highlight w:val="none"/>
        </w:rPr>
        <w:t>硫酸氢钾复合粉</w:t>
      </w:r>
      <w:r>
        <w:rPr>
          <w:rFonts w:hint="eastAsia"/>
          <w:color w:val="auto"/>
          <w:highlight w:val="none"/>
          <w:lang w:eastAsia="zh-CN"/>
        </w:rPr>
        <w:t>，</w:t>
      </w:r>
      <w:r>
        <w:rPr>
          <w:rFonts w:hint="eastAsia"/>
          <w:color w:val="auto"/>
          <w:highlight w:val="none"/>
        </w:rPr>
        <w:t>充分混合消毒后</w:t>
      </w:r>
      <w:r>
        <w:rPr>
          <w:rFonts w:hint="eastAsia"/>
          <w:color w:val="auto"/>
          <w:highlight w:val="none"/>
          <w:lang w:eastAsia="zh-CN"/>
        </w:rPr>
        <w:t>排放</w:t>
      </w:r>
      <w:r>
        <w:rPr>
          <w:rFonts w:hint="eastAsia" w:cs="宋体"/>
          <w:color w:val="auto"/>
          <w:highlight w:val="none"/>
          <w:lang w:eastAsia="zh-CN"/>
        </w:rPr>
        <w:t>。</w:t>
      </w:r>
      <w:r>
        <w:rPr>
          <w:rFonts w:hint="eastAsia"/>
          <w:color w:val="auto"/>
          <w:lang w:eastAsia="zh-CN"/>
        </w:rPr>
        <w:t>操作时先按照</w:t>
      </w:r>
      <w:r>
        <w:rPr>
          <w:rFonts w:hint="eastAsia"/>
          <w:color w:val="auto"/>
          <w:lang w:val="en-US" w:eastAsia="zh-CN"/>
        </w:rPr>
        <w:t>1kg消毒粉（</w:t>
      </w:r>
      <w:r>
        <w:rPr>
          <w:rFonts w:hint="eastAsia" w:ascii="Times New Roman" w:hAnsi="Times New Roman" w:eastAsia="宋体" w:cs="Times New Roman"/>
          <w:b w:val="0"/>
          <w:bCs w:val="0"/>
          <w:color w:val="auto"/>
          <w:highlight w:val="none"/>
          <w:lang w:val="en-US" w:eastAsia="zh-CN"/>
        </w:rPr>
        <w:t>单过硫酸氢钾复合盐</w:t>
      </w:r>
      <w:r>
        <w:rPr>
          <w:rFonts w:hint="eastAsia"/>
          <w:color w:val="auto"/>
          <w:lang w:val="en-US" w:eastAsia="zh-CN"/>
        </w:rPr>
        <w:t>）：40L水的比例充分溶解，然后通过设备投加至消毒池中</w:t>
      </w:r>
      <w:r>
        <w:rPr>
          <w:rFonts w:hint="eastAsia" w:cs="宋体"/>
          <w:color w:val="auto"/>
          <w:lang w:val="en-US" w:eastAsia="zh-CN"/>
        </w:rPr>
        <w:t>；</w:t>
      </w:r>
      <w:r>
        <w:rPr>
          <w:rFonts w:hint="eastAsia"/>
          <w:color w:val="auto"/>
          <w:lang w:val="en-US" w:eastAsia="zh-CN"/>
        </w:rPr>
        <w:t>消毒粉用量按照5g原药：1000L污水进行控制，</w:t>
      </w:r>
      <w:r>
        <w:rPr>
          <w:rFonts w:hint="eastAsia"/>
          <w:color w:val="auto"/>
          <w:lang w:eastAsia="zh-CN"/>
        </w:rPr>
        <w:t>废水停留时间不低于</w:t>
      </w:r>
      <w:r>
        <w:rPr>
          <w:rFonts w:hint="eastAsia"/>
          <w:color w:val="auto"/>
          <w:lang w:val="en-US" w:eastAsia="zh-CN"/>
        </w:rPr>
        <w:t>90min，消毒后废水经总排口达标</w:t>
      </w:r>
      <w:r>
        <w:rPr>
          <w:rFonts w:hint="eastAsia"/>
          <w:color w:val="auto"/>
          <w:highlight w:val="none"/>
        </w:rPr>
        <w:t>排放。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7</w:t>
      </w:r>
      <w:r>
        <w:rPr>
          <w:rFonts w:hint="eastAsia"/>
          <w:color w:val="auto"/>
          <w:highlight w:val="none"/>
          <w:lang w:eastAsia="zh-CN"/>
        </w:rPr>
        <w:t>）污泥处置：污泥（定期排泥）用泵抽吸至污泥池中，投加适量消毒剂，采用水力搅拌，使之充分混合、接触反应，以彻底杀灭污泥中细菌，经消毒处理后的污泥经化学调质后由污泥泵抽至污泥脱水间脱水处理，脱水污泥委托有资质公司外运处置。</w:t>
      </w:r>
    </w:p>
    <w:p>
      <w:pPr>
        <w:pStyle w:val="30"/>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Chars="0" w:firstLine="482" w:firstLineChars="200"/>
        <w:textAlignment w:val="auto"/>
        <w:rPr>
          <w:rFonts w:hint="eastAsia"/>
          <w:b/>
          <w:bCs w:val="0"/>
          <w:color w:val="auto"/>
          <w:sz w:val="24"/>
          <w:szCs w:val="22"/>
          <w:lang w:eastAsia="zh-CN"/>
        </w:rPr>
      </w:pPr>
      <w:r>
        <w:rPr>
          <w:rFonts w:hint="eastAsia"/>
          <w:b/>
          <w:bCs w:val="0"/>
          <w:color w:val="auto"/>
          <w:sz w:val="24"/>
          <w:szCs w:val="22"/>
          <w:lang w:eastAsia="zh-CN"/>
        </w:rPr>
        <w:t>消毒工艺介绍：</w:t>
      </w:r>
    </w:p>
    <w:p>
      <w:pPr>
        <w:pStyle w:val="30"/>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项目采用单过硫酸氢钾消毒粉进行，复合粉溶于水后释放活性氧【O】，并通过催化链式反应而产生硫酸自由基、氧自由基、进而产生羟基自由基（</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OH） 等多种成分，具有广泛的杀灭微生物作用，包括细菌、芽胞、病毒、真菌等。单过硫酸氢钾消毒粉与液氯消毒、二氧化氯消毒、次氯酸钠消毒、臭氧消毒和紫外线消毒相比更为稳定、有效，且不会带来其他污染问题。因此，本项目用单过硫酸氢钾消毒粉消毒可行。</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color w:val="auto"/>
        </w:rPr>
      </w:pPr>
      <w:r>
        <w:rPr>
          <w:rFonts w:hint="eastAsia"/>
          <w:bCs/>
          <w:color w:val="auto"/>
        </w:rPr>
        <w:t>本项目医疗废水主要采用</w:t>
      </w:r>
      <w:r>
        <w:rPr>
          <w:rFonts w:hint="eastAsia" w:cs="宋体"/>
          <w:bCs/>
          <w:color w:val="auto"/>
          <w:lang w:eastAsia="zh-CN"/>
        </w:rPr>
        <w:t>“</w:t>
      </w:r>
      <w:r>
        <w:rPr>
          <w:rFonts w:hint="eastAsia"/>
          <w:bCs/>
          <w:color w:val="auto"/>
          <w:lang w:eastAsia="zh-CN"/>
        </w:rPr>
        <w:t>预消毒（传染性废水）</w:t>
      </w:r>
      <w:r>
        <w:rPr>
          <w:rFonts w:hint="eastAsia"/>
          <w:bCs/>
          <w:color w:val="auto"/>
          <w:lang w:val="en-US" w:eastAsia="zh-CN"/>
        </w:rPr>
        <w:t>+</w:t>
      </w:r>
      <w:r>
        <w:rPr>
          <w:rFonts w:hint="eastAsia"/>
          <w:bCs/>
          <w:color w:val="auto"/>
        </w:rPr>
        <w:t>调节池+水解酸化+接触氧化+</w:t>
      </w:r>
      <w:r>
        <w:rPr>
          <w:rFonts w:hint="eastAsia"/>
          <w:bCs/>
          <w:color w:val="auto"/>
          <w:lang w:eastAsia="zh-CN"/>
        </w:rPr>
        <w:t>单</w:t>
      </w:r>
      <w:r>
        <w:rPr>
          <w:rFonts w:hint="eastAsia"/>
          <w:bCs/>
          <w:color w:val="auto"/>
        </w:rPr>
        <w:t>过硫酸氢钾复合粉消毒</w:t>
      </w:r>
      <w:r>
        <w:rPr>
          <w:rFonts w:hint="eastAsia" w:cs="宋体"/>
          <w:bCs/>
          <w:color w:val="auto"/>
          <w:lang w:eastAsia="zh-CN"/>
        </w:rPr>
        <w:t>”</w:t>
      </w:r>
      <w:r>
        <w:rPr>
          <w:rFonts w:hint="eastAsia"/>
          <w:bCs/>
          <w:color w:val="auto"/>
        </w:rPr>
        <w:t>。属于《</w:t>
      </w:r>
      <w:r>
        <w:rPr>
          <w:rFonts w:hint="eastAsia"/>
          <w:bCs/>
          <w:color w:val="auto"/>
          <w:lang w:val="en-US" w:eastAsia="zh-CN"/>
        </w:rPr>
        <w:t>医院污水处理工程技术规范</w:t>
      </w:r>
      <w:r>
        <w:rPr>
          <w:rFonts w:hint="eastAsia"/>
          <w:bCs/>
          <w:color w:val="auto"/>
        </w:rPr>
        <w:t>》（</w:t>
      </w:r>
      <w:r>
        <w:rPr>
          <w:rFonts w:hint="eastAsia"/>
          <w:bCs/>
          <w:color w:val="auto"/>
          <w:lang w:val="en-US" w:eastAsia="zh-CN"/>
        </w:rPr>
        <w:t>HJ2029-2013</w:t>
      </w:r>
      <w:r>
        <w:rPr>
          <w:rFonts w:hint="eastAsia"/>
          <w:bCs/>
          <w:color w:val="auto"/>
        </w:rPr>
        <w:t>）中推荐的</w:t>
      </w:r>
      <w:r>
        <w:rPr>
          <w:rFonts w:hint="eastAsia" w:cs="宋体"/>
          <w:bCs/>
          <w:color w:val="auto"/>
          <w:lang w:eastAsia="zh-CN"/>
        </w:rPr>
        <w:t>“</w:t>
      </w:r>
      <w:r>
        <w:rPr>
          <w:rFonts w:hint="eastAsia"/>
          <w:bCs/>
          <w:color w:val="auto"/>
          <w:lang w:val="en-US" w:eastAsia="zh-CN"/>
        </w:rPr>
        <w:t>二级处理</w:t>
      </w:r>
      <w:r>
        <w:rPr>
          <w:rFonts w:hint="eastAsia"/>
          <w:bCs/>
          <w:color w:val="auto"/>
        </w:rPr>
        <w:t>+消毒</w:t>
      </w:r>
      <w:r>
        <w:rPr>
          <w:rFonts w:hint="eastAsia" w:cs="宋体"/>
          <w:bCs/>
          <w:color w:val="auto"/>
          <w:lang w:eastAsia="zh-CN"/>
        </w:rPr>
        <w:t>”</w:t>
      </w:r>
      <w:r>
        <w:rPr>
          <w:rFonts w:hint="eastAsia"/>
          <w:bCs/>
          <w:color w:val="auto"/>
        </w:rPr>
        <w:t>工艺，满足要求。</w:t>
      </w:r>
      <w:r>
        <w:rPr>
          <w:rFonts w:hint="eastAsia"/>
          <w:color w:val="auto"/>
          <w:lang w:eastAsia="zh-CN"/>
        </w:rPr>
        <w:t>本项目建成后</w:t>
      </w:r>
      <w:r>
        <w:rPr>
          <w:rFonts w:hint="eastAsia"/>
          <w:color w:val="auto"/>
        </w:rPr>
        <w:t>出水能满足《医疗机构水污染物排放标准》（GB18466-2005）</w:t>
      </w:r>
      <w:r>
        <w:rPr>
          <w:rFonts w:hint="eastAsia"/>
          <w:color w:val="auto"/>
          <w:lang w:eastAsia="zh-CN"/>
        </w:rPr>
        <w:t>表</w:t>
      </w:r>
      <w:r>
        <w:rPr>
          <w:rFonts w:hint="eastAsia"/>
          <w:color w:val="auto"/>
          <w:lang w:val="en-US" w:eastAsia="zh-CN"/>
        </w:rPr>
        <w:t>2</w:t>
      </w:r>
      <w:r>
        <w:rPr>
          <w:rFonts w:hint="eastAsia"/>
          <w:color w:val="auto"/>
        </w:rPr>
        <w:t>中的预处理标准限值</w:t>
      </w:r>
      <w:r>
        <w:rPr>
          <w:rFonts w:hint="eastAsia"/>
          <w:color w:val="auto"/>
          <w:lang w:eastAsia="zh-CN"/>
        </w:rPr>
        <w:t>及颖州无数处理厂接管标准</w:t>
      </w:r>
      <w:r>
        <w:rPr>
          <w:rFonts w:hint="eastAsia"/>
          <w:color w:val="auto"/>
        </w:rPr>
        <w:t>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color w:val="auto"/>
        </w:rPr>
      </w:pPr>
      <w:r>
        <w:rPr>
          <w:rFonts w:hint="eastAsia"/>
          <w:color w:val="auto"/>
        </w:rPr>
        <w:t>综上所述，建设项目</w:t>
      </w:r>
      <w:r>
        <w:rPr>
          <w:rFonts w:hint="eastAsia"/>
          <w:color w:val="auto"/>
          <w:lang w:eastAsia="zh-CN"/>
        </w:rPr>
        <w:t>污水治理措施可行，医院废</w:t>
      </w:r>
      <w:r>
        <w:rPr>
          <w:rFonts w:hint="eastAsia"/>
          <w:color w:val="auto"/>
        </w:rPr>
        <w:t>水经</w:t>
      </w:r>
      <w:r>
        <w:rPr>
          <w:rFonts w:hint="eastAsia"/>
          <w:color w:val="auto"/>
          <w:lang w:eastAsia="zh-CN"/>
        </w:rPr>
        <w:t>预消毒、</w:t>
      </w:r>
      <w:r>
        <w:rPr>
          <w:rFonts w:hint="eastAsia"/>
          <w:color w:val="auto"/>
        </w:rPr>
        <w:t>污水处理站处理后能满足《医疗机构水污染物排放标准》（GB18466-2005）表</w:t>
      </w:r>
      <w:r>
        <w:rPr>
          <w:rFonts w:hint="eastAsia"/>
          <w:color w:val="auto"/>
          <w:lang w:val="en-US" w:eastAsia="zh-CN"/>
        </w:rPr>
        <w:t>2</w:t>
      </w:r>
      <w:r>
        <w:rPr>
          <w:rFonts w:hint="eastAsia"/>
          <w:color w:val="auto"/>
        </w:rPr>
        <w:t>预处理标准</w:t>
      </w:r>
      <w:r>
        <w:rPr>
          <w:rFonts w:hint="eastAsia"/>
          <w:color w:val="auto"/>
          <w:lang w:eastAsia="zh-CN"/>
        </w:rPr>
        <w:t>及颖州无数处理厂接管标准</w:t>
      </w:r>
      <w:r>
        <w:rPr>
          <w:rFonts w:hint="eastAsia"/>
          <w:color w:val="auto"/>
        </w:rPr>
        <w:t>。</w:t>
      </w:r>
    </w:p>
    <w:p>
      <w:pPr>
        <w:pStyle w:val="2"/>
        <w:pageBreakBefore w:val="0"/>
        <w:widowControl w:val="0"/>
        <w:numPr>
          <w:ilvl w:val="0"/>
          <w:numId w:val="0"/>
        </w:numPr>
        <w:kinsoku/>
        <w:wordWrap/>
        <w:overflowPunct/>
        <w:topLinePunct w:val="0"/>
        <w:bidi w:val="0"/>
        <w:adjustRightInd/>
        <w:snapToGrid/>
        <w:spacing w:after="0" w:line="360" w:lineRule="auto"/>
        <w:ind w:right="0" w:rightChars="0"/>
        <w:textAlignment w:val="auto"/>
        <w:rPr>
          <w:rFonts w:hint="eastAsia"/>
          <w:color w:val="auto"/>
        </w:rPr>
      </w:pPr>
      <w:r>
        <w:rPr>
          <w:rFonts w:hint="eastAsia"/>
          <w:color w:val="auto"/>
          <w:lang w:val="en-US" w:eastAsia="zh-CN"/>
        </w:rPr>
        <w:t>6.2.3.1</w:t>
      </w:r>
      <w:r>
        <w:rPr>
          <w:rFonts w:hint="eastAsia"/>
          <w:color w:val="auto"/>
          <w:lang w:eastAsia="zh-CN"/>
        </w:rPr>
        <w:t>十五里河污水处理厂</w:t>
      </w:r>
      <w:r>
        <w:rPr>
          <w:rFonts w:hint="eastAsia"/>
          <w:color w:val="auto"/>
        </w:rPr>
        <w:t>简介</w:t>
      </w:r>
    </w:p>
    <w:p>
      <w:pPr>
        <w:bidi w:val="0"/>
        <w:spacing w:line="360" w:lineRule="auto"/>
        <w:rPr>
          <w:rFonts w:hint="eastAsia"/>
          <w:color w:val="auto"/>
          <w:lang w:eastAsia="zh-CN"/>
        </w:rPr>
      </w:pPr>
      <w:r>
        <w:rPr>
          <w:color w:val="auto"/>
          <w:sz w:val="24"/>
        </w:rPr>
        <w:t>十五里河污水处理厂一期工程设计流量为10万m</w:t>
      </w:r>
      <w:r>
        <w:rPr>
          <w:color w:val="auto"/>
          <w:sz w:val="24"/>
          <w:vertAlign w:val="superscript"/>
        </w:rPr>
        <w:t>3</w:t>
      </w:r>
      <w:r>
        <w:rPr>
          <w:color w:val="auto"/>
          <w:sz w:val="24"/>
        </w:rPr>
        <w:t>/d，干管主要收水区域为包河工业园西南区、望湖城和经济开发区东北部；二期工程设计规模为5万m</w:t>
      </w:r>
      <w:r>
        <w:rPr>
          <w:color w:val="auto"/>
          <w:sz w:val="24"/>
          <w:vertAlign w:val="superscript"/>
        </w:rPr>
        <w:t>3</w:t>
      </w:r>
      <w:r>
        <w:rPr>
          <w:color w:val="auto"/>
          <w:sz w:val="24"/>
        </w:rPr>
        <w:t>/d，采用改良SBR工艺作为主体工艺，深度处理单位采用高密度澄清池+滤布滤池，服务范围包括高新南区、政务新区、望湖城、包河工业园西南区、经济技术开发区东北区、滨湖新区北区等区域；三期工程设计规模为10万m</w:t>
      </w:r>
      <w:r>
        <w:rPr>
          <w:color w:val="auto"/>
          <w:sz w:val="24"/>
          <w:vertAlign w:val="superscript"/>
        </w:rPr>
        <w:t>3</w:t>
      </w:r>
      <w:r>
        <w:rPr>
          <w:color w:val="auto"/>
          <w:sz w:val="24"/>
        </w:rPr>
        <w:t>/d，采用半地下式多点阶段A</w:t>
      </w:r>
      <w:r>
        <w:rPr>
          <w:color w:val="auto"/>
          <w:sz w:val="24"/>
          <w:vertAlign w:val="subscript"/>
        </w:rPr>
        <w:t>2</w:t>
      </w:r>
      <w:r>
        <w:rPr>
          <w:color w:val="auto"/>
          <w:sz w:val="24"/>
        </w:rPr>
        <w:t>O+深床滤池+消毒工艺；十五里河污水处理厂四期工程项目设计规模，与三期一样同为10万吨/日。</w:t>
      </w:r>
      <w:r>
        <w:rPr>
          <w:rFonts w:hint="eastAsia"/>
          <w:color w:val="auto"/>
          <w:kern w:val="0"/>
          <w:sz w:val="24"/>
        </w:rPr>
        <w:t>出水水质达《城镇污水处理厂污染物排放标准》（GB18918-2002）一级A标准</w:t>
      </w:r>
      <w:r>
        <w:rPr>
          <w:rFonts w:hint="eastAsia"/>
          <w:color w:val="auto"/>
          <w:sz w:val="24"/>
          <w:szCs w:val="20"/>
        </w:rPr>
        <w:t>及《巢湖流域城镇污水处理厂和工业行业主要水污染物排放限值》（DB34/2710-2016）中表2城镇污水处理厂</w:t>
      </w:r>
      <w:r>
        <w:rPr>
          <w:color w:val="auto"/>
          <w:sz w:val="24"/>
          <w:szCs w:val="20"/>
        </w:rPr>
        <w:t>Ⅰ</w:t>
      </w:r>
      <w:r>
        <w:rPr>
          <w:rFonts w:hint="eastAsia"/>
          <w:color w:val="auto"/>
          <w:sz w:val="24"/>
          <w:szCs w:val="20"/>
        </w:rPr>
        <w:t>类标准</w:t>
      </w:r>
      <w:r>
        <w:rPr>
          <w:rFonts w:hint="eastAsia"/>
          <w:color w:val="auto"/>
          <w:kern w:val="0"/>
          <w:sz w:val="24"/>
        </w:rPr>
        <w:t>，出水排入十五里河</w:t>
      </w:r>
      <w:r>
        <w:rPr>
          <w:rFonts w:hint="eastAsia"/>
          <w:color w:val="auto"/>
          <w:lang w:eastAsia="zh-CN"/>
        </w:rPr>
        <w:t>。</w:t>
      </w:r>
    </w:p>
    <w:p>
      <w:pPr>
        <w:spacing w:line="360" w:lineRule="auto"/>
        <w:jc w:val="left"/>
        <w:rPr>
          <w:rFonts w:hint="eastAsia"/>
          <w:color w:val="auto"/>
          <w:szCs w:val="28"/>
          <w:highlight w:val="none"/>
          <w:lang w:eastAsia="zh-CN"/>
        </w:rPr>
      </w:pPr>
      <w:r>
        <w:rPr>
          <w:rFonts w:hint="eastAsia"/>
          <w:b w:val="0"/>
          <w:bCs w:val="0"/>
          <w:color w:val="auto"/>
          <w:lang w:eastAsia="zh-CN"/>
        </w:rPr>
        <w:t>十五里河污水处理厂工艺流程图如下：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lang w:val="en-US" w:eastAsia="zh-CN"/>
        </w:rPr>
      </w:pPr>
      <w:r>
        <w:rPr>
          <w:color w:val="auto"/>
          <w:sz w:val="24"/>
        </w:rPr>
        <w:drawing>
          <wp:inline distT="0" distB="0" distL="0" distR="0">
            <wp:extent cx="5288915" cy="2296160"/>
            <wp:effectExtent l="0" t="0" r="6985"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99">
                      <a:extLst>
                        <a:ext uri="{28A0092B-C50C-407E-A947-70E740481C1C}">
                          <a14:useLocalDpi xmlns:a14="http://schemas.microsoft.com/office/drawing/2010/main" val="0"/>
                        </a:ext>
                      </a:extLst>
                    </a:blip>
                    <a:srcRect l="1920" t="7144" r="1920" b="2983"/>
                    <a:stretch>
                      <a:fillRect/>
                    </a:stretch>
                  </pic:blipFill>
                  <pic:spPr>
                    <a:xfrm>
                      <a:off x="0" y="0"/>
                      <a:ext cx="5298584" cy="2300564"/>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r>
        <w:rPr>
          <w:rFonts w:hint="eastAsia"/>
          <w:b/>
          <w:bCs/>
          <w:color w:val="auto"/>
          <w:sz w:val="21"/>
          <w:szCs w:val="21"/>
          <w:lang w:val="en-US" w:eastAsia="zh-CN"/>
        </w:rPr>
        <w:t>图 6.2-2 十五里河污水处理厂处理工艺图</w:t>
      </w:r>
    </w:p>
    <w:p>
      <w:pPr>
        <w:pStyle w:val="2"/>
        <w:pageBreakBefore w:val="0"/>
        <w:widowControl w:val="0"/>
        <w:numPr>
          <w:ilvl w:val="0"/>
          <w:numId w:val="0"/>
        </w:numPr>
        <w:kinsoku/>
        <w:wordWrap/>
        <w:overflowPunct/>
        <w:topLinePunct w:val="0"/>
        <w:bidi w:val="0"/>
        <w:adjustRightInd/>
        <w:snapToGrid/>
        <w:spacing w:after="0" w:line="480" w:lineRule="exact"/>
        <w:ind w:right="0" w:rightChars="0"/>
        <w:textAlignment w:val="auto"/>
        <w:rPr>
          <w:rFonts w:hint="eastAsia"/>
          <w:color w:val="auto"/>
        </w:rPr>
      </w:pPr>
      <w:r>
        <w:rPr>
          <w:rFonts w:hint="eastAsia"/>
          <w:color w:val="auto"/>
          <w:lang w:val="en-US" w:eastAsia="zh-CN"/>
        </w:rPr>
        <w:t>6.2.3.2</w:t>
      </w:r>
      <w:r>
        <w:rPr>
          <w:rFonts w:hint="eastAsia"/>
          <w:color w:val="auto"/>
        </w:rPr>
        <w:t>接管污水处理厂的可行性分析</w:t>
      </w:r>
    </w:p>
    <w:p>
      <w:pPr>
        <w:pageBreakBefore w:val="0"/>
        <w:widowControl w:val="0"/>
        <w:kinsoku/>
        <w:wordWrap/>
        <w:overflowPunct/>
        <w:topLinePunct w:val="0"/>
        <w:bidi w:val="0"/>
        <w:adjustRightInd/>
        <w:snapToGrid/>
        <w:spacing w:line="480" w:lineRule="exact"/>
        <w:ind w:right="0" w:rightChars="0" w:firstLine="484" w:firstLineChars="202"/>
        <w:textAlignment w:val="auto"/>
        <w:rPr>
          <w:rFonts w:hint="eastAsia"/>
          <w:color w:val="auto"/>
        </w:rPr>
      </w:pPr>
      <w:r>
        <w:rPr>
          <w:rFonts w:ascii="Times New Roman" w:eastAsia="宋体"/>
          <w:b w:val="0"/>
          <w:bCs w:val="0"/>
          <w:color w:val="auto"/>
          <w:sz w:val="24"/>
          <w:szCs w:val="24"/>
        </w:rPr>
        <w:t>十五里河污水处理厂服务范围包括</w:t>
      </w:r>
      <w:r>
        <w:rPr>
          <w:rFonts w:hint="eastAsia" w:ascii="Times New Roman" w:eastAsia="宋体"/>
          <w:b w:val="0"/>
          <w:bCs w:val="0"/>
          <w:color w:val="auto"/>
          <w:sz w:val="24"/>
          <w:szCs w:val="24"/>
          <w:lang w:eastAsia="zh-CN"/>
        </w:rPr>
        <w:t>高</w:t>
      </w:r>
      <w:r>
        <w:rPr>
          <w:rFonts w:ascii="Times New Roman" w:eastAsia="宋体"/>
          <w:b w:val="0"/>
          <w:bCs w:val="0"/>
          <w:color w:val="auto"/>
          <w:sz w:val="24"/>
          <w:szCs w:val="24"/>
        </w:rPr>
        <w:t>新南区、政务新区、望湖城、包河工业区西南区、经济开发区东北区、滨湖新区北区等区域，规划服务而积177.4k</w:t>
      </w:r>
      <w:r>
        <w:rPr>
          <w:rFonts w:hint="eastAsia" w:ascii="Times New Roman" w:eastAsia="宋体"/>
          <w:b w:val="0"/>
          <w:bCs w:val="0"/>
          <w:color w:val="auto"/>
          <w:sz w:val="24"/>
          <w:szCs w:val="24"/>
        </w:rPr>
        <w:t>m</w:t>
      </w:r>
      <w:r>
        <w:rPr>
          <w:rFonts w:hint="eastAsia" w:ascii="Times New Roman" w:eastAsia="宋体"/>
          <w:b w:val="0"/>
          <w:bCs w:val="0"/>
          <w:color w:val="auto"/>
          <w:sz w:val="24"/>
          <w:szCs w:val="24"/>
          <w:vertAlign w:val="superscript"/>
        </w:rPr>
        <w:t>2</w:t>
      </w:r>
      <w:r>
        <w:rPr>
          <w:rFonts w:hint="eastAsia" w:ascii="Times New Roman" w:eastAsia="宋体"/>
          <w:b w:val="0"/>
          <w:bCs w:val="0"/>
          <w:color w:val="auto"/>
          <w:sz w:val="24"/>
          <w:szCs w:val="24"/>
        </w:rPr>
        <w:t>。</w:t>
      </w:r>
      <w:r>
        <w:rPr>
          <w:rFonts w:ascii="Times New Roman" w:eastAsia="宋体"/>
          <w:b w:val="0"/>
          <w:bCs w:val="0"/>
          <w:color w:val="auto"/>
          <w:sz w:val="24"/>
          <w:szCs w:val="24"/>
        </w:rPr>
        <w:t>项目所在区域属于</w:t>
      </w:r>
      <w:r>
        <w:rPr>
          <w:rFonts w:hint="eastAsia" w:ascii="Times New Roman" w:eastAsia="宋体"/>
          <w:b w:val="0"/>
          <w:bCs w:val="0"/>
          <w:color w:val="auto"/>
          <w:sz w:val="24"/>
          <w:szCs w:val="24"/>
        </w:rPr>
        <w:t>十五里河</w:t>
      </w:r>
      <w:r>
        <w:rPr>
          <w:rFonts w:ascii="Times New Roman" w:eastAsia="宋体"/>
          <w:b w:val="0"/>
          <w:bCs w:val="0"/>
          <w:color w:val="auto"/>
          <w:sz w:val="24"/>
          <w:szCs w:val="24"/>
        </w:rPr>
        <w:t>污水处理厂的收水范围，项目产生的污水经</w:t>
      </w:r>
      <w:r>
        <w:rPr>
          <w:rFonts w:hint="eastAsia" w:ascii="Times New Roman" w:eastAsia="宋体"/>
          <w:b w:val="0"/>
          <w:bCs w:val="0"/>
          <w:color w:val="auto"/>
          <w:sz w:val="24"/>
          <w:szCs w:val="24"/>
        </w:rPr>
        <w:t>市政</w:t>
      </w:r>
      <w:r>
        <w:rPr>
          <w:rFonts w:ascii="Times New Roman" w:eastAsia="宋体"/>
          <w:b w:val="0"/>
          <w:bCs w:val="0"/>
          <w:color w:val="auto"/>
          <w:sz w:val="24"/>
          <w:szCs w:val="24"/>
        </w:rPr>
        <w:t>污水管网进入</w:t>
      </w:r>
      <w:r>
        <w:rPr>
          <w:rFonts w:hint="eastAsia" w:ascii="Times New Roman" w:eastAsia="宋体"/>
          <w:b w:val="0"/>
          <w:bCs w:val="0"/>
          <w:color w:val="auto"/>
          <w:sz w:val="24"/>
          <w:szCs w:val="24"/>
        </w:rPr>
        <w:t>十五里河</w:t>
      </w:r>
      <w:r>
        <w:rPr>
          <w:rFonts w:ascii="Times New Roman" w:eastAsia="宋体"/>
          <w:b w:val="0"/>
          <w:bCs w:val="0"/>
          <w:color w:val="auto"/>
          <w:sz w:val="24"/>
          <w:szCs w:val="24"/>
        </w:rPr>
        <w:t>污水处理厂处理</w:t>
      </w:r>
      <w:r>
        <w:rPr>
          <w:rFonts w:hint="eastAsia" w:ascii="Times New Roman" w:hAnsi="Times New Roman" w:eastAsia="宋体" w:cs="Times New Roman"/>
          <w:color w:val="auto"/>
          <w:kern w:val="2"/>
          <w:sz w:val="24"/>
          <w:szCs w:val="24"/>
          <w:lang w:val="en-US" w:eastAsia="zh-CN" w:bidi="ar-SA"/>
        </w:rPr>
        <w:t>。</w:t>
      </w:r>
      <w:r>
        <w:rPr>
          <w:rFonts w:hint="eastAsia"/>
          <w:color w:val="auto"/>
          <w:lang w:eastAsia="zh-CN"/>
        </w:rPr>
        <w:t>区域内的</w:t>
      </w:r>
      <w:r>
        <w:rPr>
          <w:rFonts w:hint="eastAsia"/>
          <w:color w:val="auto"/>
        </w:rPr>
        <w:t>污水可做到全收集全处理</w:t>
      </w:r>
      <w:r>
        <w:rPr>
          <w:rFonts w:hint="eastAsia" w:ascii="Times New Roman" w:hAnsi="Times New Roman" w:eastAsia="宋体" w:cs="Times New Roman"/>
          <w:color w:val="auto"/>
          <w:kern w:val="2"/>
          <w:sz w:val="24"/>
          <w:szCs w:val="24"/>
          <w:lang w:val="en-US" w:eastAsia="zh-CN" w:bidi="ar-SA"/>
        </w:rPr>
        <w:t>，</w:t>
      </w:r>
      <w:r>
        <w:rPr>
          <w:rFonts w:hint="eastAsia"/>
          <w:color w:val="auto"/>
          <w:lang w:eastAsia="zh-CN"/>
        </w:rPr>
        <w:t>因此院区</w:t>
      </w:r>
      <w:r>
        <w:rPr>
          <w:rFonts w:hint="eastAsia"/>
          <w:color w:val="auto"/>
        </w:rPr>
        <w:t>污水由市政管网排至</w:t>
      </w:r>
      <w:r>
        <w:rPr>
          <w:rFonts w:hint="eastAsia"/>
          <w:color w:val="auto"/>
          <w:lang w:eastAsia="zh-CN"/>
        </w:rPr>
        <w:t>十五里河污水处理厂</w:t>
      </w:r>
      <w:r>
        <w:rPr>
          <w:rFonts w:hint="eastAsia"/>
          <w:color w:val="auto"/>
        </w:rPr>
        <w:t>处理</w:t>
      </w:r>
      <w:r>
        <w:rPr>
          <w:rFonts w:hint="eastAsia"/>
          <w:color w:val="auto"/>
          <w:lang w:eastAsia="zh-CN"/>
        </w:rPr>
        <w:t>可行</w:t>
      </w:r>
      <w:r>
        <w:rPr>
          <w:rFonts w:hint="eastAsia"/>
          <w:color w:val="auto"/>
        </w:rPr>
        <w:t>。</w:t>
      </w:r>
    </w:p>
    <w:p>
      <w:pPr>
        <w:pageBreakBefore w:val="0"/>
        <w:widowControl w:val="0"/>
        <w:kinsoku/>
        <w:wordWrap/>
        <w:overflowPunct/>
        <w:topLinePunct w:val="0"/>
        <w:bidi w:val="0"/>
        <w:adjustRightInd/>
        <w:snapToGrid/>
        <w:spacing w:line="480" w:lineRule="exact"/>
        <w:ind w:right="0" w:rightChars="0" w:firstLine="484" w:firstLineChars="202"/>
        <w:textAlignment w:val="auto"/>
        <w:rPr>
          <w:rFonts w:hint="eastAsia"/>
          <w:color w:val="auto"/>
          <w:highlight w:val="none"/>
          <w:lang w:eastAsia="zh-CN"/>
        </w:rPr>
      </w:pPr>
      <w:r>
        <w:rPr>
          <w:color w:val="auto"/>
          <w:highlight w:val="none"/>
        </w:rPr>
        <w:t>本项目污水</w:t>
      </w:r>
      <w:r>
        <w:rPr>
          <w:rFonts w:hint="eastAsia"/>
          <w:color w:val="auto"/>
          <w:highlight w:val="none"/>
          <w:lang w:eastAsia="zh-CN"/>
        </w:rPr>
        <w:t>经预消毒及综合治理后污染物浓度较低</w:t>
      </w:r>
      <w:r>
        <w:rPr>
          <w:rFonts w:hint="eastAsia"/>
          <w:color w:val="auto"/>
          <w:highlight w:val="none"/>
        </w:rPr>
        <w:t>，</w:t>
      </w:r>
      <w:r>
        <w:rPr>
          <w:color w:val="auto"/>
          <w:highlight w:val="none"/>
        </w:rPr>
        <w:t>满足</w:t>
      </w:r>
      <w:r>
        <w:rPr>
          <w:rFonts w:hint="eastAsia"/>
          <w:color w:val="auto"/>
        </w:rPr>
        <w:t>《医疗机构水污染物排放标准》（GB18466-2005）表</w:t>
      </w:r>
      <w:r>
        <w:rPr>
          <w:rFonts w:hint="eastAsia"/>
          <w:color w:val="auto"/>
          <w:lang w:val="en-US" w:eastAsia="zh-CN"/>
        </w:rPr>
        <w:t>2</w:t>
      </w:r>
      <w:r>
        <w:rPr>
          <w:rFonts w:hint="eastAsia"/>
          <w:color w:val="auto"/>
        </w:rPr>
        <w:t>预处理标准</w:t>
      </w:r>
      <w:r>
        <w:rPr>
          <w:rFonts w:hint="eastAsia"/>
          <w:color w:val="auto"/>
          <w:lang w:eastAsia="zh-CN"/>
        </w:rPr>
        <w:t>和</w:t>
      </w:r>
      <w:r>
        <w:rPr>
          <w:rFonts w:hint="eastAsia"/>
          <w:color w:val="auto"/>
          <w:highlight w:val="none"/>
          <w:lang w:eastAsia="zh-CN"/>
        </w:rPr>
        <w:t>十五里河污水处理厂</w:t>
      </w:r>
      <w:r>
        <w:rPr>
          <w:color w:val="auto"/>
          <w:highlight w:val="none"/>
        </w:rPr>
        <w:t>的进水水质要求</w:t>
      </w:r>
      <w:r>
        <w:rPr>
          <w:rFonts w:hint="eastAsia"/>
          <w:color w:val="auto"/>
          <w:highlight w:val="none"/>
          <w:lang w:eastAsia="zh-CN"/>
        </w:rPr>
        <w:t>，因此院区总排口废水水质接管可行。</w:t>
      </w:r>
    </w:p>
    <w:p>
      <w:pPr>
        <w:pageBreakBefore w:val="0"/>
        <w:widowControl w:val="0"/>
        <w:kinsoku/>
        <w:wordWrap/>
        <w:overflowPunct/>
        <w:topLinePunct w:val="0"/>
        <w:bidi w:val="0"/>
        <w:adjustRightInd/>
        <w:snapToGrid/>
        <w:spacing w:line="480" w:lineRule="exact"/>
        <w:ind w:right="0" w:rightChars="0" w:firstLine="484" w:firstLineChars="202"/>
        <w:textAlignment w:val="auto"/>
        <w:rPr>
          <w:rFonts w:hint="eastAsia"/>
          <w:color w:val="auto"/>
          <w:highlight w:val="none"/>
        </w:rPr>
      </w:pPr>
      <w:r>
        <w:rPr>
          <w:rFonts w:hint="eastAsia"/>
          <w:color w:val="auto"/>
          <w:highlight w:val="none"/>
          <w:lang w:eastAsia="zh-CN"/>
        </w:rPr>
        <w:t>十五里河污水处理厂一期、二期、三期、</w:t>
      </w:r>
      <w:r>
        <w:rPr>
          <w:rFonts w:hint="eastAsia"/>
          <w:color w:val="auto"/>
          <w:highlight w:val="none"/>
          <w:lang w:val="en-US" w:eastAsia="zh-CN"/>
        </w:rPr>
        <w:t>四期</w:t>
      </w:r>
      <w:r>
        <w:rPr>
          <w:rFonts w:hint="eastAsia"/>
          <w:color w:val="auto"/>
          <w:highlight w:val="none"/>
          <w:lang w:eastAsia="zh-CN"/>
        </w:rPr>
        <w:t>工程总的日处理污水量为</w:t>
      </w:r>
      <w:r>
        <w:rPr>
          <w:rFonts w:hint="eastAsia"/>
          <w:color w:val="auto"/>
          <w:highlight w:val="none"/>
          <w:lang w:val="en-US" w:eastAsia="zh-CN"/>
        </w:rPr>
        <w:t>30</w:t>
      </w:r>
      <w:r>
        <w:rPr>
          <w:rFonts w:hint="eastAsia"/>
          <w:color w:val="auto"/>
          <w:highlight w:val="none"/>
          <w:lang w:eastAsia="zh-CN"/>
        </w:rPr>
        <w:t>万吨，本项目建成后</w:t>
      </w:r>
      <w:r>
        <w:rPr>
          <w:rFonts w:hint="eastAsia"/>
          <w:color w:val="auto"/>
          <w:highlight w:val="none"/>
          <w:lang w:val="en-US" w:eastAsia="zh-CN"/>
        </w:rPr>
        <w:t>新增污水排放量为958</w:t>
      </w:r>
      <w:r>
        <w:rPr>
          <w:color w:val="auto"/>
          <w:highlight w:val="none"/>
        </w:rPr>
        <w:t>m</w:t>
      </w:r>
      <w:r>
        <w:rPr>
          <w:color w:val="auto"/>
          <w:highlight w:val="none"/>
          <w:vertAlign w:val="superscript"/>
        </w:rPr>
        <w:t>3</w:t>
      </w:r>
      <w:r>
        <w:rPr>
          <w:rFonts w:hint="eastAsia"/>
          <w:color w:val="auto"/>
          <w:highlight w:val="none"/>
          <w:lang w:val="en-US" w:eastAsia="zh-CN"/>
        </w:rPr>
        <w:t>/d</w:t>
      </w:r>
      <w:r>
        <w:rPr>
          <w:rFonts w:hint="eastAsia" w:cs="宋体"/>
          <w:color w:val="auto"/>
          <w:highlight w:val="none"/>
          <w:lang w:eastAsia="zh-CN"/>
        </w:rPr>
        <w:t>；</w:t>
      </w:r>
      <w:r>
        <w:rPr>
          <w:rFonts w:hint="eastAsia"/>
          <w:color w:val="auto"/>
          <w:highlight w:val="none"/>
        </w:rPr>
        <w:t>目前</w:t>
      </w:r>
      <w:r>
        <w:rPr>
          <w:rFonts w:hint="eastAsia"/>
          <w:color w:val="auto"/>
          <w:highlight w:val="none"/>
          <w:lang w:eastAsia="zh-CN"/>
        </w:rPr>
        <w:t>十五里河污水处理厂</w:t>
      </w:r>
      <w:r>
        <w:rPr>
          <w:rFonts w:hint="eastAsia"/>
          <w:color w:val="auto"/>
          <w:highlight w:val="none"/>
        </w:rPr>
        <w:t>余量满足要求</w:t>
      </w:r>
      <w:r>
        <w:rPr>
          <w:color w:val="auto"/>
          <w:highlight w:val="none"/>
        </w:rPr>
        <w:t>，</w:t>
      </w:r>
      <w:r>
        <w:rPr>
          <w:rFonts w:hint="eastAsia"/>
          <w:color w:val="auto"/>
          <w:highlight w:val="none"/>
          <w:lang w:eastAsia="zh-CN"/>
        </w:rPr>
        <w:t>本项目废水</w:t>
      </w:r>
      <w:r>
        <w:rPr>
          <w:rFonts w:hint="eastAsia"/>
          <w:color w:val="auto"/>
          <w:highlight w:val="none"/>
          <w:lang w:val="en-US" w:eastAsia="zh-CN"/>
        </w:rPr>
        <w:t>不会对污水</w:t>
      </w:r>
      <w:r>
        <w:rPr>
          <w:color w:val="auto"/>
          <w:highlight w:val="none"/>
        </w:rPr>
        <w:t>处理厂造成冲击影响</w:t>
      </w:r>
      <w:r>
        <w:rPr>
          <w:rFonts w:hint="eastAsia"/>
          <w:color w:val="auto"/>
          <w:highlight w:val="none"/>
          <w:lang w:eastAsia="zh-CN"/>
        </w:rPr>
        <w:t>，因此，院区污水量接管可行</w:t>
      </w:r>
      <w:r>
        <w:rPr>
          <w:color w:val="auto"/>
          <w:highlight w:val="none"/>
        </w:rPr>
        <w:t>。</w:t>
      </w:r>
    </w:p>
    <w:p>
      <w:pPr>
        <w:pageBreakBefore w:val="0"/>
        <w:widowControl w:val="0"/>
        <w:kinsoku/>
        <w:wordWrap/>
        <w:overflowPunct/>
        <w:topLinePunct w:val="0"/>
        <w:bidi w:val="0"/>
        <w:adjustRightInd/>
        <w:snapToGrid/>
        <w:spacing w:line="480" w:lineRule="exact"/>
        <w:ind w:right="0" w:rightChars="0" w:firstLine="480"/>
        <w:textAlignment w:val="auto"/>
        <w:rPr>
          <w:rFonts w:hint="eastAsia"/>
          <w:color w:val="auto"/>
        </w:rPr>
      </w:pPr>
      <w:r>
        <w:rPr>
          <w:rFonts w:hint="eastAsia"/>
          <w:color w:val="auto"/>
        </w:rPr>
        <w:t>综上所述，项目</w:t>
      </w:r>
      <w:r>
        <w:rPr>
          <w:rFonts w:hint="eastAsia"/>
          <w:color w:val="auto"/>
          <w:lang w:eastAsia="zh-CN"/>
        </w:rPr>
        <w:t>废水接管可行</w:t>
      </w:r>
      <w:r>
        <w:rPr>
          <w:rFonts w:hint="eastAsia" w:cs="宋体"/>
          <w:color w:val="auto"/>
          <w:lang w:eastAsia="zh-CN"/>
        </w:rPr>
        <w:t>；</w:t>
      </w:r>
      <w:r>
        <w:rPr>
          <w:rFonts w:hint="eastAsia"/>
          <w:color w:val="auto"/>
        </w:rPr>
        <w:t>废水经分类处理后接管进入</w:t>
      </w:r>
      <w:r>
        <w:rPr>
          <w:rFonts w:hint="eastAsia"/>
          <w:color w:val="auto"/>
          <w:lang w:eastAsia="zh-CN"/>
        </w:rPr>
        <w:t>十五里河污水处理厂</w:t>
      </w:r>
      <w:r>
        <w:rPr>
          <w:rFonts w:hint="eastAsia"/>
          <w:color w:val="auto"/>
        </w:rPr>
        <w:t>处理，</w:t>
      </w:r>
      <w:r>
        <w:rPr>
          <w:rFonts w:hint="eastAsia"/>
          <w:color w:val="auto"/>
          <w:lang w:eastAsia="zh-CN"/>
        </w:rPr>
        <w:t>十五里河污水处理厂</w:t>
      </w:r>
      <w:r>
        <w:rPr>
          <w:rFonts w:hint="eastAsia"/>
          <w:color w:val="auto"/>
        </w:rPr>
        <w:t>处理后的</w:t>
      </w:r>
      <w:r>
        <w:rPr>
          <w:rFonts w:hint="eastAsia"/>
          <w:color w:val="auto"/>
          <w:szCs w:val="21"/>
        </w:rPr>
        <w:t>尾水执行</w:t>
      </w:r>
      <w:r>
        <w:rPr>
          <w:rFonts w:hint="eastAsia"/>
          <w:color w:val="auto"/>
          <w:szCs w:val="21"/>
          <w:lang w:eastAsia="zh-CN"/>
        </w:rPr>
        <w:t>《城镇污水处理厂污染物排放标准》（GB18918-2002）</w:t>
      </w:r>
      <w:r>
        <w:rPr>
          <w:color w:val="auto"/>
        </w:rPr>
        <w:t>一级标准的A标准</w:t>
      </w:r>
      <w:r>
        <w:rPr>
          <w:rFonts w:hint="eastAsia"/>
          <w:color w:val="auto"/>
          <w:lang w:eastAsia="zh-CN"/>
        </w:rPr>
        <w:t>及</w:t>
      </w:r>
      <w:r>
        <w:rPr>
          <w:rFonts w:hint="eastAsia"/>
          <w:color w:val="auto"/>
          <w:sz w:val="24"/>
          <w:szCs w:val="20"/>
        </w:rPr>
        <w:t>《巢湖流域城镇污水处理厂和工业行业主要水污染物排放限值》（DB34/2710-2016）中表2城镇污水处理厂</w:t>
      </w:r>
      <w:r>
        <w:rPr>
          <w:color w:val="auto"/>
          <w:sz w:val="24"/>
          <w:szCs w:val="20"/>
        </w:rPr>
        <w:t>Ⅰ</w:t>
      </w:r>
      <w:r>
        <w:rPr>
          <w:rFonts w:hint="eastAsia"/>
          <w:color w:val="auto"/>
          <w:sz w:val="24"/>
          <w:szCs w:val="20"/>
        </w:rPr>
        <w:t>类标准</w:t>
      </w:r>
      <w:r>
        <w:rPr>
          <w:rFonts w:hint="eastAsia"/>
          <w:color w:val="auto"/>
          <w:sz w:val="24"/>
          <w:szCs w:val="20"/>
          <w:lang w:eastAsia="zh-CN"/>
        </w:rPr>
        <w:t>要求</w:t>
      </w:r>
      <w:r>
        <w:rPr>
          <w:rFonts w:hint="eastAsia"/>
          <w:color w:val="auto"/>
        </w:rPr>
        <w:t>。</w:t>
      </w:r>
    </w:p>
    <w:p>
      <w:pPr>
        <w:pStyle w:val="5"/>
        <w:pageBreakBefore w:val="0"/>
        <w:widowControl w:val="0"/>
        <w:numPr>
          <w:ilvl w:val="0"/>
          <w:numId w:val="0"/>
        </w:numPr>
        <w:kinsoku/>
        <w:wordWrap/>
        <w:overflowPunct/>
        <w:topLinePunct w:val="0"/>
        <w:bidi w:val="0"/>
        <w:adjustRightInd/>
        <w:snapToGrid/>
        <w:spacing w:before="120" w:line="480" w:lineRule="exact"/>
        <w:ind w:leftChars="0" w:right="0" w:rightChars="0"/>
        <w:textAlignment w:val="auto"/>
        <w:rPr>
          <w:rFonts w:hint="eastAsia"/>
          <w:color w:val="auto"/>
        </w:rPr>
      </w:pPr>
      <w:r>
        <w:rPr>
          <w:rFonts w:hint="eastAsia"/>
          <w:color w:val="auto"/>
          <w:lang w:val="en-US" w:eastAsia="zh-CN"/>
        </w:rPr>
        <w:t>6.2.4</w:t>
      </w:r>
      <w:r>
        <w:rPr>
          <w:rFonts w:hint="eastAsia"/>
          <w:color w:val="auto"/>
        </w:rPr>
        <w:t>噪声环境保护措施分析</w:t>
      </w:r>
    </w:p>
    <w:p>
      <w:pPr>
        <w:pStyle w:val="2"/>
        <w:pageBreakBefore w:val="0"/>
        <w:widowControl w:val="0"/>
        <w:numPr>
          <w:ilvl w:val="0"/>
          <w:numId w:val="0"/>
        </w:numPr>
        <w:kinsoku/>
        <w:wordWrap/>
        <w:overflowPunct/>
        <w:topLinePunct w:val="0"/>
        <w:bidi w:val="0"/>
        <w:adjustRightInd/>
        <w:snapToGrid/>
        <w:spacing w:after="0" w:line="480" w:lineRule="exact"/>
        <w:ind w:right="0" w:rightChars="0"/>
        <w:textAlignment w:val="auto"/>
        <w:rPr>
          <w:rFonts w:hint="eastAsia"/>
          <w:color w:val="auto"/>
        </w:rPr>
      </w:pPr>
      <w:r>
        <w:rPr>
          <w:rFonts w:hint="eastAsia"/>
          <w:color w:val="auto"/>
          <w:lang w:val="en-US" w:eastAsia="zh-CN"/>
        </w:rPr>
        <w:t>6.2.4.1</w:t>
      </w:r>
      <w:r>
        <w:rPr>
          <w:rFonts w:hint="eastAsia"/>
          <w:color w:val="auto"/>
        </w:rPr>
        <w:t>低频</w:t>
      </w:r>
      <w:r>
        <w:rPr>
          <w:color w:val="auto"/>
        </w:rPr>
        <w:t>设备噪声防治措施</w:t>
      </w:r>
    </w:p>
    <w:p>
      <w:pPr>
        <w:pageBreakBefore w:val="0"/>
        <w:widowControl w:val="0"/>
        <w:kinsoku/>
        <w:wordWrap/>
        <w:overflowPunct/>
        <w:topLinePunct w:val="0"/>
        <w:bidi w:val="0"/>
        <w:adjustRightInd/>
        <w:snapToGrid/>
        <w:spacing w:line="480" w:lineRule="exact"/>
        <w:ind w:right="0" w:rightChars="0" w:firstLine="480"/>
        <w:textAlignment w:val="auto"/>
        <w:rPr>
          <w:color w:val="auto"/>
        </w:rPr>
      </w:pPr>
      <w:r>
        <w:rPr>
          <w:color w:val="auto"/>
        </w:rPr>
        <w:t>地下室内主要噪声源的频谱特性呈低频特性，如不采取有效措施，将会对相邻楼层建筑物产生不良影响。拟对低频设备噪声的防治措施如下：</w:t>
      </w:r>
    </w:p>
    <w:p>
      <w:pPr>
        <w:pageBreakBefore w:val="0"/>
        <w:widowControl w:val="0"/>
        <w:kinsoku/>
        <w:wordWrap/>
        <w:overflowPunct/>
        <w:topLinePunct w:val="0"/>
        <w:bidi w:val="0"/>
        <w:adjustRightInd/>
        <w:snapToGrid/>
        <w:spacing w:line="480" w:lineRule="exact"/>
        <w:ind w:right="0" w:rightChars="0" w:firstLine="480"/>
        <w:textAlignment w:val="auto"/>
        <w:rPr>
          <w:color w:val="auto"/>
        </w:rPr>
      </w:pPr>
      <w:r>
        <w:rPr>
          <w:color w:val="auto"/>
        </w:rPr>
        <w:t>（</w:t>
      </w:r>
      <w:r>
        <w:rPr>
          <w:rFonts w:hint="eastAsia"/>
          <w:color w:val="auto"/>
        </w:rPr>
        <w:t>1</w:t>
      </w:r>
      <w:r>
        <w:rPr>
          <w:color w:val="auto"/>
        </w:rPr>
        <w:t>）生活水泵应安装在泵房内，并对泵房采取</w:t>
      </w:r>
      <w:r>
        <w:rPr>
          <w:rFonts w:hint="eastAsia"/>
          <w:color w:val="auto"/>
          <w:lang w:val="en-US" w:eastAsia="zh-CN"/>
        </w:rPr>
        <w:t>吸声</w:t>
      </w:r>
      <w:r>
        <w:rPr>
          <w:color w:val="auto"/>
        </w:rPr>
        <w:t>、</w:t>
      </w:r>
      <w:r>
        <w:rPr>
          <w:rFonts w:hint="eastAsia"/>
          <w:color w:val="auto"/>
          <w:lang w:val="en-US" w:eastAsia="zh-CN"/>
        </w:rPr>
        <w:t>密闭</w:t>
      </w:r>
      <w:r>
        <w:rPr>
          <w:color w:val="auto"/>
        </w:rPr>
        <w:t>等降噪措施</w:t>
      </w:r>
      <w:r>
        <w:rPr>
          <w:rFonts w:hint="eastAsia" w:cs="宋体"/>
          <w:color w:val="auto"/>
          <w:lang w:eastAsia="zh-CN"/>
        </w:rPr>
        <w:t>；</w:t>
      </w:r>
      <w:r>
        <w:rPr>
          <w:color w:val="auto"/>
        </w:rPr>
        <w:t>对水泵的基础、管道采取减振降噪措施</w:t>
      </w:r>
      <w:r>
        <w:rPr>
          <w:rFonts w:hint="eastAsia" w:cs="宋体"/>
          <w:color w:val="auto"/>
          <w:lang w:eastAsia="zh-CN"/>
        </w:rPr>
        <w:t>；</w:t>
      </w:r>
      <w:r>
        <w:rPr>
          <w:color w:val="auto"/>
        </w:rPr>
        <w:t>合理布局，将泵房及车库等高噪声设施及用房布置</w:t>
      </w:r>
      <w:r>
        <w:rPr>
          <w:rFonts w:hint="eastAsia"/>
          <w:color w:val="auto"/>
          <w:lang w:eastAsia="zh-CN"/>
        </w:rPr>
        <w:t>于</w:t>
      </w:r>
      <w:r>
        <w:rPr>
          <w:color w:val="auto"/>
        </w:rPr>
        <w:t>地下，利用建筑物、构筑物阻隔声波的传播，减少对周围环境的影响。</w:t>
      </w:r>
    </w:p>
    <w:p>
      <w:pPr>
        <w:pageBreakBefore w:val="0"/>
        <w:widowControl w:val="0"/>
        <w:kinsoku/>
        <w:wordWrap/>
        <w:overflowPunct/>
        <w:topLinePunct w:val="0"/>
        <w:bidi w:val="0"/>
        <w:adjustRightInd/>
        <w:snapToGrid/>
        <w:spacing w:line="480" w:lineRule="exact"/>
        <w:ind w:right="0" w:rightChars="0" w:firstLine="480"/>
        <w:textAlignment w:val="auto"/>
        <w:rPr>
          <w:color w:val="auto"/>
        </w:rPr>
      </w:pPr>
      <w:r>
        <w:rPr>
          <w:color w:val="auto"/>
        </w:rPr>
        <w:t>（</w:t>
      </w:r>
      <w:r>
        <w:rPr>
          <w:rFonts w:hint="eastAsia"/>
          <w:color w:val="auto"/>
        </w:rPr>
        <w:t>2</w:t>
      </w:r>
      <w:r>
        <w:rPr>
          <w:color w:val="auto"/>
        </w:rPr>
        <w:t>）设备选型方面，在满足功能要求的前提下，风机、泵等设备选用加工精度高、装配质量好、低噪设备</w:t>
      </w:r>
      <w:r>
        <w:rPr>
          <w:rFonts w:hint="eastAsia" w:cs="宋体"/>
          <w:color w:val="auto"/>
          <w:lang w:eastAsia="zh-CN"/>
        </w:rPr>
        <w:t>；</w:t>
      </w:r>
      <w:r>
        <w:rPr>
          <w:color w:val="auto"/>
        </w:rPr>
        <w:t>所有通风设备均选用低噪声类型</w:t>
      </w:r>
      <w:r>
        <w:rPr>
          <w:rFonts w:hint="eastAsia" w:cs="宋体"/>
          <w:color w:val="auto"/>
          <w:lang w:eastAsia="zh-CN"/>
        </w:rPr>
        <w:t>；</w:t>
      </w:r>
      <w:r>
        <w:rPr>
          <w:color w:val="auto"/>
        </w:rPr>
        <w:t>通风管上加装消声器</w:t>
      </w:r>
      <w:r>
        <w:rPr>
          <w:rFonts w:hint="eastAsia"/>
          <w:color w:val="auto"/>
        </w:rPr>
        <w:t>，</w:t>
      </w:r>
      <w:r>
        <w:rPr>
          <w:color w:val="auto"/>
        </w:rPr>
        <w:t>风机安装采用减振吊架或减振器。</w:t>
      </w:r>
    </w:p>
    <w:p>
      <w:pPr>
        <w:pageBreakBefore w:val="0"/>
        <w:widowControl w:val="0"/>
        <w:kinsoku/>
        <w:wordWrap/>
        <w:overflowPunct/>
        <w:topLinePunct w:val="0"/>
        <w:bidi w:val="0"/>
        <w:adjustRightInd/>
        <w:snapToGrid/>
        <w:spacing w:line="480" w:lineRule="exact"/>
        <w:ind w:right="0" w:rightChars="0" w:firstLine="480"/>
        <w:textAlignment w:val="auto"/>
        <w:rPr>
          <w:color w:val="auto"/>
        </w:rPr>
      </w:pPr>
      <w:r>
        <w:rPr>
          <w:color w:val="auto"/>
        </w:rPr>
        <w:t>（</w:t>
      </w:r>
      <w:r>
        <w:rPr>
          <w:rFonts w:hint="eastAsia"/>
          <w:color w:val="auto"/>
        </w:rPr>
        <w:t>3</w:t>
      </w:r>
      <w:r>
        <w:rPr>
          <w:color w:val="auto"/>
        </w:rPr>
        <w:t>）地下车库各类风机均需采用隔振机座或减振垫，管道采用弹性连接，进气口或出气口安装消音器。</w:t>
      </w:r>
    </w:p>
    <w:p>
      <w:pPr>
        <w:pageBreakBefore w:val="0"/>
        <w:widowControl w:val="0"/>
        <w:kinsoku/>
        <w:wordWrap/>
        <w:overflowPunct/>
        <w:topLinePunct w:val="0"/>
        <w:bidi w:val="0"/>
        <w:adjustRightInd/>
        <w:snapToGrid/>
        <w:spacing w:line="480" w:lineRule="exact"/>
        <w:ind w:right="0" w:rightChars="0" w:firstLine="480"/>
        <w:textAlignment w:val="auto"/>
        <w:rPr>
          <w:color w:val="auto"/>
        </w:rPr>
      </w:pPr>
      <w:r>
        <w:rPr>
          <w:color w:val="auto"/>
        </w:rPr>
        <w:t>（</w:t>
      </w:r>
      <w:r>
        <w:rPr>
          <w:rFonts w:hint="eastAsia"/>
          <w:color w:val="auto"/>
        </w:rPr>
        <w:t>4</w:t>
      </w:r>
      <w:r>
        <w:rPr>
          <w:color w:val="auto"/>
        </w:rPr>
        <w:t>）项目后勤管理部门应对院内配套公建加强管理，并加强设备的日常定期检修和维护，以保证各设备正常运转，以免由于设备故障原因产生较大噪声扰民现象。</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color w:val="auto"/>
        </w:rPr>
      </w:pPr>
      <w:r>
        <w:rPr>
          <w:color w:val="auto"/>
        </w:rPr>
        <w:t>采取上述措施后</w:t>
      </w:r>
      <w:r>
        <w:rPr>
          <w:rFonts w:hint="eastAsia"/>
          <w:color w:val="auto"/>
        </w:rPr>
        <w:t>，各建筑室内等效声级值能满足</w:t>
      </w:r>
      <w:r>
        <w:rPr>
          <w:rFonts w:hAnsi="宋体"/>
          <w:color w:val="auto"/>
        </w:rPr>
        <w:t>《工业企业厂界环境噪声排放标准》</w:t>
      </w:r>
      <w:r>
        <w:rPr>
          <w:rFonts w:hint="eastAsia" w:hAnsi="宋体"/>
          <w:color w:val="auto"/>
        </w:rPr>
        <w:t>（</w:t>
      </w:r>
      <w:r>
        <w:rPr>
          <w:color w:val="auto"/>
        </w:rPr>
        <w:t>GB12348</w:t>
      </w:r>
      <w:r>
        <w:rPr>
          <w:rFonts w:hint="eastAsia" w:hAnsi="宋体"/>
          <w:color w:val="auto"/>
          <w:lang w:val="en-US" w:eastAsia="zh-CN"/>
        </w:rPr>
        <w:t>-</w:t>
      </w:r>
      <w:r>
        <w:rPr>
          <w:color w:val="auto"/>
        </w:rPr>
        <w:t>2008</w:t>
      </w:r>
      <w:r>
        <w:rPr>
          <w:rFonts w:hint="eastAsia" w:hAnsi="宋体"/>
          <w:color w:val="auto"/>
        </w:rPr>
        <w:t>）表2中结构传播固定设备室内噪声排放限值要求</w:t>
      </w:r>
      <w:r>
        <w:rPr>
          <w:color w:val="auto"/>
        </w:rPr>
        <w:t>，水泵、风机房等低频噪声设备对地上建筑的声环境影响不大</w:t>
      </w:r>
      <w:r>
        <w:rPr>
          <w:rFonts w:hint="eastAsia"/>
          <w:color w:val="auto"/>
        </w:rPr>
        <w:t>。</w:t>
      </w:r>
    </w:p>
    <w:p>
      <w:pPr>
        <w:pStyle w:val="2"/>
        <w:pageBreakBefore w:val="0"/>
        <w:widowControl w:val="0"/>
        <w:numPr>
          <w:ilvl w:val="0"/>
          <w:numId w:val="0"/>
        </w:numPr>
        <w:kinsoku/>
        <w:wordWrap/>
        <w:overflowPunct/>
        <w:topLinePunct w:val="0"/>
        <w:bidi w:val="0"/>
        <w:adjustRightInd/>
        <w:snapToGrid/>
        <w:spacing w:before="0" w:after="0" w:line="360" w:lineRule="auto"/>
        <w:ind w:right="0" w:rightChars="0"/>
        <w:textAlignment w:val="auto"/>
        <w:rPr>
          <w:rFonts w:hint="eastAsia"/>
          <w:color w:val="auto"/>
        </w:rPr>
      </w:pPr>
      <w:r>
        <w:rPr>
          <w:rFonts w:hint="eastAsia"/>
          <w:color w:val="auto"/>
          <w:lang w:val="en-US" w:eastAsia="zh-CN"/>
        </w:rPr>
        <w:t>6.2.4.2</w:t>
      </w:r>
      <w:r>
        <w:rPr>
          <w:rFonts w:hint="eastAsia"/>
          <w:color w:val="auto"/>
        </w:rPr>
        <w:t>室外</w:t>
      </w:r>
      <w:r>
        <w:rPr>
          <w:color w:val="auto"/>
        </w:rPr>
        <w:t>设备噪声防治措施</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建设项目室外噪声主要来自</w:t>
      </w:r>
      <w:r>
        <w:rPr>
          <w:rFonts w:hint="eastAsia"/>
          <w:color w:val="auto"/>
          <w:highlight w:val="none"/>
        </w:rPr>
        <w:t>地下车库排风口、空调主机</w:t>
      </w:r>
      <w:r>
        <w:rPr>
          <w:rFonts w:hint="eastAsia"/>
          <w:color w:val="auto"/>
          <w:highlight w:val="none"/>
          <w:lang w:eastAsia="zh-CN"/>
        </w:rPr>
        <w:t>、</w:t>
      </w:r>
      <w:r>
        <w:rPr>
          <w:rFonts w:hint="eastAsia"/>
          <w:color w:val="auto"/>
          <w:highlight w:val="none"/>
          <w:lang w:val="en-US" w:eastAsia="zh-CN"/>
        </w:rPr>
        <w:t>冷却塔</w:t>
      </w:r>
      <w:r>
        <w:rPr>
          <w:rFonts w:hint="eastAsia"/>
          <w:color w:val="auto"/>
        </w:rPr>
        <w:t>运营时产生的噪声等。</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该项目应积极采取必要的隔声措施，以尽量降低室外噪声源对周围环境和居民生活的影响。噪声主要防治措施如下：</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（1）该项目应进行合理布局，重视平面布置，尽量将排风口和空调机组等噪声设施布置于远离敏感建筑处和人员集中活动区，利用建筑物、构筑物来阻隔声波的传播，减少对周围环境的影响。</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（2）</w:t>
      </w:r>
      <w:r>
        <w:rPr>
          <w:rFonts w:hint="eastAsia"/>
          <w:color w:val="auto"/>
          <w:lang w:eastAsia="zh-CN"/>
        </w:rPr>
        <w:t>空调主机的</w:t>
      </w:r>
      <w:r>
        <w:rPr>
          <w:color w:val="auto"/>
        </w:rPr>
        <w:t>噪声防治措施如下</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color w:val="auto"/>
        </w:rPr>
        <w:t>①主机出口噪声比进口噪声大5～10dB(A)，可在风机排风口装设片式消声器，这样可降低进出口的噪声值5dB(A)。</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color w:val="auto"/>
        </w:rPr>
        <w:t>②在机组外设置为隔声屏障，必要时设置隔声罩，隔声屏障高度大于机组高度，隔声效果可达15dB(A)。</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color w:val="auto"/>
        </w:rPr>
        <w:t>③机组基础采用减震隔声材料，隔声效果可达10dB(A)</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（3）地下车库排风口</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color w:val="auto"/>
        </w:rPr>
        <w:t>根据《机动车停车库（场）环境保护设计规程》要求，排风口与最近</w:t>
      </w:r>
      <w:r>
        <w:rPr>
          <w:rFonts w:hint="eastAsia"/>
          <w:color w:val="auto"/>
        </w:rPr>
        <w:t>敏感建筑</w:t>
      </w:r>
      <w:r>
        <w:rPr>
          <w:color w:val="auto"/>
        </w:rPr>
        <w:t>应相距10米，排风风速使人体产生的不适感觉影响完全可以消除。本项目排风口都设在集中绿化带内，同时排风口安装消声器以及消声百叶窗</w:t>
      </w:r>
      <w:r>
        <w:rPr>
          <w:rFonts w:hint="eastAsia"/>
          <w:color w:val="auto"/>
        </w:rPr>
        <w:t>，隔声效果达25dB（A）。</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（4）该项目物业管理部门应对区内配套公建加强管理，并加强设备的日常定期检修和维护，以保证各设备正常运转，以免由于设备故障原因产生较大噪声扰民现象。</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采取上述措施后，各地上噪声设备在其场界处的噪声值满足</w:t>
      </w:r>
      <w:r>
        <w:rPr>
          <w:rFonts w:hAnsi="宋体"/>
          <w:color w:val="auto"/>
        </w:rPr>
        <w:t>《工业企业厂界环境噪声排放标准》</w:t>
      </w:r>
      <w:r>
        <w:rPr>
          <w:rFonts w:hint="eastAsia" w:hAnsi="宋体"/>
          <w:color w:val="auto"/>
        </w:rPr>
        <w:t>（</w:t>
      </w:r>
      <w:r>
        <w:rPr>
          <w:color w:val="auto"/>
        </w:rPr>
        <w:t>GB12348</w:t>
      </w:r>
      <w:r>
        <w:rPr>
          <w:rFonts w:hint="eastAsia" w:hAnsi="宋体"/>
          <w:color w:val="auto"/>
          <w:lang w:val="en-US" w:eastAsia="zh-CN"/>
        </w:rPr>
        <w:t>-</w:t>
      </w:r>
      <w:r>
        <w:rPr>
          <w:color w:val="auto"/>
        </w:rPr>
        <w:t>2008</w:t>
      </w:r>
      <w:r>
        <w:rPr>
          <w:rFonts w:hint="eastAsia" w:hAnsi="宋体"/>
          <w:color w:val="auto"/>
        </w:rPr>
        <w:t>）</w:t>
      </w:r>
      <w:r>
        <w:rPr>
          <w:rFonts w:hint="eastAsia" w:hAnsi="宋体"/>
          <w:color w:val="auto"/>
          <w:lang w:val="en-US" w:eastAsia="zh-CN"/>
        </w:rPr>
        <w:t>2</w:t>
      </w:r>
      <w:r>
        <w:rPr>
          <w:rFonts w:hint="eastAsia" w:hAnsi="宋体"/>
          <w:color w:val="auto"/>
        </w:rPr>
        <w:t>类区要求。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highlight w:val="none"/>
          <w:lang w:eastAsia="zh-CN"/>
        </w:rPr>
      </w:pPr>
      <w:r>
        <w:rPr>
          <w:rFonts w:hint="default"/>
          <w:color w:val="auto"/>
          <w:lang w:eastAsia="zh-CN"/>
        </w:rPr>
        <w:t>（</w:t>
      </w:r>
      <w:r>
        <w:rPr>
          <w:rFonts w:hint="default"/>
          <w:color w:val="auto"/>
          <w:highlight w:val="none"/>
          <w:lang w:val="en-US" w:eastAsia="zh-CN"/>
        </w:rPr>
        <w:t>5</w:t>
      </w:r>
      <w:r>
        <w:rPr>
          <w:rFonts w:hint="default"/>
          <w:color w:val="auto"/>
          <w:highlight w:val="none"/>
          <w:lang w:eastAsia="zh-CN"/>
        </w:rPr>
        <w:t>）项目冷却塔位于</w:t>
      </w:r>
      <w:r>
        <w:rPr>
          <w:rFonts w:hint="eastAsia"/>
          <w:color w:val="auto"/>
          <w:highlight w:val="none"/>
          <w:lang w:eastAsia="zh-CN"/>
        </w:rPr>
        <w:t>综合住院部大楼</w:t>
      </w:r>
      <w:r>
        <w:rPr>
          <w:rFonts w:hint="default"/>
          <w:color w:val="auto"/>
          <w:highlight w:val="none"/>
          <w:lang w:eastAsia="zh-CN"/>
        </w:rPr>
        <w:t>顶部，选用超低噪声冷却塔</w:t>
      </w:r>
      <w:r>
        <w:rPr>
          <w:rFonts w:hint="eastAsia"/>
          <w:color w:val="auto"/>
          <w:highlight w:val="none"/>
          <w:lang w:eastAsia="zh-CN"/>
        </w:rPr>
        <w:t>，</w:t>
      </w:r>
      <w:r>
        <w:rPr>
          <w:rFonts w:hint="default"/>
          <w:color w:val="auto"/>
          <w:highlight w:val="none"/>
          <w:lang w:eastAsia="zh-CN"/>
        </w:rPr>
        <w:t>顶部风机安装阻抗复合消声器，设减振基座，安装可调式低频阻尼钢弹簧减振器，采用消声毯降低淋水噪声。</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default" w:ascii="Times New Roman" w:hAnsi="Times New Roman"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w:t>
      </w:r>
      <w:r>
        <w:rPr>
          <w:rFonts w:hint="default" w:ascii="Times New Roman" w:hAnsi="Times New Roman" w:cs="Times New Roman"/>
          <w:color w:val="auto"/>
        </w:rPr>
        <w:t>该项目在地下车库出入口坡道部位应加筑隔声防护墙和防雨顶棚，防止出入地下车库的车辆噪声可能对附近活动人员产生噪声污染影响。并应在出入口设有醒目的限速禁鸣标记，同时应加强对出入车辆的管理，保持车流畅通，严禁轰鸣。</w:t>
      </w:r>
    </w:p>
    <w:p>
      <w:pPr>
        <w:pStyle w:val="2"/>
        <w:pageBreakBefore w:val="0"/>
        <w:widowControl w:val="0"/>
        <w:numPr>
          <w:ilvl w:val="0"/>
          <w:numId w:val="0"/>
        </w:numPr>
        <w:kinsoku/>
        <w:wordWrap/>
        <w:overflowPunct/>
        <w:topLinePunct w:val="0"/>
        <w:autoSpaceDE/>
        <w:autoSpaceDN/>
        <w:bidi w:val="0"/>
        <w:adjustRightInd/>
        <w:snapToGrid/>
        <w:spacing w:before="0" w:after="0" w:line="360" w:lineRule="auto"/>
        <w:ind w:right="0" w:rightChars="0"/>
        <w:textAlignment w:val="auto"/>
        <w:rPr>
          <w:rFonts w:hint="eastAsia"/>
          <w:color w:val="auto"/>
          <w:highlight w:val="none"/>
        </w:rPr>
      </w:pPr>
      <w:r>
        <w:rPr>
          <w:rFonts w:hint="eastAsia"/>
          <w:color w:val="auto"/>
          <w:lang w:val="en-US" w:eastAsia="zh-CN"/>
        </w:rPr>
        <w:t>6.2.4.3</w:t>
      </w:r>
      <w:r>
        <w:rPr>
          <w:rFonts w:hint="eastAsia"/>
          <w:color w:val="auto"/>
          <w:highlight w:val="none"/>
        </w:rPr>
        <w:t>交通</w:t>
      </w:r>
      <w:r>
        <w:rPr>
          <w:color w:val="auto"/>
          <w:highlight w:val="none"/>
        </w:rPr>
        <w:t>噪声防治措施</w:t>
      </w:r>
    </w:p>
    <w:p>
      <w:pPr>
        <w:pageBreakBefore w:val="0"/>
        <w:widowControl w:val="0"/>
        <w:kinsoku/>
        <w:wordWrap/>
        <w:overflowPunct/>
        <w:topLinePunct w:val="0"/>
        <w:bidi w:val="0"/>
        <w:adjustRightInd/>
        <w:snapToGrid/>
        <w:spacing w:line="360" w:lineRule="auto"/>
        <w:ind w:right="0" w:rightChars="0" w:firstLine="480" w:firstLineChars="200"/>
        <w:textAlignment w:val="auto"/>
        <w:rPr>
          <w:color w:val="auto"/>
          <w:highlight w:val="none"/>
        </w:rPr>
      </w:pPr>
      <w:r>
        <w:rPr>
          <w:color w:val="auto"/>
          <w:highlight w:val="none"/>
        </w:rPr>
        <w:t>①车行交通在项目外围形成环路，主入口设置于</w:t>
      </w:r>
      <w:r>
        <w:rPr>
          <w:rFonts w:hint="eastAsia"/>
          <w:color w:val="auto"/>
          <w:highlight w:val="none"/>
          <w:lang w:eastAsia="zh-CN"/>
        </w:rPr>
        <w:t>扬子江路</w:t>
      </w:r>
      <w:r>
        <w:rPr>
          <w:color w:val="auto"/>
          <w:highlight w:val="none"/>
        </w:rPr>
        <w:t>，机动车进入后就近进入车库，避免了汽车交通对</w:t>
      </w:r>
      <w:r>
        <w:rPr>
          <w:rFonts w:hint="eastAsia"/>
          <w:color w:val="auto"/>
          <w:highlight w:val="none"/>
        </w:rPr>
        <w:t>项目</w:t>
      </w:r>
      <w:r>
        <w:rPr>
          <w:color w:val="auto"/>
          <w:highlight w:val="none"/>
        </w:rPr>
        <w:t>内部的影响。</w:t>
      </w:r>
    </w:p>
    <w:p>
      <w:pPr>
        <w:pageBreakBefore w:val="0"/>
        <w:widowControl w:val="0"/>
        <w:kinsoku/>
        <w:wordWrap/>
        <w:overflowPunct/>
        <w:topLinePunct w:val="0"/>
        <w:bidi w:val="0"/>
        <w:adjustRightInd/>
        <w:snapToGrid/>
        <w:spacing w:line="360" w:lineRule="auto"/>
        <w:ind w:right="0" w:rightChars="0" w:firstLine="480" w:firstLineChars="200"/>
        <w:textAlignment w:val="auto"/>
        <w:rPr>
          <w:color w:val="auto"/>
        </w:rPr>
      </w:pPr>
      <w:r>
        <w:rPr>
          <w:color w:val="auto"/>
        </w:rPr>
        <w:t>②控制车辆进出车库的行驶速度，地下车库出、入口采取降噪措施，同时在道路两旁设置绿化带，避免进出车辆发动和行驶噪声影响</w:t>
      </w:r>
      <w:r>
        <w:rPr>
          <w:rFonts w:hint="eastAsia"/>
          <w:color w:val="auto"/>
        </w:rPr>
        <w:t>区内人员</w:t>
      </w:r>
      <w:r>
        <w:rPr>
          <w:color w:val="auto"/>
        </w:rPr>
        <w:t>休息和生活。</w:t>
      </w:r>
    </w:p>
    <w:p>
      <w:pPr>
        <w:pageBreakBefore w:val="0"/>
        <w:widowControl w:val="0"/>
        <w:kinsoku/>
        <w:wordWrap/>
        <w:overflowPunct/>
        <w:topLinePunct w:val="0"/>
        <w:bidi w:val="0"/>
        <w:adjustRightInd/>
        <w:snapToGrid/>
        <w:spacing w:line="360" w:lineRule="auto"/>
        <w:ind w:right="0" w:rightChars="0" w:firstLine="480" w:firstLineChars="200"/>
        <w:textAlignment w:val="auto"/>
        <w:rPr>
          <w:color w:val="auto"/>
        </w:rPr>
      </w:pPr>
      <w:r>
        <w:rPr>
          <w:color w:val="auto"/>
        </w:rPr>
        <w:t>③地下车库出入口坡道部位应加筑隔声防护墙和防雨顶棚，防止出入地下车库的车辆噪声可能对</w:t>
      </w:r>
      <w:r>
        <w:rPr>
          <w:rFonts w:hint="eastAsia"/>
          <w:color w:val="auto"/>
        </w:rPr>
        <w:t>区内</w:t>
      </w:r>
      <w:r>
        <w:rPr>
          <w:color w:val="auto"/>
        </w:rPr>
        <w:t>产生噪声污染影响。并应在出入口设有醒目的限速禁鸣标记，同时应加强对出入车辆的管理，保持车流畅通。</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ascii="Times New Roman" w:hAnsi="Times New Roman" w:eastAsia="宋体" w:cs="Times New Roman"/>
          <w:color w:val="auto"/>
        </w:rPr>
      </w:pPr>
      <w:r>
        <w:rPr>
          <w:color w:val="auto"/>
        </w:rPr>
        <w:t>④</w:t>
      </w:r>
      <w:r>
        <w:rPr>
          <w:rFonts w:hint="eastAsia"/>
          <w:color w:val="auto"/>
        </w:rPr>
        <w:t>区内</w:t>
      </w:r>
      <w:r>
        <w:rPr>
          <w:color w:val="auto"/>
        </w:rPr>
        <w:t>地面停车位沿道路有规律的分散分布，地面停车位须设置明显的标识，以小型车为标准停车面积、标识地面停车位的具体设置，方便</w:t>
      </w:r>
      <w:r>
        <w:rPr>
          <w:rFonts w:hint="eastAsia"/>
          <w:color w:val="auto"/>
        </w:rPr>
        <w:t>办事人员</w:t>
      </w:r>
      <w:r>
        <w:rPr>
          <w:color w:val="auto"/>
        </w:rPr>
        <w:t>车辆的停</w:t>
      </w:r>
      <w:r>
        <w:rPr>
          <w:rFonts w:ascii="Times New Roman" w:hAnsi="Times New Roman" w:eastAsia="宋体" w:cs="Times New Roman"/>
          <w:color w:val="auto"/>
        </w:rPr>
        <w:t>车，且设置了绿化带进行阻隔，不会因地面停车而影响</w:t>
      </w:r>
      <w:r>
        <w:rPr>
          <w:rFonts w:hint="eastAsia" w:ascii="Times New Roman" w:hAnsi="Times New Roman" w:eastAsia="宋体" w:cs="Times New Roman"/>
          <w:color w:val="auto"/>
        </w:rPr>
        <w:t>区内人员的办公</w:t>
      </w:r>
      <w:r>
        <w:rPr>
          <w:rFonts w:ascii="Times New Roman" w:hAnsi="Times New Roman" w:eastAsia="宋体" w:cs="Times New Roman"/>
          <w:color w:val="auto"/>
        </w:rPr>
        <w:t>生活</w:t>
      </w:r>
      <w:r>
        <w:rPr>
          <w:rFonts w:hint="eastAsia" w:ascii="Times New Roman" w:hAnsi="Times New Roman" w:eastAsia="宋体" w:cs="Times New Roman"/>
          <w:color w:val="auto"/>
        </w:rPr>
        <w:t>。</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rPr>
        <w:fldChar w:fldCharType="begin"/>
      </w:r>
      <w:r>
        <w:rPr>
          <w:rFonts w:hint="eastAsia" w:ascii="Times New Roman" w:hAnsi="Times New Roman" w:eastAsia="宋体" w:cs="Times New Roman"/>
          <w:color w:val="auto"/>
        </w:rPr>
        <w:instrText xml:space="preserve"> = 5 \* GB3 \* MERGEFORMAT </w:instrText>
      </w:r>
      <w:r>
        <w:rPr>
          <w:rFonts w:hint="eastAsia" w:ascii="Times New Roman" w:hAnsi="Times New Roman" w:eastAsia="宋体" w:cs="Times New Roman"/>
          <w:color w:val="auto"/>
        </w:rPr>
        <w:fldChar w:fldCharType="separate"/>
      </w:r>
      <w:r>
        <w:rPr>
          <w:rFonts w:ascii="Times New Roman" w:hAnsi="Times New Roman" w:eastAsia="宋体" w:cs="Times New Roman"/>
          <w:color w:val="auto"/>
        </w:rPr>
        <w:t>⑤</w:t>
      </w:r>
      <w:r>
        <w:rPr>
          <w:rFonts w:hint="eastAsia" w:ascii="Times New Roman" w:hAnsi="Times New Roman" w:eastAsia="宋体" w:cs="Times New Roman"/>
          <w:color w:val="auto"/>
        </w:rPr>
        <w:fldChar w:fldCharType="end"/>
      </w:r>
      <w:r>
        <w:rPr>
          <w:rFonts w:hint="default" w:ascii="Times New Roman" w:hAnsi="Times New Roman" w:eastAsia="宋体" w:cs="Times New Roman"/>
          <w:color w:val="auto"/>
          <w:sz w:val="24"/>
        </w:rPr>
        <w:t>提高</w:t>
      </w:r>
      <w:r>
        <w:rPr>
          <w:rFonts w:hint="eastAsia" w:ascii="Times New Roman" w:cs="Times New Roman"/>
          <w:color w:val="auto"/>
          <w:sz w:val="24"/>
          <w:lang w:eastAsia="zh-CN"/>
        </w:rPr>
        <w:t>临路建筑、住院病房</w:t>
      </w:r>
      <w:r>
        <w:rPr>
          <w:rFonts w:hint="default" w:ascii="Times New Roman" w:hAnsi="Times New Roman" w:eastAsia="宋体" w:cs="Times New Roman"/>
          <w:color w:val="auto"/>
          <w:sz w:val="24"/>
        </w:rPr>
        <w:t>门窗的隔声性能，采用窗户增加橡胶条、窗缝注密封胶</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建设项目四周设置绿化带</w:t>
      </w:r>
      <w:r>
        <w:rPr>
          <w:rFonts w:hint="eastAsia" w:ascii="Times New Roman" w:hAnsi="Times New Roman" w:eastAsia="宋体" w:cs="Times New Roman"/>
          <w:color w:val="auto"/>
          <w:sz w:val="24"/>
          <w:lang w:eastAsia="zh-CN"/>
        </w:rPr>
        <w:t>。</w:t>
      </w:r>
    </w:p>
    <w:p>
      <w:pPr>
        <w:pStyle w:val="5"/>
        <w:pageBreakBefore w:val="0"/>
        <w:widowControl w:val="0"/>
        <w:numPr>
          <w:ilvl w:val="0"/>
          <w:numId w:val="0"/>
        </w:numPr>
        <w:kinsoku/>
        <w:wordWrap/>
        <w:overflowPunct/>
        <w:topLinePunct w:val="0"/>
        <w:bidi w:val="0"/>
        <w:adjustRightInd/>
        <w:snapToGrid/>
        <w:spacing w:before="0" w:beforeLines="0" w:line="360" w:lineRule="auto"/>
        <w:ind w:right="0" w:rightChars="0"/>
        <w:textAlignment w:val="auto"/>
        <w:rPr>
          <w:rFonts w:hint="eastAsia"/>
          <w:color w:val="auto"/>
        </w:rPr>
      </w:pPr>
      <w:r>
        <w:rPr>
          <w:rFonts w:hint="eastAsia"/>
          <w:color w:val="auto"/>
          <w:lang w:val="en-US" w:eastAsia="zh-CN"/>
        </w:rPr>
        <w:t>6.2.5</w:t>
      </w:r>
      <w:r>
        <w:rPr>
          <w:rFonts w:hint="eastAsia"/>
          <w:color w:val="auto"/>
        </w:rPr>
        <w:t>固废环境污染控制对策分析</w:t>
      </w:r>
    </w:p>
    <w:p>
      <w:pPr>
        <w:pageBreakBefore w:val="0"/>
        <w:widowControl w:val="0"/>
        <w:kinsoku/>
        <w:wordWrap/>
        <w:overflowPunct/>
        <w:topLinePunct w:val="0"/>
        <w:bidi w:val="0"/>
        <w:adjustRightInd/>
        <w:snapToGrid/>
        <w:spacing w:line="360" w:lineRule="auto"/>
        <w:ind w:right="0" w:rightChars="0" w:firstLine="480" w:firstLineChars="200"/>
        <w:textAlignment w:val="auto"/>
        <w:rPr>
          <w:color w:val="auto"/>
        </w:rPr>
      </w:pPr>
      <w:r>
        <w:rPr>
          <w:color w:val="auto"/>
        </w:rPr>
        <w:t>根据</w:t>
      </w:r>
      <w:r>
        <w:rPr>
          <w:rFonts w:hint="eastAsia"/>
          <w:color w:val="auto"/>
        </w:rPr>
        <w:t>工程</w:t>
      </w:r>
      <w:r>
        <w:rPr>
          <w:color w:val="auto"/>
        </w:rPr>
        <w:t>分析可知：项目产生的固废主要为</w:t>
      </w:r>
      <w:r>
        <w:rPr>
          <w:rFonts w:hint="eastAsia"/>
          <w:color w:val="auto"/>
        </w:rPr>
        <w:t>危险废物、</w:t>
      </w:r>
      <w:r>
        <w:rPr>
          <w:color w:val="auto"/>
        </w:rPr>
        <w:t>一般固废</w:t>
      </w:r>
      <w:r>
        <w:rPr>
          <w:rFonts w:hint="eastAsia"/>
          <w:color w:val="auto"/>
          <w:lang w:eastAsia="zh-CN"/>
        </w:rPr>
        <w:t>和生活垃圾</w:t>
      </w:r>
      <w:r>
        <w:rPr>
          <w:color w:val="auto"/>
        </w:rPr>
        <w:t>，要求建设单位采取如下固废处理措施：</w:t>
      </w:r>
    </w:p>
    <w:p>
      <w:pPr>
        <w:pStyle w:val="144"/>
        <w:pageBreakBefore w:val="0"/>
        <w:widowControl w:val="0"/>
        <w:kinsoku/>
        <w:wordWrap/>
        <w:overflowPunct/>
        <w:topLinePunct w:val="0"/>
        <w:bidi w:val="0"/>
        <w:adjustRightInd/>
        <w:snapToGrid/>
        <w:spacing w:before="0" w:line="360" w:lineRule="auto"/>
        <w:ind w:right="0" w:rightChars="0" w:firstLine="480" w:firstLineChars="200"/>
        <w:jc w:val="both"/>
        <w:textAlignment w:val="auto"/>
        <w:rPr>
          <w:b/>
          <w:color w:val="auto"/>
          <w:sz w:val="21"/>
          <w:szCs w:val="21"/>
        </w:rPr>
      </w:pPr>
      <w:r>
        <w:rPr>
          <w:rFonts w:hint="eastAsia"/>
          <w:bCs/>
          <w:color w:val="auto"/>
        </w:rPr>
        <w:t>项目</w:t>
      </w:r>
      <w:r>
        <w:rPr>
          <w:rFonts w:hint="eastAsia" w:eastAsia="宋体"/>
          <w:bCs/>
          <w:color w:val="auto"/>
          <w:lang w:eastAsia="zh-CN"/>
        </w:rPr>
        <w:t>危险</w:t>
      </w:r>
      <w:r>
        <w:rPr>
          <w:rFonts w:hint="eastAsia"/>
          <w:bCs/>
          <w:color w:val="auto"/>
        </w:rPr>
        <w:t>废物</w:t>
      </w:r>
      <w:r>
        <w:rPr>
          <w:rFonts w:hint="eastAsia"/>
          <w:color w:val="auto"/>
        </w:rPr>
        <w:t>、</w:t>
      </w:r>
      <w:r>
        <w:rPr>
          <w:color w:val="auto"/>
        </w:rPr>
        <w:t>一般固废</w:t>
      </w:r>
      <w:r>
        <w:rPr>
          <w:rFonts w:hint="eastAsia"/>
          <w:bCs/>
          <w:color w:val="auto"/>
        </w:rPr>
        <w:t>和生活垃圾分类安全收集，</w:t>
      </w:r>
      <w:r>
        <w:rPr>
          <w:rFonts w:hint="eastAsia" w:eastAsia="宋体"/>
          <w:bCs/>
          <w:color w:val="auto"/>
          <w:lang w:eastAsia="zh-CN"/>
        </w:rPr>
        <w:t>危险</w:t>
      </w:r>
      <w:r>
        <w:rPr>
          <w:rFonts w:hint="eastAsia"/>
          <w:bCs/>
          <w:color w:val="auto"/>
        </w:rPr>
        <w:t>废物集中暂存在危险废物暂存场所，委托有处理资质的单位进行处理</w:t>
      </w:r>
      <w:r>
        <w:rPr>
          <w:rFonts w:hint="eastAsia" w:cs="宋体"/>
          <w:bCs/>
          <w:color w:val="auto"/>
          <w:lang w:eastAsia="zh-CN"/>
        </w:rPr>
        <w:t>；</w:t>
      </w:r>
      <w:r>
        <w:rPr>
          <w:rFonts w:hint="eastAsia" w:ascii="宋体" w:hAnsi="宋体" w:cs="宋体"/>
          <w:color w:val="auto"/>
          <w:sz w:val="24"/>
          <w:szCs w:val="24"/>
          <w:highlight w:val="none"/>
          <w:lang w:eastAsia="zh-CN"/>
        </w:rPr>
        <w:t>一般固废</w:t>
      </w:r>
      <w:r>
        <w:rPr>
          <w:rFonts w:hint="eastAsia"/>
          <w:color w:val="auto"/>
          <w:sz w:val="24"/>
          <w:lang w:val="en-US" w:eastAsia="zh-CN"/>
        </w:rPr>
        <w:t>废离子交换树脂、废空气过滤器每次更换后由设备厂商带走，</w:t>
      </w:r>
      <w:r>
        <w:rPr>
          <w:rFonts w:hint="eastAsia"/>
          <w:color w:val="auto"/>
          <w:lang w:val="en-US" w:eastAsia="zh-CN"/>
        </w:rPr>
        <w:t>未被污染的输液瓶（袋）委托其厂家</w:t>
      </w:r>
      <w:r>
        <w:rPr>
          <w:rFonts w:hint="eastAsia"/>
          <w:color w:val="auto"/>
          <w:sz w:val="24"/>
          <w:lang w:val="en-US" w:eastAsia="zh-CN"/>
        </w:rPr>
        <w:t>回收处理</w:t>
      </w:r>
      <w:r>
        <w:rPr>
          <w:rFonts w:hint="eastAsia" w:cs="宋体"/>
          <w:color w:val="auto"/>
          <w:sz w:val="24"/>
          <w:lang w:val="en-US" w:eastAsia="zh-CN"/>
        </w:rPr>
        <w:t>；</w:t>
      </w:r>
      <w:r>
        <w:rPr>
          <w:rFonts w:hint="eastAsia"/>
          <w:bCs/>
          <w:color w:val="auto"/>
        </w:rPr>
        <w:t>生活垃圾收集后委托环卫部门及时清运处理</w:t>
      </w:r>
      <w:r>
        <w:rPr>
          <w:color w:val="auto"/>
        </w:rPr>
        <w:t>。</w:t>
      </w:r>
    </w:p>
    <w:p>
      <w:pPr>
        <w:pageBreakBefore w:val="0"/>
        <w:widowControl w:val="0"/>
        <w:kinsoku/>
        <w:wordWrap/>
        <w:overflowPunct/>
        <w:topLinePunct w:val="0"/>
        <w:autoSpaceDE w:val="0"/>
        <w:autoSpaceDN w:val="0"/>
        <w:bidi w:val="0"/>
        <w:adjustRightInd/>
        <w:snapToGrid/>
        <w:spacing w:line="360" w:lineRule="auto"/>
        <w:ind w:right="0" w:rightChars="0" w:firstLine="480" w:firstLineChars="200"/>
        <w:textAlignment w:val="auto"/>
        <w:rPr>
          <w:rFonts w:hint="eastAsia"/>
          <w:color w:val="auto"/>
          <w:lang w:val="zh-CN"/>
        </w:rPr>
      </w:pPr>
      <w:r>
        <w:rPr>
          <w:color w:val="auto"/>
          <w:lang w:val="zh-CN"/>
        </w:rPr>
        <w:t>综上所述，</w:t>
      </w:r>
      <w:r>
        <w:rPr>
          <w:rFonts w:hint="eastAsia"/>
          <w:color w:val="auto"/>
          <w:lang w:val="zh-CN"/>
        </w:rPr>
        <w:t>建设单位</w:t>
      </w:r>
      <w:r>
        <w:rPr>
          <w:color w:val="auto"/>
          <w:lang w:val="zh-CN"/>
        </w:rPr>
        <w:t>必须认真做好各类固体废物的收集、分类存放和定点处置。在做好以上固废处置后，项目固废不会对周围环境造成影响。</w:t>
      </w:r>
    </w:p>
    <w:p>
      <w:pPr>
        <w:pageBreakBefore w:val="0"/>
        <w:widowControl w:val="0"/>
        <w:kinsoku/>
        <w:wordWrap/>
        <w:overflowPunct/>
        <w:topLinePunct w:val="0"/>
        <w:autoSpaceDE w:val="0"/>
        <w:autoSpaceDN w:val="0"/>
        <w:bidi w:val="0"/>
        <w:adjustRightInd/>
        <w:snapToGrid/>
        <w:spacing w:line="360" w:lineRule="auto"/>
        <w:ind w:right="0" w:rightChars="0" w:firstLine="482" w:firstLineChars="200"/>
        <w:textAlignment w:val="auto"/>
        <w:rPr>
          <w:rFonts w:hint="eastAsia"/>
          <w:color w:val="auto"/>
          <w:lang w:val="zh-CN"/>
        </w:rPr>
      </w:pPr>
      <w:r>
        <w:rPr>
          <w:rFonts w:hint="eastAsia" w:eastAsia="宋体"/>
          <w:b/>
          <w:snapToGrid w:val="0"/>
          <w:color w:val="auto"/>
          <w:kern w:val="0"/>
          <w:lang w:eastAsia="zh-CN"/>
        </w:rPr>
        <w:t>（</w:t>
      </w:r>
      <w:r>
        <w:rPr>
          <w:rFonts w:hint="eastAsia" w:eastAsia="宋体"/>
          <w:b/>
          <w:snapToGrid w:val="0"/>
          <w:color w:val="auto"/>
          <w:kern w:val="0"/>
          <w:lang w:val="en-US" w:eastAsia="zh-CN"/>
        </w:rPr>
        <w:t>1</w:t>
      </w:r>
      <w:r>
        <w:rPr>
          <w:rFonts w:hint="eastAsia" w:eastAsia="宋体"/>
          <w:b/>
          <w:snapToGrid w:val="0"/>
          <w:color w:val="auto"/>
          <w:kern w:val="0"/>
          <w:lang w:eastAsia="zh-CN"/>
        </w:rPr>
        <w:t>）</w:t>
      </w:r>
      <w:r>
        <w:rPr>
          <w:rFonts w:hint="eastAsia"/>
          <w:b/>
          <w:snapToGrid w:val="0"/>
          <w:color w:val="auto"/>
          <w:kern w:val="0"/>
        </w:rPr>
        <w:t>危险废物暂存措施：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snapToGrid w:val="0"/>
          <w:color w:val="auto"/>
          <w:kern w:val="0"/>
          <w:highlight w:val="none"/>
          <w:lang w:eastAsia="zh-CN"/>
        </w:rPr>
      </w:pPr>
      <w:r>
        <w:rPr>
          <w:rFonts w:hint="eastAsia"/>
          <w:snapToGrid w:val="0"/>
          <w:color w:val="auto"/>
          <w:kern w:val="0"/>
          <w:highlight w:val="none"/>
        </w:rPr>
        <w:t>为减小危险废物的储运风险，防止危险废物流失污染环境，建设单位应设计危险废物库，用于临时存放外委处置前的危险废弃物，根据项目危险废物产生量及产生情况</w:t>
      </w:r>
      <w:r>
        <w:rPr>
          <w:rFonts w:hint="eastAsia"/>
          <w:snapToGrid w:val="0"/>
          <w:color w:val="auto"/>
          <w:kern w:val="0"/>
          <w:highlight w:val="none"/>
          <w:lang w:eastAsia="zh-CN"/>
        </w:rPr>
        <w:t>，本项目医疗废物及其他危险废物暂存场所设置如下：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b/>
          <w:color w:val="auto"/>
          <w:sz w:val="21"/>
          <w:szCs w:val="21"/>
          <w:lang w:eastAsia="zh-CN"/>
        </w:rPr>
      </w:pPr>
      <w:r>
        <w:rPr>
          <w:rFonts w:hAnsi="宋体"/>
          <w:b/>
          <w:color w:val="auto"/>
          <w:sz w:val="21"/>
          <w:szCs w:val="21"/>
        </w:rPr>
        <w:t>表</w:t>
      </w:r>
      <w:r>
        <w:rPr>
          <w:rFonts w:hint="eastAsia" w:hAnsi="宋体"/>
          <w:b/>
          <w:color w:val="auto"/>
          <w:sz w:val="21"/>
          <w:szCs w:val="21"/>
          <w:lang w:val="en-US" w:eastAsia="zh-CN"/>
        </w:rPr>
        <w:t>7</w:t>
      </w:r>
      <w:r>
        <w:rPr>
          <w:rFonts w:hint="eastAsia" w:hAnsi="宋体"/>
          <w:b/>
          <w:color w:val="auto"/>
          <w:sz w:val="21"/>
          <w:szCs w:val="21"/>
        </w:rPr>
        <w:t>.2-</w:t>
      </w:r>
      <w:r>
        <w:rPr>
          <w:rFonts w:hint="eastAsia" w:hAnsi="宋体"/>
          <w:b/>
          <w:color w:val="auto"/>
          <w:sz w:val="21"/>
          <w:szCs w:val="21"/>
          <w:lang w:val="en-US" w:eastAsia="zh-CN"/>
        </w:rPr>
        <w:t>4</w:t>
      </w:r>
      <w:r>
        <w:rPr>
          <w:rFonts w:hint="eastAsia" w:hAnsi="宋体"/>
          <w:b/>
          <w:color w:val="auto"/>
          <w:sz w:val="21"/>
          <w:szCs w:val="21"/>
        </w:rPr>
        <w:t xml:space="preserve"> </w:t>
      </w:r>
      <w:r>
        <w:rPr>
          <w:rFonts w:hAnsi="宋体"/>
          <w:b/>
          <w:color w:val="auto"/>
          <w:sz w:val="21"/>
          <w:szCs w:val="21"/>
        </w:rPr>
        <w:t xml:space="preserve"> 建设项目</w:t>
      </w:r>
      <w:r>
        <w:rPr>
          <w:rFonts w:hint="eastAsia" w:hAnsi="宋体"/>
          <w:b/>
          <w:color w:val="auto"/>
          <w:sz w:val="21"/>
          <w:szCs w:val="21"/>
          <w:lang w:eastAsia="zh-CN"/>
        </w:rPr>
        <w:t>医疗废物、其他危险废物</w:t>
      </w:r>
      <w:r>
        <w:rPr>
          <w:rFonts w:hAnsi="宋体"/>
          <w:b/>
          <w:color w:val="auto"/>
          <w:sz w:val="21"/>
          <w:szCs w:val="21"/>
        </w:rPr>
        <w:t>贮存场所</w:t>
      </w:r>
      <w:r>
        <w:rPr>
          <w:rFonts w:hint="eastAsia" w:hAnsi="宋体"/>
          <w:b/>
          <w:color w:val="auto"/>
          <w:sz w:val="21"/>
          <w:szCs w:val="21"/>
          <w:lang w:eastAsia="zh-CN"/>
        </w:rPr>
        <w:t>设置</w:t>
      </w:r>
      <w:r>
        <w:rPr>
          <w:rFonts w:hAnsi="宋体"/>
          <w:b/>
          <w:color w:val="auto"/>
          <w:sz w:val="21"/>
          <w:szCs w:val="21"/>
        </w:rPr>
        <w:t>情况表</w:t>
      </w:r>
    </w:p>
    <w:tbl>
      <w:tblPr>
        <w:tblStyle w:val="4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60" w:type="dxa"/>
          <w:bottom w:w="120" w:type="dxa"/>
          <w:right w:w="60" w:type="dxa"/>
        </w:tblCellMar>
      </w:tblPr>
      <w:tblGrid>
        <w:gridCol w:w="680"/>
        <w:gridCol w:w="3153"/>
        <w:gridCol w:w="1919"/>
        <w:gridCol w:w="1514"/>
        <w:gridCol w:w="1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2273" w:type="pct"/>
            <w:gridSpan w:val="2"/>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危险废物收集点</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服务</w:t>
            </w:r>
            <w:r>
              <w:rPr>
                <w:rFonts w:hint="eastAsia" w:ascii="Times New Roman" w:hAnsi="Times New Roman" w:eastAsia="宋体" w:cs="Times New Roman"/>
                <w:color w:val="auto"/>
                <w:kern w:val="2"/>
                <w:sz w:val="21"/>
                <w:szCs w:val="21"/>
                <w:lang w:val="en-US" w:eastAsia="zh-CN" w:bidi="ar-SA"/>
              </w:rPr>
              <w:t>区域</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面积</w:t>
            </w:r>
          </w:p>
        </w:tc>
        <w:tc>
          <w:tcPr>
            <w:tcW w:w="690"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restar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医技综合楼</w:t>
            </w:r>
            <w:r>
              <w:rPr>
                <w:rFonts w:hint="eastAsia" w:ascii="Times New Roman" w:hAnsi="Times New Roman" w:eastAsia="宋体" w:cs="Times New Roman"/>
                <w:color w:val="auto"/>
                <w:kern w:val="2"/>
                <w:sz w:val="21"/>
                <w:szCs w:val="21"/>
                <w:lang w:val="en-US" w:eastAsia="zh-CN" w:bidi="ar-SA"/>
              </w:rPr>
              <w:t>医疗废物临时收集点</w:t>
            </w: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二层2-3轴交G-H轴处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放射科</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restart"/>
            <w:tcBorders>
              <w:top w:val="single" w:color="000000" w:sz="8" w:space="0"/>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每天清运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三层2-3轴交G-H轴处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手术室</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13m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北楼七-十七层2-3轴交N-P轴处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护理单元</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13m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南楼六-十六层2-3轴交B-C轴处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护理单元</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南楼十七层1-2轴交B-C轴处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护理单元</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restar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感染楼</w:t>
            </w:r>
            <w:r>
              <w:rPr>
                <w:rFonts w:hint="eastAsia" w:ascii="Times New Roman" w:hAnsi="Times New Roman" w:eastAsia="宋体" w:cs="Times New Roman"/>
                <w:color w:val="auto"/>
                <w:kern w:val="2"/>
                <w:sz w:val="21"/>
                <w:szCs w:val="21"/>
                <w:lang w:val="en-US" w:eastAsia="zh-CN" w:bidi="ar-SA"/>
              </w:rPr>
              <w:t>医疗废物临时收集点</w:t>
            </w: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一层7-8轴交C-D轴处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医护工作</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5.94m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二层7-8轴交C-D轴处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医护工作</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2.21m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三层7-8轴交C-D轴处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 医护工作</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2.21m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四层7-8轴交C-D轴处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 医护工作</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四层1-2轴交B-C轴处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四层1-2轴交B-C轴处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2.21m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五层7-8轴交C-D轴处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 医护工作</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五层1-2轴交B-C轴处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5.00m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40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86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五层1-2轴交B-C轴处</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患者走廊（污染区）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2.21m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vMerge w:val="continue"/>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2273" w:type="pct"/>
            <w:gridSpan w:val="2"/>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医疗废物暂存间</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院区</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80</w:t>
            </w:r>
            <w:r>
              <w:rPr>
                <w:rFonts w:hint="default" w:ascii="Times New Roman" w:hAnsi="Times New Roman" w:eastAsia="宋体" w:cs="Times New Roman"/>
                <w:color w:val="auto"/>
                <w:kern w:val="2"/>
                <w:sz w:val="21"/>
                <w:szCs w:val="21"/>
                <w:lang w:val="en-US" w:eastAsia="zh-CN" w:bidi="ar-SA"/>
              </w:rPr>
              <w:t>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tcBorders>
              <w:left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每天清运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83" w:hRule="atLeast"/>
        </w:trPr>
        <w:tc>
          <w:tcPr>
            <w:tcW w:w="2273" w:type="pct"/>
            <w:gridSpan w:val="2"/>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危险废物暂存间</w:t>
            </w:r>
          </w:p>
        </w:tc>
        <w:tc>
          <w:tcPr>
            <w:tcW w:w="113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898"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45</w:t>
            </w:r>
            <w:r>
              <w:rPr>
                <w:rFonts w:hint="default" w:ascii="Times New Roman" w:hAnsi="Times New Roman" w:eastAsia="宋体" w:cs="Times New Roman"/>
                <w:color w:val="auto"/>
                <w:kern w:val="2"/>
                <w:sz w:val="21"/>
                <w:szCs w:val="21"/>
                <w:lang w:val="en-US" w:eastAsia="zh-CN" w:bidi="ar-SA"/>
              </w:rPr>
              <w:t>m</w:t>
            </w:r>
            <w:r>
              <w:rPr>
                <w:rFonts w:hint="default" w:ascii="Times New Roman" w:hAnsi="Times New Roman" w:eastAsia="宋体" w:cs="Times New Roman"/>
                <w:color w:val="auto"/>
                <w:kern w:val="2"/>
                <w:sz w:val="21"/>
                <w:szCs w:val="21"/>
                <w:vertAlign w:val="superscript"/>
                <w:lang w:val="en-US" w:eastAsia="zh-CN" w:bidi="ar-SA"/>
              </w:rPr>
              <w:t>2</w:t>
            </w:r>
          </w:p>
        </w:tc>
        <w:tc>
          <w:tcPr>
            <w:tcW w:w="690" w:type="pct"/>
            <w:tcBorders>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污泥</w:t>
            </w:r>
          </w:p>
        </w:tc>
      </w:tr>
    </w:tbl>
    <w:p>
      <w:pPr>
        <w:pageBreakBefore w:val="0"/>
        <w:widowControl w:val="0"/>
        <w:kinsoku/>
        <w:wordWrap/>
        <w:overflowPunct/>
        <w:topLinePunct w:val="0"/>
        <w:bidi w:val="0"/>
        <w:adjustRightInd/>
        <w:snapToGrid/>
        <w:spacing w:line="360" w:lineRule="auto"/>
        <w:ind w:right="0" w:rightChars="0" w:firstLine="482" w:firstLineChars="200"/>
        <w:textAlignment w:val="auto"/>
        <w:rPr>
          <w:rFonts w:hint="eastAsia"/>
          <w:b/>
          <w:snapToGrid w:val="0"/>
          <w:color w:val="auto"/>
          <w:kern w:val="0"/>
          <w:highlight w:val="none"/>
        </w:rPr>
      </w:pPr>
      <w:r>
        <w:rPr>
          <w:rFonts w:hint="eastAsia" w:eastAsia="宋体"/>
          <w:b/>
          <w:snapToGrid w:val="0"/>
          <w:color w:val="auto"/>
          <w:kern w:val="0"/>
          <w:highlight w:val="none"/>
          <w:lang w:eastAsia="zh-CN"/>
        </w:rPr>
        <w:t>（</w:t>
      </w:r>
      <w:r>
        <w:rPr>
          <w:rFonts w:hint="eastAsia" w:eastAsia="宋体"/>
          <w:b/>
          <w:snapToGrid w:val="0"/>
          <w:color w:val="auto"/>
          <w:kern w:val="0"/>
          <w:highlight w:val="none"/>
          <w:lang w:val="en-US" w:eastAsia="zh-CN"/>
        </w:rPr>
        <w:t>2</w:t>
      </w:r>
      <w:r>
        <w:rPr>
          <w:rFonts w:hint="eastAsia" w:eastAsia="宋体"/>
          <w:b/>
          <w:snapToGrid w:val="0"/>
          <w:color w:val="auto"/>
          <w:kern w:val="0"/>
          <w:highlight w:val="none"/>
          <w:lang w:eastAsia="zh-CN"/>
        </w:rPr>
        <w:t>）</w:t>
      </w:r>
      <w:r>
        <w:rPr>
          <w:rFonts w:hint="eastAsia"/>
          <w:b/>
          <w:snapToGrid w:val="0"/>
          <w:color w:val="auto"/>
          <w:kern w:val="0"/>
          <w:highlight w:val="none"/>
        </w:rPr>
        <w:t>暂存要求：</w:t>
      </w:r>
    </w:p>
    <w:p>
      <w:pPr>
        <w:pageBreakBefore w:val="0"/>
        <w:widowControl w:val="0"/>
        <w:kinsoku/>
        <w:wordWrap/>
        <w:overflowPunct/>
        <w:topLinePunct w:val="0"/>
        <w:bidi w:val="0"/>
        <w:adjustRightInd/>
        <w:snapToGrid/>
        <w:spacing w:line="360" w:lineRule="auto"/>
        <w:ind w:right="0" w:rightChars="0" w:firstLine="480" w:firstLineChars="200"/>
        <w:textAlignment w:val="auto"/>
        <w:rPr>
          <w:snapToGrid w:val="0"/>
          <w:color w:val="auto"/>
          <w:kern w:val="0"/>
          <w:highlight w:val="none"/>
        </w:rPr>
      </w:pPr>
      <w:r>
        <w:rPr>
          <w:rFonts w:hint="eastAsia"/>
          <w:snapToGrid w:val="0"/>
          <w:color w:val="auto"/>
          <w:kern w:val="0"/>
          <w:highlight w:val="none"/>
        </w:rPr>
        <w:t>①</w:t>
      </w:r>
      <w:r>
        <w:rPr>
          <w:snapToGrid w:val="0"/>
          <w:color w:val="auto"/>
          <w:kern w:val="0"/>
          <w:highlight w:val="none"/>
        </w:rPr>
        <w:t>地面与裙脚要用坚固、防渗的材料建造，建筑材料必须与危险废物相容</w:t>
      </w:r>
      <w:r>
        <w:rPr>
          <w:rFonts w:hint="eastAsia"/>
          <w:snapToGrid w:val="0"/>
          <w:color w:val="auto"/>
          <w:kern w:val="0"/>
          <w:highlight w:val="none"/>
        </w:rPr>
        <w:t>。</w:t>
      </w:r>
    </w:p>
    <w:p>
      <w:pPr>
        <w:pageBreakBefore w:val="0"/>
        <w:widowControl w:val="0"/>
        <w:kinsoku/>
        <w:wordWrap/>
        <w:overflowPunct/>
        <w:topLinePunct w:val="0"/>
        <w:bidi w:val="0"/>
        <w:adjustRightInd/>
        <w:snapToGrid/>
        <w:spacing w:line="360" w:lineRule="auto"/>
        <w:ind w:right="0" w:rightChars="0" w:firstLine="480" w:firstLineChars="200"/>
        <w:textAlignment w:val="auto"/>
        <w:rPr>
          <w:snapToGrid w:val="0"/>
          <w:color w:val="auto"/>
          <w:kern w:val="0"/>
          <w:highlight w:val="none"/>
        </w:rPr>
      </w:pPr>
      <w:r>
        <w:rPr>
          <w:rFonts w:hint="eastAsia"/>
          <w:snapToGrid w:val="0"/>
          <w:color w:val="auto"/>
          <w:kern w:val="0"/>
          <w:highlight w:val="none"/>
        </w:rPr>
        <w:t>②应在易燃、易爆等危险品仓库防护区域以外。</w:t>
      </w:r>
    </w:p>
    <w:p>
      <w:pPr>
        <w:pageBreakBefore w:val="0"/>
        <w:widowControl w:val="0"/>
        <w:kinsoku/>
        <w:wordWrap/>
        <w:overflowPunct/>
        <w:topLinePunct w:val="0"/>
        <w:bidi w:val="0"/>
        <w:adjustRightInd/>
        <w:snapToGrid/>
        <w:spacing w:line="360" w:lineRule="auto"/>
        <w:ind w:right="0" w:rightChars="0" w:firstLine="480" w:firstLineChars="200"/>
        <w:textAlignment w:val="auto"/>
        <w:rPr>
          <w:snapToGrid w:val="0"/>
          <w:color w:val="auto"/>
          <w:kern w:val="0"/>
          <w:highlight w:val="none"/>
        </w:rPr>
      </w:pPr>
      <w:r>
        <w:rPr>
          <w:rFonts w:hint="eastAsia"/>
          <w:snapToGrid w:val="0"/>
          <w:color w:val="auto"/>
          <w:kern w:val="0"/>
          <w:highlight w:val="none"/>
        </w:rPr>
        <w:t>③设施内要有安全照明设施和观察窗口。</w:t>
      </w:r>
    </w:p>
    <w:p>
      <w:pPr>
        <w:pageBreakBefore w:val="0"/>
        <w:widowControl w:val="0"/>
        <w:kinsoku/>
        <w:wordWrap/>
        <w:overflowPunct/>
        <w:topLinePunct w:val="0"/>
        <w:bidi w:val="0"/>
        <w:adjustRightInd/>
        <w:snapToGrid/>
        <w:spacing w:line="360" w:lineRule="auto"/>
        <w:ind w:right="0" w:rightChars="0" w:firstLine="480" w:firstLineChars="200"/>
        <w:textAlignment w:val="auto"/>
        <w:rPr>
          <w:snapToGrid w:val="0"/>
          <w:color w:val="auto"/>
          <w:kern w:val="0"/>
          <w:highlight w:val="none"/>
        </w:rPr>
      </w:pPr>
      <w:r>
        <w:rPr>
          <w:rFonts w:hint="eastAsia"/>
          <w:snapToGrid w:val="0"/>
          <w:color w:val="auto"/>
          <w:kern w:val="0"/>
          <w:highlight w:val="none"/>
        </w:rPr>
        <w:t>④用以存放危险废物容器的地方，必须有耐腐蚀的硬化地面，且表面无裂隙。</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eastAsia="宋体"/>
          <w:snapToGrid w:val="0"/>
          <w:color w:val="auto"/>
          <w:kern w:val="0"/>
          <w:highlight w:val="none"/>
          <w:lang w:eastAsia="zh-CN"/>
        </w:rPr>
      </w:pPr>
      <w:r>
        <w:rPr>
          <w:rFonts w:hint="eastAsia"/>
          <w:snapToGrid w:val="0"/>
          <w:color w:val="auto"/>
          <w:kern w:val="0"/>
          <w:highlight w:val="none"/>
        </w:rPr>
        <w:t>⑤</w:t>
      </w:r>
      <w:r>
        <w:rPr>
          <w:snapToGrid w:val="0"/>
          <w:color w:val="auto"/>
          <w:kern w:val="0"/>
          <w:highlight w:val="none"/>
        </w:rPr>
        <w:t>基础必须防渗，防渗层为至少1米厚粘土层（渗透系数≤10</w:t>
      </w:r>
      <w:r>
        <w:rPr>
          <w:snapToGrid w:val="0"/>
          <w:color w:val="auto"/>
          <w:kern w:val="0"/>
          <w:highlight w:val="none"/>
          <w:vertAlign w:val="superscript"/>
        </w:rPr>
        <w:t>-7</w:t>
      </w:r>
      <w:r>
        <w:rPr>
          <w:snapToGrid w:val="0"/>
          <w:color w:val="auto"/>
          <w:kern w:val="0"/>
          <w:highlight w:val="none"/>
        </w:rPr>
        <w:t>厘米/秒），或2毫米厚高密度聚乙烯，或至少2毫米厚的其它人工材料，渗透系数≤10</w:t>
      </w:r>
      <w:r>
        <w:rPr>
          <w:snapToGrid w:val="0"/>
          <w:color w:val="auto"/>
          <w:kern w:val="0"/>
          <w:highlight w:val="none"/>
          <w:vertAlign w:val="superscript"/>
        </w:rPr>
        <w:t>-10</w:t>
      </w:r>
      <w:r>
        <w:rPr>
          <w:snapToGrid w:val="0"/>
          <w:color w:val="auto"/>
          <w:kern w:val="0"/>
          <w:highlight w:val="none"/>
        </w:rPr>
        <w:t>厘米/秒。</w:t>
      </w:r>
      <w:r>
        <w:rPr>
          <w:rFonts w:hint="eastAsia"/>
          <w:snapToGrid w:val="0"/>
          <w:color w:val="auto"/>
          <w:kern w:val="0"/>
          <w:highlight w:val="none"/>
        </w:rPr>
        <w:t>做好</w:t>
      </w:r>
      <w:r>
        <w:rPr>
          <w:rFonts w:hAnsi="宋体"/>
          <w:color w:val="auto"/>
          <w:highlight w:val="none"/>
        </w:rPr>
        <w:t>防风、防雨、防晒、防渗漏</w:t>
      </w:r>
      <w:r>
        <w:rPr>
          <w:rFonts w:hAnsi="宋体"/>
          <w:color w:val="auto"/>
          <w:highlight w:val="none"/>
          <w:shd w:val="clear" w:color="auto" w:fill="FFFFFF"/>
        </w:rPr>
        <w:t>等</w:t>
      </w:r>
      <w:r>
        <w:rPr>
          <w:rFonts w:hint="eastAsia" w:cs="宋体"/>
          <w:color w:val="auto"/>
          <w:highlight w:val="none"/>
          <w:shd w:val="clear" w:color="auto" w:fill="FFFFFF"/>
          <w:lang w:eastAsia="zh-CN"/>
        </w:rPr>
        <w:t>“</w:t>
      </w:r>
      <w:r>
        <w:rPr>
          <w:rFonts w:hAnsi="宋体"/>
          <w:color w:val="auto"/>
          <w:highlight w:val="none"/>
          <w:shd w:val="clear" w:color="auto" w:fill="FFFFFF"/>
        </w:rPr>
        <w:t>四防措施</w:t>
      </w:r>
      <w:r>
        <w:rPr>
          <w:rFonts w:hint="eastAsia" w:cs="宋体"/>
          <w:color w:val="auto"/>
          <w:highlight w:val="none"/>
          <w:shd w:val="clear" w:color="auto" w:fill="FFFFFF"/>
          <w:lang w:eastAsia="zh-CN"/>
        </w:rPr>
        <w:t>”</w:t>
      </w:r>
    </w:p>
    <w:p>
      <w:pPr>
        <w:pageBreakBefore w:val="0"/>
        <w:widowControl w:val="0"/>
        <w:kinsoku/>
        <w:wordWrap/>
        <w:overflowPunct/>
        <w:topLinePunct w:val="0"/>
        <w:bidi w:val="0"/>
        <w:adjustRightInd/>
        <w:snapToGrid/>
        <w:spacing w:line="360" w:lineRule="auto"/>
        <w:ind w:right="0" w:rightChars="0" w:firstLine="480" w:firstLineChars="200"/>
        <w:textAlignment w:val="auto"/>
        <w:rPr>
          <w:snapToGrid w:val="0"/>
          <w:color w:val="auto"/>
          <w:kern w:val="0"/>
          <w:highlight w:val="none"/>
        </w:rPr>
      </w:pPr>
      <w:r>
        <w:rPr>
          <w:rFonts w:hint="eastAsia"/>
          <w:snapToGrid w:val="0"/>
          <w:color w:val="auto"/>
          <w:kern w:val="0"/>
          <w:highlight w:val="none"/>
        </w:rPr>
        <w:t>⑥</w:t>
      </w:r>
      <w:r>
        <w:rPr>
          <w:snapToGrid w:val="0"/>
          <w:color w:val="auto"/>
          <w:kern w:val="0"/>
          <w:highlight w:val="none"/>
        </w:rPr>
        <w:t>危险废物堆要防风、防雨、防晒</w:t>
      </w:r>
      <w:r>
        <w:rPr>
          <w:rFonts w:hint="eastAsia"/>
          <w:snapToGrid w:val="0"/>
          <w:color w:val="auto"/>
          <w:kern w:val="0"/>
          <w:highlight w:val="none"/>
        </w:rPr>
        <w:t>。</w:t>
      </w:r>
    </w:p>
    <w:p>
      <w:pPr>
        <w:pageBreakBefore w:val="0"/>
        <w:widowControl w:val="0"/>
        <w:kinsoku/>
        <w:wordWrap/>
        <w:overflowPunct/>
        <w:topLinePunct w:val="0"/>
        <w:bidi w:val="0"/>
        <w:adjustRightInd/>
        <w:snapToGrid/>
        <w:spacing w:line="360" w:lineRule="auto"/>
        <w:ind w:right="0" w:rightChars="0" w:firstLine="482" w:firstLineChars="200"/>
        <w:textAlignment w:val="auto"/>
        <w:rPr>
          <w:rFonts w:hint="eastAsia"/>
          <w:snapToGrid w:val="0"/>
          <w:color w:val="auto"/>
          <w:kern w:val="0"/>
        </w:rPr>
      </w:pPr>
      <w:r>
        <w:rPr>
          <w:rFonts w:hint="eastAsia" w:eastAsia="宋体"/>
          <w:b/>
          <w:snapToGrid w:val="0"/>
          <w:color w:val="auto"/>
          <w:kern w:val="0"/>
          <w:lang w:eastAsia="zh-CN"/>
        </w:rPr>
        <w:t>（</w:t>
      </w:r>
      <w:r>
        <w:rPr>
          <w:rFonts w:hint="eastAsia" w:eastAsia="宋体"/>
          <w:b/>
          <w:snapToGrid w:val="0"/>
          <w:color w:val="auto"/>
          <w:kern w:val="0"/>
          <w:lang w:val="en-US" w:eastAsia="zh-CN"/>
        </w:rPr>
        <w:t>3</w:t>
      </w:r>
      <w:r>
        <w:rPr>
          <w:rFonts w:hint="eastAsia" w:eastAsia="宋体"/>
          <w:b/>
          <w:snapToGrid w:val="0"/>
          <w:color w:val="auto"/>
          <w:kern w:val="0"/>
          <w:lang w:eastAsia="zh-CN"/>
        </w:rPr>
        <w:t>）</w:t>
      </w:r>
      <w:r>
        <w:rPr>
          <w:rFonts w:hint="eastAsia"/>
          <w:b/>
          <w:snapToGrid w:val="0"/>
          <w:color w:val="auto"/>
          <w:kern w:val="0"/>
        </w:rPr>
        <w:t>危险废物处置要求：</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snapToGrid w:val="0"/>
          <w:color w:val="auto"/>
          <w:kern w:val="0"/>
        </w:rPr>
      </w:pPr>
      <w:r>
        <w:rPr>
          <w:rFonts w:hint="eastAsia"/>
          <w:snapToGrid w:val="0"/>
          <w:color w:val="auto"/>
          <w:kern w:val="0"/>
        </w:rPr>
        <w:t>建设单位应委派专人负责，认真执行</w:t>
      </w:r>
      <w:r>
        <w:rPr>
          <w:rFonts w:hint="eastAsia"/>
          <w:snapToGrid w:val="0"/>
          <w:color w:val="auto"/>
          <w:kern w:val="0"/>
          <w:lang w:eastAsia="zh-CN"/>
        </w:rPr>
        <w:t>电子</w:t>
      </w:r>
      <w:r>
        <w:rPr>
          <w:rFonts w:hint="eastAsia"/>
          <w:snapToGrid w:val="0"/>
          <w:color w:val="auto"/>
          <w:kern w:val="0"/>
        </w:rPr>
        <w:t>联单制度。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snapToGrid w:val="0"/>
          <w:color w:val="auto"/>
          <w:kern w:val="0"/>
        </w:rPr>
      </w:pPr>
      <w:r>
        <w:rPr>
          <w:snapToGrid w:val="0"/>
          <w:color w:val="auto"/>
          <w:kern w:val="0"/>
        </w:rPr>
        <w:t>危险废物产生者和危险废物贮存设施经营者均须作好危险废物情况的记录，记录上须注明危险废物的名称、来源、数量、特性和包装容器的类别、入库日期、存放库位、废物出库日期及接收单位名称。危险废物的记录和货单在危险废物回取后应继续保留三年。</w:t>
      </w:r>
    </w:p>
    <w:p>
      <w:pPr>
        <w:pageBreakBefore w:val="0"/>
        <w:widowControl w:val="0"/>
        <w:kinsoku/>
        <w:wordWrap/>
        <w:overflowPunct/>
        <w:topLinePunct w:val="0"/>
        <w:bidi w:val="0"/>
        <w:adjustRightInd/>
        <w:snapToGrid/>
        <w:spacing w:line="360" w:lineRule="auto"/>
        <w:ind w:right="0" w:rightChars="0" w:firstLine="480" w:firstLineChars="200"/>
        <w:textAlignment w:val="auto"/>
        <w:rPr>
          <w:rFonts w:hint="eastAsia"/>
          <w:snapToGrid w:val="0"/>
          <w:color w:val="auto"/>
          <w:kern w:val="0"/>
        </w:rPr>
      </w:pPr>
      <w:r>
        <w:rPr>
          <w:snapToGrid w:val="0"/>
          <w:color w:val="auto"/>
          <w:kern w:val="0"/>
        </w:rPr>
        <w:t>综上，只要</w:t>
      </w:r>
      <w:r>
        <w:rPr>
          <w:rFonts w:hint="eastAsia"/>
          <w:snapToGrid w:val="0"/>
          <w:color w:val="auto"/>
          <w:kern w:val="0"/>
        </w:rPr>
        <w:t>建设单位</w:t>
      </w:r>
      <w:r>
        <w:rPr>
          <w:snapToGrid w:val="0"/>
          <w:color w:val="auto"/>
          <w:kern w:val="0"/>
        </w:rPr>
        <w:t>强化管理，做好</w:t>
      </w:r>
      <w:r>
        <w:rPr>
          <w:rFonts w:hint="eastAsia"/>
          <w:snapToGrid w:val="0"/>
          <w:color w:val="auto"/>
          <w:kern w:val="0"/>
        </w:rPr>
        <w:t>危险废物、一般固废的</w:t>
      </w:r>
      <w:r>
        <w:rPr>
          <w:snapToGrid w:val="0"/>
          <w:color w:val="auto"/>
          <w:kern w:val="0"/>
        </w:rPr>
        <w:t>收集、</w:t>
      </w:r>
      <w:r>
        <w:rPr>
          <w:rFonts w:hint="eastAsia"/>
          <w:snapToGrid w:val="0"/>
          <w:color w:val="auto"/>
          <w:kern w:val="0"/>
        </w:rPr>
        <w:t>贮存和</w:t>
      </w:r>
      <w:r>
        <w:rPr>
          <w:snapToGrid w:val="0"/>
          <w:color w:val="auto"/>
          <w:kern w:val="0"/>
        </w:rPr>
        <w:t>清运工作，并采取恰当的安全处置方法，</w:t>
      </w:r>
      <w:r>
        <w:rPr>
          <w:rFonts w:hint="eastAsia"/>
          <w:snapToGrid w:val="0"/>
          <w:color w:val="auto"/>
          <w:kern w:val="0"/>
        </w:rPr>
        <w:t>经处置后固体废物</w:t>
      </w:r>
      <w:r>
        <w:rPr>
          <w:snapToGrid w:val="0"/>
          <w:color w:val="auto"/>
          <w:kern w:val="0"/>
        </w:rPr>
        <w:t>就不会对周围环境产生</w:t>
      </w:r>
      <w:r>
        <w:rPr>
          <w:rFonts w:hint="eastAsia"/>
          <w:snapToGrid w:val="0"/>
          <w:color w:val="auto"/>
          <w:kern w:val="0"/>
        </w:rPr>
        <w:t>明显的</w:t>
      </w:r>
      <w:r>
        <w:rPr>
          <w:snapToGrid w:val="0"/>
          <w:color w:val="auto"/>
          <w:kern w:val="0"/>
        </w:rPr>
        <w:t>不利影响。</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textAlignment w:val="auto"/>
        <w:rPr>
          <w:rFonts w:hint="eastAsia"/>
          <w:color w:val="auto"/>
        </w:rPr>
      </w:pPr>
      <w:r>
        <w:rPr>
          <w:rFonts w:hint="eastAsia"/>
          <w:color w:val="auto"/>
          <w:lang w:val="en-US" w:eastAsia="zh-CN"/>
        </w:rPr>
        <w:t>6.2.6土壤、</w:t>
      </w:r>
      <w:r>
        <w:rPr>
          <w:rFonts w:hint="eastAsia"/>
          <w:color w:val="auto"/>
        </w:rPr>
        <w:t>地下水防治措施</w:t>
      </w:r>
    </w:p>
    <w:p>
      <w:pPr>
        <w:pStyle w:val="170"/>
        <w:snapToGrid w:val="0"/>
        <w:rPr>
          <w:rFonts w:ascii="Times New Roman" w:hAnsi="Times New Roman"/>
          <w:color w:val="auto"/>
          <w:szCs w:val="24"/>
        </w:rPr>
      </w:pPr>
      <w:r>
        <w:rPr>
          <w:rFonts w:ascii="Times New Roman"/>
          <w:color w:val="auto"/>
          <w:szCs w:val="24"/>
        </w:rPr>
        <w:t>评价根据污染物泄漏的途径和位置</w:t>
      </w:r>
      <w:r>
        <w:rPr>
          <w:rFonts w:hint="eastAsia" w:ascii="Times New Roman"/>
          <w:color w:val="auto"/>
          <w:szCs w:val="24"/>
          <w:lang w:eastAsia="zh-CN"/>
        </w:rPr>
        <w:t>医院各区域</w:t>
      </w:r>
      <w:r>
        <w:rPr>
          <w:rFonts w:ascii="Times New Roman"/>
          <w:color w:val="auto"/>
          <w:szCs w:val="24"/>
        </w:rPr>
        <w:t>划分为重点防渗区、一般防渗区以及非防渗区三类地下水污染防治区域：</w:t>
      </w:r>
    </w:p>
    <w:p>
      <w:pPr>
        <w:pStyle w:val="170"/>
        <w:snapToGrid w:val="0"/>
        <w:rPr>
          <w:rFonts w:ascii="Times New Roman" w:hAnsi="Times New Roman"/>
          <w:color w:val="auto"/>
          <w:szCs w:val="24"/>
        </w:rPr>
      </w:pPr>
      <w:r>
        <w:rPr>
          <w:rFonts w:ascii="Times New Roman" w:hAnsi="Times New Roman"/>
          <w:color w:val="auto"/>
          <w:szCs w:val="24"/>
        </w:rPr>
        <w:t>重点防渗区为：污水处理站、</w:t>
      </w:r>
      <w:r>
        <w:rPr>
          <w:rFonts w:hint="eastAsia" w:ascii="Times New Roman" w:hAnsi="Times New Roman"/>
          <w:color w:val="auto"/>
          <w:szCs w:val="24"/>
          <w:lang w:eastAsia="zh-CN"/>
        </w:rPr>
        <w:t>感染楼预消毒池、</w:t>
      </w:r>
      <w:r>
        <w:rPr>
          <w:rFonts w:hint="eastAsia" w:ascii="Times New Roman"/>
          <w:color w:val="auto"/>
          <w:szCs w:val="24"/>
          <w:lang w:eastAsia="zh-CN"/>
        </w:rPr>
        <w:t>医疗废物暂存间</w:t>
      </w:r>
      <w:r>
        <w:rPr>
          <w:rFonts w:ascii="Times New Roman"/>
          <w:color w:val="auto"/>
          <w:szCs w:val="24"/>
        </w:rPr>
        <w:t>、</w:t>
      </w:r>
      <w:r>
        <w:rPr>
          <w:rFonts w:hint="eastAsia" w:ascii="Times New Roman"/>
          <w:color w:val="auto"/>
          <w:szCs w:val="24"/>
          <w:lang w:eastAsia="zh-CN"/>
        </w:rPr>
        <w:t>危废暂存间、</w:t>
      </w:r>
      <w:r>
        <w:rPr>
          <w:rFonts w:ascii="Times New Roman" w:hAnsi="Times New Roman"/>
          <w:color w:val="auto"/>
          <w:szCs w:val="24"/>
        </w:rPr>
        <w:t>柴油发电机房、</w:t>
      </w:r>
      <w:r>
        <w:rPr>
          <w:rFonts w:hint="eastAsia" w:ascii="Times New Roman" w:hAnsi="Times New Roman"/>
          <w:color w:val="auto"/>
          <w:szCs w:val="24"/>
          <w:lang w:eastAsia="zh-CN"/>
        </w:rPr>
        <w:t>柴油储罐区</w:t>
      </w:r>
      <w:r>
        <w:rPr>
          <w:rFonts w:hint="eastAsia" w:ascii="Times New Roman" w:hAnsi="Times New Roman"/>
          <w:color w:val="auto"/>
          <w:sz w:val="24"/>
          <w:szCs w:val="24"/>
          <w:lang w:eastAsia="zh-CN"/>
        </w:rPr>
        <w:t>（</w:t>
      </w:r>
      <w:r>
        <w:rPr>
          <w:rFonts w:hint="eastAsia" w:eastAsia="宋体"/>
          <w:color w:val="auto"/>
          <w:sz w:val="24"/>
          <w:szCs w:val="24"/>
          <w:lang w:val="en-US" w:eastAsia="zh-CN"/>
        </w:rPr>
        <w:t>储油间）</w:t>
      </w:r>
      <w:r>
        <w:rPr>
          <w:rFonts w:hint="eastAsia" w:ascii="Times New Roman" w:hAnsi="Times New Roman"/>
          <w:color w:val="auto"/>
          <w:sz w:val="24"/>
          <w:szCs w:val="24"/>
          <w:lang w:eastAsia="zh-CN"/>
        </w:rPr>
        <w:t>、化学品库</w:t>
      </w:r>
      <w:r>
        <w:rPr>
          <w:rFonts w:ascii="Times New Roman" w:hAnsi="Times New Roman"/>
          <w:color w:val="auto"/>
          <w:szCs w:val="24"/>
        </w:rPr>
        <w:t>化粪池及</w:t>
      </w:r>
      <w:r>
        <w:rPr>
          <w:rFonts w:hint="eastAsia" w:ascii="Times New Roman" w:hAnsi="Times New Roman"/>
          <w:color w:val="auto"/>
          <w:szCs w:val="24"/>
          <w:lang w:eastAsia="zh-CN"/>
        </w:rPr>
        <w:t>污水</w:t>
      </w:r>
      <w:r>
        <w:rPr>
          <w:rFonts w:ascii="Times New Roman" w:hAnsi="Times New Roman"/>
          <w:color w:val="auto"/>
          <w:szCs w:val="24"/>
        </w:rPr>
        <w:t>输送管道。</w:t>
      </w:r>
    </w:p>
    <w:p>
      <w:pPr>
        <w:pStyle w:val="170"/>
        <w:snapToGrid w:val="0"/>
        <w:rPr>
          <w:rFonts w:ascii="Times New Roman" w:hAnsi="Times New Roman"/>
          <w:color w:val="auto"/>
          <w:szCs w:val="24"/>
        </w:rPr>
      </w:pPr>
      <w:r>
        <w:rPr>
          <w:rFonts w:ascii="Times New Roman" w:hAnsi="Times New Roman"/>
          <w:color w:val="auto"/>
          <w:szCs w:val="24"/>
        </w:rPr>
        <w:t>一般防渗区为：项目区道路</w:t>
      </w:r>
      <w:r>
        <w:rPr>
          <w:rFonts w:hint="eastAsia" w:ascii="Times New Roman" w:hAnsi="Times New Roman"/>
          <w:color w:val="auto"/>
          <w:szCs w:val="24"/>
          <w:lang w:eastAsia="zh-CN"/>
        </w:rPr>
        <w:t>、一般固废暂存间、</w:t>
      </w:r>
      <w:r>
        <w:rPr>
          <w:rFonts w:ascii="Times New Roman" w:hAnsi="Times New Roman"/>
          <w:color w:val="auto"/>
          <w:szCs w:val="24"/>
        </w:rPr>
        <w:t>垃圾收集房等地。</w:t>
      </w:r>
    </w:p>
    <w:p>
      <w:pPr>
        <w:pStyle w:val="170"/>
        <w:snapToGrid w:val="0"/>
        <w:rPr>
          <w:rFonts w:ascii="Times New Roman" w:hAnsi="Times New Roman"/>
          <w:color w:val="auto"/>
          <w:szCs w:val="24"/>
        </w:rPr>
      </w:pPr>
      <w:r>
        <w:rPr>
          <w:rFonts w:ascii="Times New Roman" w:hAnsi="Times New Roman"/>
          <w:color w:val="auto"/>
          <w:szCs w:val="24"/>
        </w:rPr>
        <w:t>非防渗区为：医疗区、生活区和绿化区域等。</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重点污染区防渗措施：</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1、</w:t>
      </w:r>
      <w:r>
        <w:rPr>
          <w:rFonts w:ascii="Times New Roman"/>
          <w:color w:val="auto"/>
          <w:szCs w:val="24"/>
        </w:rPr>
        <w:t>污水处理站基础按照</w:t>
      </w:r>
      <w:r>
        <w:rPr>
          <w:rFonts w:ascii="Times New Roman" w:hAnsi="Times New Roman"/>
          <w:color w:val="auto"/>
          <w:szCs w:val="24"/>
        </w:rPr>
        <w:t>GB18597-2001</w:t>
      </w:r>
      <w:r>
        <w:rPr>
          <w:rFonts w:ascii="Times New Roman"/>
          <w:color w:val="auto"/>
          <w:szCs w:val="24"/>
        </w:rPr>
        <w:t>《危险废物贮存污染控制标准》的要求进行防腐防渗，防渗层为至少</w:t>
      </w:r>
      <w:r>
        <w:rPr>
          <w:rFonts w:ascii="Times New Roman" w:hAnsi="Times New Roman"/>
          <w:color w:val="auto"/>
          <w:szCs w:val="24"/>
        </w:rPr>
        <w:t>1m</w:t>
      </w:r>
      <w:r>
        <w:rPr>
          <w:rFonts w:ascii="Times New Roman"/>
          <w:color w:val="auto"/>
          <w:szCs w:val="24"/>
        </w:rPr>
        <w:t>厚黏土层</w:t>
      </w:r>
      <w:r>
        <w:rPr>
          <w:rFonts w:ascii="Times New Roman" w:hAnsi="Times New Roman"/>
          <w:color w:val="auto"/>
          <w:szCs w:val="24"/>
        </w:rPr>
        <w:t>(</w:t>
      </w:r>
      <w:r>
        <w:rPr>
          <w:rFonts w:ascii="Times New Roman"/>
          <w:color w:val="auto"/>
          <w:szCs w:val="24"/>
        </w:rPr>
        <w:t>渗透系数</w:t>
      </w:r>
      <w:r>
        <w:rPr>
          <w:rFonts w:ascii="Times New Roman" w:hAnsi="Times New Roman"/>
          <w:color w:val="auto"/>
          <w:szCs w:val="24"/>
        </w:rPr>
        <w:t>≤10</w:t>
      </w:r>
      <w:r>
        <w:rPr>
          <w:rFonts w:ascii="Times New Roman" w:hAnsi="Times New Roman"/>
          <w:color w:val="auto"/>
          <w:szCs w:val="24"/>
          <w:vertAlign w:val="superscript"/>
        </w:rPr>
        <w:t>-7</w:t>
      </w:r>
      <w:r>
        <w:rPr>
          <w:rFonts w:ascii="Times New Roman" w:hAnsi="Times New Roman"/>
          <w:color w:val="auto"/>
          <w:szCs w:val="24"/>
        </w:rPr>
        <w:t>cm/s)</w:t>
      </w:r>
      <w:r>
        <w:rPr>
          <w:rFonts w:ascii="Times New Roman"/>
          <w:color w:val="auto"/>
          <w:szCs w:val="24"/>
        </w:rPr>
        <w:t>，或</w:t>
      </w:r>
      <w:r>
        <w:rPr>
          <w:rFonts w:ascii="Times New Roman" w:hAnsi="Times New Roman"/>
          <w:color w:val="auto"/>
          <w:szCs w:val="24"/>
        </w:rPr>
        <w:t>2mm</w:t>
      </w:r>
      <w:r>
        <w:rPr>
          <w:rFonts w:ascii="Times New Roman"/>
          <w:color w:val="auto"/>
          <w:szCs w:val="24"/>
        </w:rPr>
        <w:t>厚高密度聚乙烯，或至少</w:t>
      </w:r>
      <w:r>
        <w:rPr>
          <w:rFonts w:ascii="Times New Roman" w:hAnsi="Times New Roman"/>
          <w:color w:val="auto"/>
          <w:szCs w:val="24"/>
        </w:rPr>
        <w:t>2mm</w:t>
      </w:r>
      <w:r>
        <w:rPr>
          <w:rFonts w:ascii="Times New Roman"/>
          <w:color w:val="auto"/>
          <w:szCs w:val="24"/>
        </w:rPr>
        <w:t>厚的其他人工材料</w:t>
      </w:r>
      <w:r>
        <w:rPr>
          <w:rFonts w:ascii="Times New Roman" w:hAnsi="Times New Roman"/>
          <w:color w:val="auto"/>
          <w:szCs w:val="24"/>
        </w:rPr>
        <w:t>(</w:t>
      </w:r>
      <w:r>
        <w:rPr>
          <w:rFonts w:ascii="Times New Roman"/>
          <w:color w:val="auto"/>
          <w:szCs w:val="24"/>
        </w:rPr>
        <w:t>渗透系数</w:t>
      </w:r>
      <w:r>
        <w:rPr>
          <w:rFonts w:ascii="Times New Roman" w:hAnsi="Times New Roman"/>
          <w:color w:val="auto"/>
          <w:szCs w:val="24"/>
        </w:rPr>
        <w:t>≤10</w:t>
      </w:r>
      <w:r>
        <w:rPr>
          <w:rFonts w:ascii="Times New Roman" w:hAnsi="Times New Roman"/>
          <w:color w:val="auto"/>
          <w:szCs w:val="24"/>
          <w:vertAlign w:val="superscript"/>
        </w:rPr>
        <w:t>-10</w:t>
      </w:r>
      <w:r>
        <w:rPr>
          <w:rFonts w:ascii="Times New Roman" w:hAnsi="Times New Roman"/>
          <w:color w:val="auto"/>
          <w:szCs w:val="24"/>
        </w:rPr>
        <w:t xml:space="preserve"> cm/s)</w:t>
      </w:r>
      <w:r>
        <w:rPr>
          <w:rFonts w:hint="eastAsia" w:ascii="Times New Roman" w:cs="宋体"/>
          <w:color w:val="auto"/>
          <w:szCs w:val="24"/>
          <w:lang w:eastAsia="zh-CN"/>
        </w:rPr>
        <w:t>；</w:t>
      </w:r>
      <w:r>
        <w:rPr>
          <w:rFonts w:ascii="Times New Roman"/>
          <w:color w:val="auto"/>
          <w:szCs w:val="24"/>
        </w:rPr>
        <w:t>地面采用防渗漏水泥地坪。</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2</w:t>
      </w:r>
      <w:r>
        <w:rPr>
          <w:rFonts w:ascii="Times New Roman"/>
          <w:color w:val="auto"/>
          <w:szCs w:val="24"/>
        </w:rPr>
        <w:t>、污水处理设施</w:t>
      </w:r>
      <w:r>
        <w:rPr>
          <w:rFonts w:hint="eastAsia" w:ascii="Times New Roman"/>
          <w:color w:val="auto"/>
          <w:szCs w:val="24"/>
          <w:lang w:eastAsia="zh-CN"/>
        </w:rPr>
        <w:t>（含感染门诊预消毒池）</w:t>
      </w:r>
      <w:r>
        <w:rPr>
          <w:rFonts w:ascii="Times New Roman"/>
          <w:color w:val="auto"/>
          <w:szCs w:val="24"/>
        </w:rPr>
        <w:t>的池体和污泥池均采用现浇钢筋混凝土、环氧树脂内衬防渗</w:t>
      </w:r>
      <w:r>
        <w:rPr>
          <w:rFonts w:hint="eastAsia" w:ascii="Times New Roman" w:cs="宋体"/>
          <w:color w:val="auto"/>
          <w:szCs w:val="24"/>
          <w:lang w:eastAsia="zh-CN"/>
        </w:rPr>
        <w:t>；</w:t>
      </w:r>
      <w:r>
        <w:rPr>
          <w:rFonts w:ascii="Times New Roman"/>
          <w:color w:val="auto"/>
          <w:szCs w:val="24"/>
        </w:rPr>
        <w:t>混凝土强度等级不低于</w:t>
      </w:r>
      <w:r>
        <w:rPr>
          <w:rFonts w:ascii="Times New Roman" w:hAnsi="Times New Roman"/>
          <w:color w:val="auto"/>
          <w:szCs w:val="24"/>
        </w:rPr>
        <w:t>C25</w:t>
      </w:r>
      <w:r>
        <w:rPr>
          <w:rFonts w:ascii="Times New Roman"/>
          <w:color w:val="auto"/>
          <w:szCs w:val="24"/>
        </w:rPr>
        <w:t>，设计抗渗等级不低于</w:t>
      </w:r>
      <w:r>
        <w:rPr>
          <w:rFonts w:ascii="Times New Roman" w:hAnsi="Times New Roman"/>
          <w:color w:val="auto"/>
          <w:szCs w:val="24"/>
        </w:rPr>
        <w:t>0.8MPa</w:t>
      </w:r>
      <w:r>
        <w:rPr>
          <w:rFonts w:hint="eastAsia" w:ascii="Times New Roman" w:cs="宋体"/>
          <w:color w:val="auto"/>
          <w:szCs w:val="24"/>
          <w:lang w:eastAsia="zh-CN"/>
        </w:rPr>
        <w:t>；</w:t>
      </w:r>
      <w:r>
        <w:rPr>
          <w:rFonts w:ascii="Times New Roman"/>
          <w:color w:val="auto"/>
          <w:szCs w:val="24"/>
        </w:rPr>
        <w:t>侧壁和底板的厚度不小于</w:t>
      </w:r>
      <w:r>
        <w:rPr>
          <w:rFonts w:ascii="Times New Roman" w:hAnsi="Times New Roman"/>
          <w:color w:val="auto"/>
          <w:szCs w:val="24"/>
        </w:rPr>
        <w:t>150mm</w:t>
      </w:r>
      <w:r>
        <w:rPr>
          <w:rFonts w:ascii="Times New Roman"/>
          <w:color w:val="auto"/>
          <w:szCs w:val="24"/>
        </w:rPr>
        <w:t>，混凝土内表面平整</w:t>
      </w:r>
      <w:r>
        <w:rPr>
          <w:rFonts w:hint="eastAsia" w:ascii="Times New Roman" w:cs="宋体"/>
          <w:color w:val="auto"/>
          <w:szCs w:val="24"/>
          <w:lang w:eastAsia="zh-CN"/>
        </w:rPr>
        <w:t>；</w:t>
      </w:r>
      <w:r>
        <w:rPr>
          <w:rFonts w:ascii="Times New Roman" w:hAnsi="Times New Roman"/>
          <w:color w:val="auto"/>
          <w:szCs w:val="24"/>
        </w:rPr>
        <w:t>接缝和施工方部位应密实、结合牢固，不得渗漏</w:t>
      </w:r>
      <w:r>
        <w:rPr>
          <w:rFonts w:hint="eastAsia" w:ascii="Times New Roman" w:hAnsi="Times New Roman" w:cs="宋体"/>
          <w:color w:val="auto"/>
          <w:szCs w:val="24"/>
          <w:lang w:eastAsia="zh-CN"/>
        </w:rPr>
        <w:t>；</w:t>
      </w:r>
      <w:r>
        <w:rPr>
          <w:rFonts w:ascii="Times New Roman" w:hAnsi="Times New Roman"/>
          <w:color w:val="auto"/>
          <w:szCs w:val="24"/>
        </w:rPr>
        <w:t>预埋管件、止水带和填缝板要安装牢固，位置准确，每座水池必须做满水试验，质量达到合格。</w:t>
      </w:r>
    </w:p>
    <w:p>
      <w:pPr>
        <w:pStyle w:val="170"/>
        <w:snapToGrid w:val="0"/>
        <w:ind w:firstLine="480" w:firstLineChars="200"/>
        <w:rPr>
          <w:rFonts w:hint="eastAsia" w:ascii="Times New Roman" w:hAnsi="Times New Roman" w:eastAsia="宋体"/>
          <w:color w:val="auto"/>
          <w:szCs w:val="24"/>
          <w:lang w:eastAsia="zh-CN"/>
        </w:rPr>
      </w:pPr>
      <w:r>
        <w:rPr>
          <w:rFonts w:ascii="Times New Roman" w:hAnsi="Times New Roman"/>
          <w:color w:val="auto"/>
          <w:szCs w:val="24"/>
        </w:rPr>
        <w:t>3</w:t>
      </w:r>
      <w:r>
        <w:rPr>
          <w:rFonts w:ascii="Times New Roman"/>
          <w:color w:val="auto"/>
          <w:szCs w:val="24"/>
        </w:rPr>
        <w:t>、</w:t>
      </w:r>
      <w:r>
        <w:rPr>
          <w:rFonts w:hint="eastAsia" w:ascii="Times New Roman"/>
          <w:color w:val="auto"/>
          <w:szCs w:val="24"/>
          <w:lang w:eastAsia="zh-CN"/>
        </w:rPr>
        <w:t>医疗废物暂存间、危废暂存间、化学品库</w:t>
      </w:r>
      <w:r>
        <w:rPr>
          <w:rFonts w:ascii="Times New Roman"/>
          <w:color w:val="auto"/>
          <w:szCs w:val="24"/>
        </w:rPr>
        <w:t>采用现浇钢筋混凝土、环氧树脂内衬防渗</w:t>
      </w:r>
      <w:r>
        <w:rPr>
          <w:rFonts w:hint="eastAsia" w:ascii="Times New Roman" w:cs="宋体"/>
          <w:color w:val="auto"/>
          <w:szCs w:val="24"/>
          <w:lang w:eastAsia="zh-CN"/>
        </w:rPr>
        <w:t>；</w:t>
      </w:r>
    </w:p>
    <w:p>
      <w:pPr>
        <w:snapToGrid w:val="0"/>
        <w:spacing w:line="360" w:lineRule="auto"/>
        <w:ind w:firstLine="480" w:firstLineChars="200"/>
        <w:rPr>
          <w:rFonts w:hint="eastAsia" w:eastAsia="宋体"/>
          <w:color w:val="auto"/>
          <w:sz w:val="24"/>
          <w:lang w:eastAsia="zh-CN"/>
        </w:rPr>
      </w:pPr>
      <w:r>
        <w:rPr>
          <w:color w:val="auto"/>
          <w:sz w:val="24"/>
        </w:rPr>
        <w:t>4、垃圾收集房地面防渗、防腐处理，地面应有一定坡度，并在低凹一侧设置排水沟</w:t>
      </w:r>
      <w:r>
        <w:rPr>
          <w:rFonts w:hint="eastAsia" w:cs="宋体"/>
          <w:color w:val="auto"/>
          <w:sz w:val="24"/>
          <w:lang w:eastAsia="zh-CN"/>
        </w:rPr>
        <w:t>；</w:t>
      </w:r>
      <w:r>
        <w:rPr>
          <w:color w:val="auto"/>
          <w:sz w:val="24"/>
        </w:rPr>
        <w:t>冲洗废水应经排水沟集中收集后汇入项目内污水收集系统，最终汇入污水处理站处理达标后外排</w:t>
      </w:r>
      <w:r>
        <w:rPr>
          <w:rFonts w:hint="eastAsia" w:cs="宋体"/>
          <w:color w:val="auto"/>
          <w:sz w:val="24"/>
          <w:lang w:eastAsia="zh-CN"/>
        </w:rPr>
        <w:t>；</w:t>
      </w:r>
    </w:p>
    <w:p>
      <w:pPr>
        <w:snapToGrid w:val="0"/>
        <w:spacing w:line="360" w:lineRule="auto"/>
        <w:ind w:firstLine="480" w:firstLineChars="200"/>
        <w:rPr>
          <w:color w:val="auto"/>
          <w:sz w:val="24"/>
        </w:rPr>
      </w:pPr>
      <w:r>
        <w:rPr>
          <w:color w:val="auto"/>
          <w:sz w:val="24"/>
        </w:rPr>
        <w:t>5、柴油发电机房储油区：储油罐采用防渗材质制成，同时修建混凝土防渗储油区，将储油罐置于防渗储油区内。</w:t>
      </w:r>
      <w:r>
        <w:rPr>
          <w:rFonts w:hAnsi="Tahoma"/>
          <w:color w:val="auto"/>
          <w:sz w:val="24"/>
        </w:rPr>
        <w:t>另外，</w:t>
      </w:r>
      <w:r>
        <w:rPr>
          <w:rFonts w:hint="eastAsia" w:hAnsi="Tahoma"/>
          <w:color w:val="auto"/>
          <w:sz w:val="24"/>
          <w:lang w:eastAsia="zh-CN"/>
        </w:rPr>
        <w:t>在柴油机房门口设置防渗油门槛，</w:t>
      </w:r>
      <w:r>
        <w:rPr>
          <w:rFonts w:hAnsi="Tahoma"/>
          <w:color w:val="auto"/>
          <w:sz w:val="24"/>
        </w:rPr>
        <w:t>发电机下面添加集油盘收集发电机跑冒和渗漏出来的机油及柴油</w:t>
      </w:r>
      <w:r>
        <w:rPr>
          <w:color w:val="auto"/>
          <w:sz w:val="24"/>
        </w:rPr>
        <w:t>。</w:t>
      </w:r>
    </w:p>
    <w:p>
      <w:pPr>
        <w:snapToGrid w:val="0"/>
        <w:spacing w:line="360" w:lineRule="auto"/>
        <w:ind w:firstLine="480" w:firstLineChars="200"/>
        <w:rPr>
          <w:color w:val="auto"/>
          <w:sz w:val="24"/>
        </w:rPr>
      </w:pPr>
      <w:r>
        <w:rPr>
          <w:color w:val="auto"/>
          <w:sz w:val="24"/>
        </w:rPr>
        <w:t>6、化粪池四周壁用砖砌，再用水泥硬化防渗各单元，防渗层渗透系数≤10</w:t>
      </w:r>
      <w:r>
        <w:rPr>
          <w:color w:val="auto"/>
          <w:sz w:val="24"/>
          <w:vertAlign w:val="superscript"/>
        </w:rPr>
        <w:t>-7</w:t>
      </w:r>
      <w:r>
        <w:rPr>
          <w:color w:val="auto"/>
          <w:sz w:val="24"/>
        </w:rPr>
        <w:t>cm/s。</w:t>
      </w:r>
    </w:p>
    <w:p>
      <w:pPr>
        <w:pStyle w:val="170"/>
        <w:snapToGrid w:val="0"/>
        <w:ind w:firstLine="480" w:firstLineChars="200"/>
        <w:rPr>
          <w:rFonts w:hint="eastAsia" w:ascii="Times New Roman" w:hAnsi="Times New Roman" w:eastAsia="宋体"/>
          <w:color w:val="auto"/>
          <w:szCs w:val="24"/>
          <w:lang w:eastAsia="zh-CN"/>
        </w:rPr>
      </w:pPr>
      <w:r>
        <w:rPr>
          <w:rFonts w:ascii="Times New Roman" w:hAnsi="Times New Roman"/>
          <w:color w:val="auto"/>
          <w:szCs w:val="24"/>
        </w:rPr>
        <w:t>7</w:t>
      </w:r>
      <w:r>
        <w:rPr>
          <w:rFonts w:ascii="Times New Roman"/>
          <w:color w:val="auto"/>
          <w:szCs w:val="24"/>
        </w:rPr>
        <w:t>、项目区内外污水管道均采用耐腐蚀管材</w:t>
      </w:r>
      <w:r>
        <w:rPr>
          <w:rFonts w:ascii="Times New Roman" w:hAnsi="Times New Roman"/>
          <w:color w:val="auto"/>
          <w:szCs w:val="24"/>
        </w:rPr>
        <w:t>并作表面防腐、防锈蚀处理，减轻管道腐蚀造成的渗漏</w:t>
      </w:r>
      <w:r>
        <w:rPr>
          <w:rFonts w:hint="eastAsia" w:ascii="Times New Roman" w:hAnsi="Times New Roman" w:cs="宋体"/>
          <w:color w:val="auto"/>
          <w:szCs w:val="24"/>
          <w:lang w:eastAsia="zh-CN"/>
        </w:rPr>
        <w:t>；</w:t>
      </w:r>
      <w:r>
        <w:rPr>
          <w:rFonts w:ascii="Times New Roman" w:hAnsi="Times New Roman"/>
          <w:color w:val="auto"/>
          <w:szCs w:val="24"/>
        </w:rPr>
        <w:t>并进行定期检查，确保消除跑、冒、滴、漏现象发生</w:t>
      </w:r>
      <w:r>
        <w:rPr>
          <w:rFonts w:hint="eastAsia" w:ascii="Times New Roman" w:hAnsi="Times New Roman" w:cs="宋体"/>
          <w:color w:val="auto"/>
          <w:szCs w:val="24"/>
          <w:lang w:eastAsia="zh-CN"/>
        </w:rPr>
        <w:t>；</w:t>
      </w:r>
    </w:p>
    <w:p>
      <w:pPr>
        <w:snapToGrid w:val="0"/>
        <w:spacing w:line="360" w:lineRule="auto"/>
        <w:ind w:firstLine="480" w:firstLineChars="200"/>
        <w:rPr>
          <w:color w:val="auto"/>
          <w:sz w:val="24"/>
        </w:rPr>
      </w:pPr>
      <w:r>
        <w:rPr>
          <w:color w:val="auto"/>
          <w:sz w:val="24"/>
        </w:rPr>
        <w:t>8、特殊废液储存容器需设置专门的防渗、漏、腐蚀的容器。</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采取以上措施后可使重点污染防治区各单元防渗层渗透系数≤10</w:t>
      </w:r>
      <w:r>
        <w:rPr>
          <w:rFonts w:ascii="Times New Roman" w:hAnsi="Times New Roman"/>
          <w:color w:val="auto"/>
          <w:szCs w:val="24"/>
          <w:vertAlign w:val="superscript"/>
        </w:rPr>
        <w:t>-10</w:t>
      </w:r>
      <w:r>
        <w:rPr>
          <w:rFonts w:ascii="Times New Roman" w:hAnsi="Times New Roman"/>
          <w:color w:val="auto"/>
          <w:szCs w:val="24"/>
        </w:rPr>
        <w:t>cm/s。</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一般污染区防渗措施：</w:t>
      </w:r>
    </w:p>
    <w:p>
      <w:pPr>
        <w:pStyle w:val="170"/>
        <w:snapToGrid w:val="0"/>
        <w:ind w:firstLine="480" w:firstLineChars="200"/>
        <w:rPr>
          <w:rFonts w:ascii="Times New Roman" w:hAnsi="Times New Roman"/>
          <w:color w:val="auto"/>
          <w:szCs w:val="24"/>
        </w:rPr>
      </w:pPr>
      <w:r>
        <w:rPr>
          <w:rFonts w:ascii="Times New Roman" w:hAnsi="Times New Roman"/>
          <w:color w:val="auto"/>
          <w:szCs w:val="24"/>
        </w:rPr>
        <w:t>一般防渗区（项目区道路</w:t>
      </w:r>
      <w:r>
        <w:rPr>
          <w:rFonts w:hint="eastAsia" w:ascii="Times New Roman" w:hAnsi="Times New Roman"/>
          <w:color w:val="auto"/>
          <w:szCs w:val="24"/>
          <w:lang w:eastAsia="zh-CN"/>
        </w:rPr>
        <w:t>、一般固废暂存间</w:t>
      </w:r>
      <w:r>
        <w:rPr>
          <w:rFonts w:ascii="Times New Roman" w:hAnsi="Times New Roman"/>
          <w:color w:val="auto"/>
          <w:szCs w:val="24"/>
        </w:rPr>
        <w:t>）采取粘土铺底，再在上层铺10~15cm的水泥进行硬化。综上所述，在采取上述防渗、防腐处理措施后，项目对地下水基本不会造成明显影响。</w:t>
      </w:r>
    </w:p>
    <w:p>
      <w:pPr>
        <w:snapToGrid w:val="0"/>
        <w:spacing w:line="360" w:lineRule="auto"/>
        <w:ind w:firstLine="480" w:firstLineChars="200"/>
        <w:rPr>
          <w:rFonts w:hint="eastAsia" w:eastAsia="宋体"/>
          <w:color w:val="auto"/>
          <w:sz w:val="24"/>
          <w:lang w:eastAsia="zh-CN"/>
        </w:rPr>
      </w:pPr>
      <w:r>
        <w:rPr>
          <w:color w:val="auto"/>
          <w:sz w:val="24"/>
        </w:rPr>
        <w:t>此外还要加强管理，完善管理机制，建立严格的管理制度，遵守操作规程。项目采取以上措施后，可最大程度的减少项目污染物的排放对地下水</w:t>
      </w:r>
      <w:r>
        <w:rPr>
          <w:rFonts w:hint="eastAsia"/>
          <w:color w:val="auto"/>
          <w:sz w:val="24"/>
        </w:rPr>
        <w:t>可能造成</w:t>
      </w:r>
      <w:r>
        <w:rPr>
          <w:color w:val="auto"/>
          <w:sz w:val="24"/>
        </w:rPr>
        <w:t>的影响</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lang w:val="en-US" w:eastAsia="zh-CN"/>
        </w:rPr>
      </w:pPr>
      <w:r>
        <w:rPr>
          <w:color w:val="auto"/>
        </w:rPr>
        <w:t>具体分区防渗具体措施要求</w:t>
      </w:r>
      <w:r>
        <w:rPr>
          <w:rFonts w:hint="eastAsia"/>
          <w:color w:val="auto"/>
        </w:rPr>
        <w:t>见下表</w:t>
      </w:r>
      <w:r>
        <w:rPr>
          <w:rFonts w:hint="eastAsia"/>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rPr>
      </w:pPr>
      <w:r>
        <w:rPr>
          <w:rFonts w:hAnsi="宋体"/>
          <w:b/>
          <w:color w:val="auto"/>
          <w:sz w:val="21"/>
          <w:szCs w:val="21"/>
        </w:rPr>
        <w:t>表</w:t>
      </w:r>
      <w:r>
        <w:rPr>
          <w:rFonts w:hint="eastAsia"/>
          <w:b/>
          <w:color w:val="auto"/>
          <w:sz w:val="21"/>
          <w:szCs w:val="21"/>
          <w:lang w:val="en-US" w:eastAsia="zh-CN"/>
        </w:rPr>
        <w:t>7</w:t>
      </w:r>
      <w:r>
        <w:rPr>
          <w:rFonts w:hint="eastAsia"/>
          <w:b/>
          <w:color w:val="auto"/>
          <w:sz w:val="21"/>
          <w:szCs w:val="21"/>
        </w:rPr>
        <w:t>.2-</w:t>
      </w:r>
      <w:r>
        <w:rPr>
          <w:rFonts w:hint="eastAsia"/>
          <w:b/>
          <w:color w:val="auto"/>
          <w:sz w:val="21"/>
          <w:szCs w:val="21"/>
          <w:lang w:val="en-US" w:eastAsia="zh-CN"/>
        </w:rPr>
        <w:t>5</w:t>
      </w:r>
      <w:r>
        <w:rPr>
          <w:b/>
          <w:color w:val="auto"/>
          <w:sz w:val="21"/>
          <w:szCs w:val="21"/>
        </w:rPr>
        <w:t>地下水污染分区防渗表</w:t>
      </w:r>
    </w:p>
    <w:tbl>
      <w:tblPr>
        <w:tblStyle w:val="48"/>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2478"/>
        <w:gridCol w:w="4045"/>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1"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工作区</w:t>
            </w:r>
          </w:p>
        </w:tc>
        <w:tc>
          <w:tcPr>
            <w:tcW w:w="218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防渗分区</w:t>
            </w:r>
          </w:p>
        </w:tc>
        <w:tc>
          <w:tcPr>
            <w:tcW w:w="3570"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防渗技术要求</w:t>
            </w:r>
          </w:p>
        </w:tc>
        <w:tc>
          <w:tcPr>
            <w:tcW w:w="106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经费预算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restart"/>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重点防渗区</w:t>
            </w:r>
          </w:p>
        </w:tc>
        <w:tc>
          <w:tcPr>
            <w:tcW w:w="218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危废暂存</w:t>
            </w:r>
            <w:r>
              <w:rPr>
                <w:rFonts w:hint="default" w:ascii="Times New Roman" w:hAnsi="Times New Roman" w:eastAsia="宋体" w:cs="Times New Roman"/>
                <w:color w:val="auto"/>
                <w:sz w:val="21"/>
                <w:szCs w:val="21"/>
                <w:lang w:val="en-US" w:eastAsia="zh-CN"/>
              </w:rPr>
              <w:t>间、医疗废物暂存间、化学品库</w:t>
            </w:r>
          </w:p>
        </w:tc>
        <w:tc>
          <w:tcPr>
            <w:tcW w:w="3570"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w:t>
            </w:r>
            <w:r>
              <w:rPr>
                <w:rFonts w:hint="default" w:ascii="Times New Roman" w:hAnsi="Times New Roman" w:eastAsia="宋体" w:cs="Times New Roman"/>
                <w:color w:val="auto"/>
                <w:sz w:val="21"/>
                <w:szCs w:val="21"/>
                <w:lang w:val="en-US" w:eastAsia="zh-CN"/>
              </w:rPr>
              <w:t>混凝土</w:t>
            </w:r>
            <w:r>
              <w:rPr>
                <w:rFonts w:hint="default" w:ascii="Times New Roman" w:hAnsi="Times New Roman" w:eastAsia="宋体" w:cs="Times New Roman"/>
                <w:color w:val="auto"/>
                <w:sz w:val="21"/>
                <w:szCs w:val="21"/>
              </w:rPr>
              <w:t>硬化地面上加做防渗层，防渗层材料采用高密度聚乙烯或环氧树脂人工材料等，厚度至少大于2mm，确保渗透系数小于10</w:t>
            </w:r>
            <w:r>
              <w:rPr>
                <w:rFonts w:hint="default" w:ascii="Times New Roman" w:hAnsi="Times New Roman" w:eastAsia="宋体" w:cs="Times New Roman"/>
                <w:color w:val="auto"/>
                <w:sz w:val="21"/>
                <w:szCs w:val="21"/>
                <w:vertAlign w:val="superscript"/>
              </w:rPr>
              <w:t>-10</w:t>
            </w:r>
            <w:r>
              <w:rPr>
                <w:rFonts w:hint="default" w:ascii="Times New Roman" w:hAnsi="Times New Roman" w:eastAsia="宋体" w:cs="Times New Roman"/>
                <w:color w:val="auto"/>
                <w:sz w:val="21"/>
                <w:szCs w:val="21"/>
              </w:rPr>
              <w:t>cm/s</w:t>
            </w:r>
          </w:p>
        </w:tc>
        <w:tc>
          <w:tcPr>
            <w:tcW w:w="106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p>
        </w:tc>
        <w:tc>
          <w:tcPr>
            <w:tcW w:w="218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柴油储存区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储油间</w:t>
            </w:r>
            <w:r>
              <w:rPr>
                <w:rFonts w:hint="default" w:ascii="Times New Roman" w:hAnsi="Times New Roman" w:eastAsia="宋体" w:cs="Times New Roman"/>
                <w:color w:val="auto"/>
                <w:sz w:val="21"/>
                <w:szCs w:val="21"/>
                <w:lang w:eastAsia="zh-CN"/>
              </w:rPr>
              <w:t>）</w:t>
            </w:r>
          </w:p>
        </w:tc>
        <w:tc>
          <w:tcPr>
            <w:tcW w:w="3570"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w:t>
            </w:r>
            <w:r>
              <w:rPr>
                <w:rFonts w:hint="default" w:ascii="Times New Roman" w:hAnsi="Times New Roman" w:eastAsia="宋体" w:cs="Times New Roman"/>
                <w:color w:val="auto"/>
                <w:sz w:val="21"/>
                <w:szCs w:val="21"/>
                <w:lang w:val="en-US" w:eastAsia="zh-CN"/>
              </w:rPr>
              <w:t>混凝土</w:t>
            </w:r>
            <w:r>
              <w:rPr>
                <w:rFonts w:hint="default" w:ascii="Times New Roman" w:hAnsi="Times New Roman" w:eastAsia="宋体" w:cs="Times New Roman"/>
                <w:color w:val="auto"/>
                <w:sz w:val="21"/>
                <w:szCs w:val="21"/>
              </w:rPr>
              <w:t>硬化地面上加做防渗层，防渗层材料采用高密度聚乙烯或环氧树脂人工材料等，厚度至少大于2mm，确保渗透系数小于10</w:t>
            </w:r>
            <w:r>
              <w:rPr>
                <w:rFonts w:hint="default" w:ascii="Times New Roman" w:hAnsi="Times New Roman" w:eastAsia="宋体" w:cs="Times New Roman"/>
                <w:color w:val="auto"/>
                <w:sz w:val="21"/>
                <w:szCs w:val="21"/>
                <w:vertAlign w:val="superscript"/>
              </w:rPr>
              <w:t>-10</w:t>
            </w:r>
            <w:r>
              <w:rPr>
                <w:rFonts w:hint="default" w:ascii="Times New Roman" w:hAnsi="Times New Roman" w:eastAsia="宋体" w:cs="Times New Roman"/>
                <w:color w:val="auto"/>
                <w:sz w:val="21"/>
                <w:szCs w:val="21"/>
              </w:rPr>
              <w:t>cm/s</w:t>
            </w:r>
          </w:p>
        </w:tc>
        <w:tc>
          <w:tcPr>
            <w:tcW w:w="106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p>
        </w:tc>
        <w:tc>
          <w:tcPr>
            <w:tcW w:w="218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预消毒池、</w:t>
            </w:r>
            <w:r>
              <w:rPr>
                <w:rFonts w:hint="default" w:ascii="Times New Roman" w:hAnsi="Times New Roman" w:eastAsia="宋体" w:cs="Times New Roman"/>
                <w:color w:val="auto"/>
                <w:sz w:val="21"/>
                <w:szCs w:val="21"/>
              </w:rPr>
              <w:t>污水处理站</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包含调节池（调节池</w:t>
            </w:r>
            <w:r>
              <w:rPr>
                <w:rFonts w:hint="eastAsia" w:ascii="Times New Roman" w:hAnsi="Times New Roman" w:eastAsia="宋体" w:cs="Times New Roman"/>
                <w:color w:val="auto"/>
                <w:sz w:val="21"/>
                <w:szCs w:val="21"/>
                <w:lang w:val="en-US" w:eastAsia="zh-CN"/>
              </w:rPr>
              <w:t>余量</w:t>
            </w:r>
            <w:r>
              <w:rPr>
                <w:rFonts w:hint="default" w:ascii="Times New Roman" w:hAnsi="Times New Roman" w:eastAsia="宋体" w:cs="Times New Roman"/>
                <w:color w:val="auto"/>
                <w:sz w:val="21"/>
                <w:szCs w:val="21"/>
                <w:lang w:val="en-US" w:eastAsia="zh-CN"/>
              </w:rPr>
              <w:t>兼具应急事故池功能）、污泥池、水解酸化池、接触氧化池、二沉池、消毒池等</w:t>
            </w:r>
          </w:p>
        </w:tc>
        <w:tc>
          <w:tcPr>
            <w:tcW w:w="3570"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预消毒池、</w:t>
            </w:r>
            <w:r>
              <w:rPr>
                <w:rFonts w:hint="default" w:ascii="Times New Roman" w:hAnsi="Times New Roman" w:eastAsia="宋体" w:cs="Times New Roman"/>
                <w:color w:val="auto"/>
                <w:sz w:val="21"/>
                <w:szCs w:val="21"/>
              </w:rPr>
              <w:t>污水处理站</w:t>
            </w:r>
            <w:r>
              <w:rPr>
                <w:rFonts w:hint="default" w:ascii="Times New Roman" w:hAnsi="Times New Roman" w:eastAsia="宋体" w:cs="Times New Roman"/>
                <w:color w:val="auto"/>
                <w:sz w:val="21"/>
                <w:szCs w:val="21"/>
                <w:lang w:val="en-US" w:eastAsia="zh-CN"/>
              </w:rPr>
              <w:t>和各池</w:t>
            </w:r>
            <w:r>
              <w:rPr>
                <w:rFonts w:hint="default" w:ascii="Times New Roman" w:hAnsi="Times New Roman" w:eastAsia="宋体" w:cs="Times New Roman"/>
                <w:color w:val="auto"/>
                <w:sz w:val="21"/>
                <w:szCs w:val="21"/>
              </w:rPr>
              <w:t>四周内外壁</w:t>
            </w:r>
            <w:r>
              <w:rPr>
                <w:rFonts w:hint="default" w:ascii="Times New Roman" w:hAnsi="Times New Roman" w:eastAsia="宋体" w:cs="Times New Roman"/>
                <w:color w:val="auto"/>
                <w:sz w:val="21"/>
                <w:szCs w:val="21"/>
                <w:lang w:val="en-US" w:eastAsia="zh-CN"/>
              </w:rPr>
              <w:t>采用混凝土</w:t>
            </w:r>
            <w:r>
              <w:rPr>
                <w:rFonts w:hint="default" w:ascii="Times New Roman" w:hAnsi="Times New Roman" w:eastAsia="宋体" w:cs="Times New Roman"/>
                <w:color w:val="auto"/>
                <w:sz w:val="21"/>
                <w:szCs w:val="21"/>
              </w:rPr>
              <w:t>硬化防渗，全池涂高密度聚乙烯或环氧树脂防腐防渗，厚度至少大于2mm，确保渗透系数小于10</w:t>
            </w:r>
            <w:r>
              <w:rPr>
                <w:rFonts w:hint="default" w:ascii="Times New Roman" w:hAnsi="Times New Roman" w:eastAsia="宋体" w:cs="Times New Roman"/>
                <w:color w:val="auto"/>
                <w:sz w:val="21"/>
                <w:szCs w:val="21"/>
                <w:vertAlign w:val="superscript"/>
              </w:rPr>
              <w:t>-10</w:t>
            </w:r>
            <w:r>
              <w:rPr>
                <w:rFonts w:hint="default" w:ascii="Times New Roman" w:hAnsi="Times New Roman" w:eastAsia="宋体" w:cs="Times New Roman"/>
                <w:color w:val="auto"/>
                <w:sz w:val="21"/>
                <w:szCs w:val="21"/>
              </w:rPr>
              <w:t>cm/s</w:t>
            </w:r>
          </w:p>
        </w:tc>
        <w:tc>
          <w:tcPr>
            <w:tcW w:w="106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一般防渗区</w:t>
            </w:r>
          </w:p>
        </w:tc>
        <w:tc>
          <w:tcPr>
            <w:tcW w:w="218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其他（除去重点防渗区以外的区域等）</w:t>
            </w:r>
          </w:p>
        </w:tc>
        <w:tc>
          <w:tcPr>
            <w:tcW w:w="3570"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一般的水泥混凝土地面硬化，禁止出现裂缝，确保渗透系数小于10</w:t>
            </w:r>
            <w:r>
              <w:rPr>
                <w:rFonts w:hint="default" w:ascii="Times New Roman" w:hAnsi="Times New Roman" w:eastAsia="宋体" w:cs="Times New Roman"/>
                <w:color w:val="auto"/>
                <w:sz w:val="21"/>
                <w:szCs w:val="21"/>
                <w:vertAlign w:val="superscript"/>
              </w:rPr>
              <w:t>-7</w:t>
            </w:r>
            <w:r>
              <w:rPr>
                <w:rFonts w:hint="default" w:ascii="Times New Roman" w:hAnsi="Times New Roman" w:eastAsia="宋体" w:cs="Times New Roman"/>
                <w:color w:val="auto"/>
                <w:sz w:val="21"/>
                <w:szCs w:val="21"/>
              </w:rPr>
              <w:t>cm/s</w:t>
            </w:r>
          </w:p>
        </w:tc>
        <w:tc>
          <w:tcPr>
            <w:tcW w:w="1067" w:type="dxa"/>
            <w:tcBorders>
              <w:tl2br w:val="nil"/>
              <w:tr2bl w:val="nil"/>
            </w:tcBorders>
            <w:noWrap w:val="0"/>
            <w:vAlign w:val="center"/>
          </w:tcPr>
          <w:p>
            <w:pPr>
              <w:pStyle w:val="89"/>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75万元</w:t>
            </w:r>
          </w:p>
        </w:tc>
      </w:tr>
    </w:tbl>
    <w:p>
      <w:pPr>
        <w:pStyle w:val="278"/>
        <w:rPr>
          <w:rFonts w:hint="eastAsia"/>
          <w:color w:val="auto"/>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4"/>
        <w:numPr>
          <w:ilvl w:val="0"/>
          <w:numId w:val="0"/>
        </w:numPr>
        <w:ind w:leftChars="0"/>
        <w:rPr>
          <w:rFonts w:hint="eastAsia"/>
          <w:color w:val="auto"/>
        </w:rPr>
      </w:pPr>
      <w:bookmarkStart w:id="99" w:name="_Toc31863"/>
      <w:r>
        <w:rPr>
          <w:rFonts w:hint="eastAsia"/>
          <w:color w:val="auto"/>
          <w:lang w:val="en-US" w:eastAsia="zh-CN"/>
        </w:rPr>
        <w:t>6.3</w:t>
      </w:r>
      <w:r>
        <w:rPr>
          <w:rFonts w:hint="eastAsia"/>
          <w:color w:val="auto"/>
        </w:rPr>
        <w:t>建设项目环保</w:t>
      </w:r>
      <w:r>
        <w:rPr>
          <w:rFonts w:hint="eastAsia"/>
          <w:color w:val="auto"/>
          <w:lang w:val="en-US" w:eastAsia="zh-CN"/>
        </w:rPr>
        <w:t>投资</w:t>
      </w:r>
      <w:bookmarkEnd w:id="99"/>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b/>
          <w:color w:val="auto"/>
          <w:sz w:val="21"/>
          <w:szCs w:val="21"/>
          <w:highlight w:val="none"/>
        </w:rPr>
      </w:pPr>
      <w:r>
        <w:rPr>
          <w:rFonts w:hint="eastAsia"/>
          <w:color w:val="auto"/>
          <w:highlight w:val="none"/>
        </w:rPr>
        <w:t>本项目</w:t>
      </w:r>
      <w:r>
        <w:rPr>
          <w:color w:val="auto"/>
          <w:highlight w:val="none"/>
        </w:rPr>
        <w:t>环保措施为废气净化治理、废水收集处理、降噪、</w:t>
      </w:r>
      <w:r>
        <w:rPr>
          <w:rFonts w:hint="eastAsia"/>
          <w:color w:val="auto"/>
          <w:highlight w:val="none"/>
        </w:rPr>
        <w:t>固体</w:t>
      </w:r>
      <w:r>
        <w:rPr>
          <w:color w:val="auto"/>
          <w:highlight w:val="none"/>
        </w:rPr>
        <w:t>废物收集储存设施和风险防范等，</w:t>
      </w:r>
      <w:r>
        <w:rPr>
          <w:rFonts w:hint="eastAsia"/>
          <w:color w:val="auto"/>
          <w:highlight w:val="none"/>
          <w:lang w:val="en-US" w:eastAsia="zh-CN"/>
        </w:rPr>
        <w:t>项目总投资274800万元，其中环保投资1673万元，占比2.39%。</w:t>
      </w:r>
      <w:r>
        <w:rPr>
          <w:color w:val="auto"/>
          <w:highlight w:val="none"/>
        </w:rPr>
        <w:t>具体见下表。</w:t>
      </w:r>
    </w:p>
    <w:p>
      <w:pPr>
        <w:spacing w:line="240" w:lineRule="auto"/>
        <w:ind w:left="0" w:leftChars="0" w:firstLine="0" w:firstLineChars="0"/>
        <w:jc w:val="center"/>
        <w:rPr>
          <w:b/>
          <w:color w:val="auto"/>
          <w:sz w:val="21"/>
          <w:szCs w:val="21"/>
        </w:rPr>
      </w:pPr>
    </w:p>
    <w:p>
      <w:pPr>
        <w:spacing w:line="240" w:lineRule="auto"/>
        <w:ind w:left="0" w:leftChars="0" w:firstLine="0" w:firstLineChars="0"/>
        <w:jc w:val="center"/>
        <w:rPr>
          <w:b/>
          <w:color w:val="auto"/>
          <w:sz w:val="21"/>
          <w:szCs w:val="21"/>
        </w:rPr>
      </w:pPr>
    </w:p>
    <w:p>
      <w:pPr>
        <w:spacing w:line="240" w:lineRule="auto"/>
        <w:ind w:left="0" w:leftChars="0" w:firstLine="0" w:firstLineChars="0"/>
        <w:jc w:val="center"/>
        <w:rPr>
          <w:b/>
          <w:color w:val="auto"/>
          <w:sz w:val="21"/>
          <w:szCs w:val="21"/>
        </w:rPr>
      </w:pPr>
    </w:p>
    <w:p>
      <w:pPr>
        <w:spacing w:line="240" w:lineRule="auto"/>
        <w:ind w:left="0" w:leftChars="0" w:firstLine="0" w:firstLineChars="0"/>
        <w:jc w:val="center"/>
        <w:rPr>
          <w:b/>
          <w:color w:val="auto"/>
          <w:sz w:val="21"/>
          <w:szCs w:val="21"/>
        </w:rPr>
      </w:pPr>
    </w:p>
    <w:p>
      <w:pPr>
        <w:spacing w:line="240" w:lineRule="auto"/>
        <w:ind w:left="0" w:leftChars="0" w:firstLine="0" w:firstLineChars="0"/>
        <w:jc w:val="center"/>
        <w:rPr>
          <w:rFonts w:hint="eastAsia"/>
          <w:color w:val="auto"/>
        </w:rPr>
      </w:pPr>
      <w:r>
        <w:rPr>
          <w:b/>
          <w:color w:val="auto"/>
          <w:sz w:val="21"/>
          <w:szCs w:val="21"/>
        </w:rPr>
        <w:t>表</w:t>
      </w:r>
      <w:r>
        <w:rPr>
          <w:rFonts w:hint="eastAsia"/>
          <w:b/>
          <w:color w:val="auto"/>
          <w:sz w:val="21"/>
          <w:szCs w:val="21"/>
          <w:lang w:val="en-US" w:eastAsia="zh-CN"/>
        </w:rPr>
        <w:t>7</w:t>
      </w:r>
      <w:r>
        <w:rPr>
          <w:b/>
          <w:color w:val="auto"/>
          <w:sz w:val="21"/>
          <w:szCs w:val="21"/>
        </w:rPr>
        <w:t>.</w:t>
      </w:r>
      <w:r>
        <w:rPr>
          <w:rFonts w:hint="eastAsia"/>
          <w:b/>
          <w:color w:val="auto"/>
          <w:sz w:val="21"/>
          <w:szCs w:val="21"/>
        </w:rPr>
        <w:t>3</w:t>
      </w:r>
      <w:r>
        <w:rPr>
          <w:b/>
          <w:color w:val="auto"/>
          <w:sz w:val="21"/>
          <w:szCs w:val="21"/>
        </w:rPr>
        <w:t>-1</w:t>
      </w:r>
      <w:r>
        <w:rPr>
          <w:rFonts w:hint="eastAsia"/>
          <w:b/>
          <w:color w:val="auto"/>
          <w:sz w:val="21"/>
          <w:szCs w:val="21"/>
        </w:rPr>
        <w:t>项目环保措施及投资一览表（万元）</w:t>
      </w:r>
    </w:p>
    <w:tbl>
      <w:tblPr>
        <w:tblStyle w:val="48"/>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83"/>
        <w:gridCol w:w="142"/>
        <w:gridCol w:w="2527"/>
        <w:gridCol w:w="4915"/>
        <w:gridCol w:w="3813"/>
        <w:gridCol w:w="148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污染源</w:t>
            </w: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治理对象</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主要设施</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处理效果</w:t>
            </w:r>
          </w:p>
        </w:tc>
        <w:tc>
          <w:tcPr>
            <w:tcW w:w="52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投资</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5000" w:type="pct"/>
            <w:gridSpan w:val="6"/>
            <w:tcBorders>
              <w:right w:val="single" w:color="auto" w:sz="4" w:space="0"/>
            </w:tcBorders>
            <w:noWrap w:val="0"/>
            <w:vAlign w:val="center"/>
          </w:tcPr>
          <w:p>
            <w:pPr>
              <w:pStyle w:val="89"/>
              <w:spacing w:line="240" w:lineRule="auto"/>
              <w:rPr>
                <w:rFonts w:eastAsia="宋体"/>
                <w:color w:val="auto"/>
                <w:sz w:val="21"/>
                <w:szCs w:val="21"/>
              </w:rPr>
            </w:pPr>
            <w:r>
              <w:rPr>
                <w:rFonts w:hint="eastAsia" w:eastAsia="宋体"/>
                <w:color w:val="auto"/>
                <w:sz w:val="21"/>
                <w:szCs w:val="21"/>
                <w:lang w:val="en-US" w:eastAsia="zh-CN"/>
              </w:rPr>
              <w:t>一、</w:t>
            </w:r>
            <w:r>
              <w:rPr>
                <w:rFonts w:eastAsia="宋体"/>
                <w:color w:val="auto"/>
                <w:sz w:val="21"/>
                <w:szCs w:val="21"/>
              </w:rPr>
              <w:t>施工期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restar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废水</w:t>
            </w: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施工生活污水</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化粪池预处理</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满足</w:t>
            </w:r>
            <w:r>
              <w:rPr>
                <w:rFonts w:hint="eastAsia" w:eastAsia="宋体"/>
                <w:color w:val="auto"/>
                <w:sz w:val="21"/>
                <w:szCs w:val="21"/>
                <w:lang w:eastAsia="zh-CN"/>
              </w:rPr>
              <w:t>十五里河污水处理厂</w:t>
            </w:r>
            <w:r>
              <w:rPr>
                <w:rFonts w:eastAsia="宋体"/>
                <w:color w:val="auto"/>
                <w:sz w:val="21"/>
                <w:szCs w:val="21"/>
              </w:rPr>
              <w:t>接管标准</w:t>
            </w:r>
          </w:p>
        </w:tc>
        <w:tc>
          <w:tcPr>
            <w:tcW w:w="523" w:type="pct"/>
            <w:tcBorders>
              <w:right w:val="single" w:color="auto" w:sz="4" w:space="0"/>
            </w:tcBorders>
            <w:noWrap w:val="0"/>
            <w:vAlign w:val="center"/>
          </w:tcPr>
          <w:p>
            <w:pPr>
              <w:pStyle w:val="89"/>
              <w:spacing w:line="240" w:lineRule="auto"/>
              <w:rPr>
                <w:rFonts w:hint="eastAsia" w:eastAsia="宋体"/>
                <w:color w:val="auto"/>
                <w:sz w:val="21"/>
                <w:szCs w:val="21"/>
                <w:lang w:val="en-US" w:eastAsia="zh-CN"/>
              </w:rPr>
            </w:pPr>
            <w:r>
              <w:rPr>
                <w:rFonts w:hint="eastAsia" w:eastAsia="宋体"/>
                <w:color w:val="auto"/>
                <w:sz w:val="21"/>
                <w:szCs w:val="21"/>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continue"/>
            <w:tcBorders>
              <w:right w:val="single" w:color="auto" w:sz="4" w:space="0"/>
            </w:tcBorders>
            <w:noWrap w:val="0"/>
            <w:vAlign w:val="center"/>
          </w:tcPr>
          <w:p>
            <w:pPr>
              <w:pStyle w:val="89"/>
              <w:spacing w:line="240" w:lineRule="auto"/>
              <w:rPr>
                <w:rFonts w:eastAsia="宋体"/>
                <w:color w:val="auto"/>
                <w:sz w:val="21"/>
                <w:szCs w:val="21"/>
              </w:rPr>
            </w:pP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施工废水</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经沉淀池处理后回用</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不外排</w:t>
            </w:r>
          </w:p>
        </w:tc>
        <w:tc>
          <w:tcPr>
            <w:tcW w:w="523" w:type="pct"/>
            <w:tcBorders>
              <w:right w:val="single" w:color="auto" w:sz="4" w:space="0"/>
            </w:tcBorders>
            <w:noWrap w:val="0"/>
            <w:vAlign w:val="center"/>
          </w:tcPr>
          <w:p>
            <w:pPr>
              <w:pStyle w:val="89"/>
              <w:spacing w:line="240" w:lineRule="auto"/>
              <w:rPr>
                <w:rFonts w:hint="eastAsia" w:eastAsia="宋体"/>
                <w:color w:val="auto"/>
                <w:sz w:val="21"/>
                <w:szCs w:val="21"/>
                <w:lang w:eastAsia="zh-CN"/>
              </w:rPr>
            </w:pPr>
            <w:r>
              <w:rPr>
                <w:rFonts w:hint="eastAsia" w:eastAsia="宋体"/>
                <w:color w:val="auto"/>
                <w:sz w:val="21"/>
                <w:szCs w:val="21"/>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废气</w:t>
            </w: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扬尘</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洒水抑尘，</w:t>
            </w:r>
            <w:r>
              <w:rPr>
                <w:rFonts w:hint="eastAsia" w:eastAsia="宋体"/>
                <w:color w:val="auto"/>
                <w:sz w:val="21"/>
                <w:szCs w:val="21"/>
                <w:lang w:val="en-US" w:eastAsia="zh-CN"/>
              </w:rPr>
              <w:t>施工现场周围</w:t>
            </w:r>
            <w:r>
              <w:rPr>
                <w:rFonts w:eastAsia="宋体"/>
                <w:color w:val="auto"/>
                <w:sz w:val="21"/>
                <w:szCs w:val="21"/>
              </w:rPr>
              <w:t>实施封闭围挡、道路硬化、材料堆放遮盖、进出车辆冲洗</w:t>
            </w:r>
            <w:r>
              <w:rPr>
                <w:rFonts w:hint="eastAsia" w:eastAsia="宋体" w:cs="宋体"/>
                <w:color w:val="auto"/>
                <w:sz w:val="21"/>
                <w:szCs w:val="21"/>
                <w:lang w:eastAsia="zh-CN"/>
              </w:rPr>
              <w:t>；</w:t>
            </w:r>
            <w:r>
              <w:rPr>
                <w:rFonts w:eastAsia="宋体"/>
                <w:color w:val="auto"/>
                <w:sz w:val="21"/>
                <w:szCs w:val="21"/>
              </w:rPr>
              <w:t>物料、渣土、垃圾运输车辆采用密闭车斗</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减少施工扬尘的影响</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53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噪声</w:t>
            </w: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施工噪声</w:t>
            </w:r>
          </w:p>
        </w:tc>
        <w:tc>
          <w:tcPr>
            <w:tcW w:w="1735" w:type="pct"/>
            <w:tcBorders>
              <w:left w:val="single" w:color="auto" w:sz="4" w:space="0"/>
            </w:tcBorders>
            <w:noWrap w:val="0"/>
            <w:vAlign w:val="center"/>
          </w:tcPr>
          <w:p>
            <w:pPr>
              <w:pStyle w:val="89"/>
              <w:spacing w:line="240" w:lineRule="auto"/>
              <w:rPr>
                <w:rFonts w:hint="eastAsia" w:eastAsia="宋体"/>
                <w:color w:val="auto"/>
                <w:sz w:val="21"/>
                <w:szCs w:val="21"/>
                <w:lang w:eastAsia="zh-CN"/>
              </w:rPr>
            </w:pPr>
            <w:r>
              <w:rPr>
                <w:rFonts w:eastAsia="宋体"/>
                <w:color w:val="auto"/>
                <w:sz w:val="21"/>
                <w:szCs w:val="21"/>
              </w:rPr>
              <w:t>四周设置围挡，选用低噪声施工设备，合理布置高噪声设备，远离场界</w:t>
            </w:r>
            <w:r>
              <w:rPr>
                <w:rFonts w:hint="eastAsia" w:eastAsia="宋体" w:cs="宋体"/>
                <w:color w:val="auto"/>
                <w:sz w:val="21"/>
                <w:szCs w:val="21"/>
                <w:lang w:eastAsia="zh-CN"/>
              </w:rPr>
              <w:t>；</w:t>
            </w:r>
            <w:r>
              <w:rPr>
                <w:rFonts w:eastAsia="宋体"/>
                <w:color w:val="auto"/>
                <w:sz w:val="21"/>
                <w:szCs w:val="21"/>
              </w:rPr>
              <w:t>在施工场地靠近南侧敏感点的地方设立临时声屏障</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确保场界满足《建筑施工场界环境噪声排放标准》（GB12523-2011）限值要求</w:t>
            </w:r>
          </w:p>
        </w:tc>
        <w:tc>
          <w:tcPr>
            <w:tcW w:w="52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30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restar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固废</w:t>
            </w: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生活垃圾</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集中收集后委托环卫部门清运</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不外排</w:t>
            </w:r>
          </w:p>
        </w:tc>
        <w:tc>
          <w:tcPr>
            <w:tcW w:w="52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continue"/>
            <w:tcBorders>
              <w:right w:val="single" w:color="auto" w:sz="4" w:space="0"/>
            </w:tcBorders>
            <w:noWrap w:val="0"/>
            <w:vAlign w:val="center"/>
          </w:tcPr>
          <w:p>
            <w:pPr>
              <w:pStyle w:val="89"/>
              <w:spacing w:line="240" w:lineRule="auto"/>
              <w:rPr>
                <w:rFonts w:eastAsia="宋体"/>
                <w:color w:val="auto"/>
                <w:sz w:val="21"/>
                <w:szCs w:val="21"/>
              </w:rPr>
            </w:pPr>
          </w:p>
        </w:tc>
        <w:tc>
          <w:tcPr>
            <w:tcW w:w="941" w:type="pct"/>
            <w:gridSpan w:val="2"/>
            <w:tcBorders>
              <w:left w:val="single" w:color="auto" w:sz="4" w:space="0"/>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建筑垃圾和弃土</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按要求运至市容部门指定的履行手续的合法弃土场</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w:t>
            </w:r>
          </w:p>
        </w:tc>
        <w:tc>
          <w:tcPr>
            <w:tcW w:w="52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1395" w:type="pct"/>
            <w:gridSpan w:val="3"/>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水土保持措施</w:t>
            </w:r>
          </w:p>
        </w:tc>
        <w:tc>
          <w:tcPr>
            <w:tcW w:w="1735" w:type="pct"/>
            <w:tcBorders>
              <w:lef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修筑排水沟、沉淀塘以及覆土绿化</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减少水土流失</w:t>
            </w:r>
          </w:p>
        </w:tc>
        <w:tc>
          <w:tcPr>
            <w:tcW w:w="52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5000" w:type="pct"/>
            <w:gridSpan w:val="6"/>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二、运营期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tcBorders>
              <w:right w:val="single" w:color="auto" w:sz="4" w:space="0"/>
            </w:tcBorders>
            <w:noWrap w:val="0"/>
            <w:vAlign w:val="center"/>
          </w:tcPr>
          <w:p>
            <w:pPr>
              <w:pStyle w:val="89"/>
              <w:spacing w:line="240" w:lineRule="auto"/>
              <w:rPr>
                <w:rFonts w:eastAsia="宋体"/>
                <w:color w:val="auto"/>
                <w:sz w:val="21"/>
                <w:szCs w:val="21"/>
              </w:rPr>
            </w:pPr>
            <w:r>
              <w:rPr>
                <w:rFonts w:eastAsia="宋体"/>
                <w:color w:val="auto"/>
                <w:sz w:val="21"/>
                <w:szCs w:val="21"/>
              </w:rPr>
              <w:t>废水</w:t>
            </w:r>
          </w:p>
        </w:tc>
        <w:tc>
          <w:tcPr>
            <w:tcW w:w="941" w:type="pct"/>
            <w:gridSpan w:val="2"/>
            <w:tcBorders>
              <w:bottom w:val="single" w:color="auto" w:sz="4" w:space="0"/>
              <w:right w:val="single" w:color="auto" w:sz="4" w:space="0"/>
            </w:tcBorders>
            <w:noWrap w:val="0"/>
            <w:vAlign w:val="center"/>
          </w:tcPr>
          <w:p>
            <w:pPr>
              <w:pStyle w:val="89"/>
              <w:spacing w:line="240" w:lineRule="auto"/>
              <w:ind w:firstLine="0" w:firstLineChars="0"/>
              <w:rPr>
                <w:rFonts w:hint="default" w:ascii="Times New Roman" w:hAnsi="Times New Roman" w:eastAsia="宋体"/>
                <w:color w:val="auto"/>
                <w:kern w:val="2"/>
                <w:sz w:val="21"/>
                <w:szCs w:val="21"/>
                <w:lang w:val="en-US" w:eastAsia="zh-CN" w:bidi="ar-SA"/>
              </w:rPr>
            </w:pPr>
            <w:r>
              <w:rPr>
                <w:rFonts w:eastAsia="宋体"/>
                <w:color w:val="auto"/>
                <w:sz w:val="21"/>
                <w:szCs w:val="21"/>
              </w:rPr>
              <w:t>生活污水</w:t>
            </w:r>
            <w:r>
              <w:rPr>
                <w:rFonts w:hint="eastAsia" w:eastAsia="宋体"/>
                <w:color w:val="auto"/>
                <w:sz w:val="21"/>
                <w:szCs w:val="21"/>
                <w:lang w:eastAsia="zh-CN"/>
              </w:rPr>
              <w:t>、</w:t>
            </w:r>
            <w:r>
              <w:rPr>
                <w:rFonts w:hint="eastAsia" w:eastAsia="宋体"/>
                <w:color w:val="auto"/>
                <w:sz w:val="21"/>
                <w:szCs w:val="21"/>
                <w:lang w:val="en-US" w:eastAsia="zh-CN"/>
              </w:rPr>
              <w:t>食堂废水、</w:t>
            </w:r>
            <w:r>
              <w:rPr>
                <w:rFonts w:eastAsia="宋体"/>
                <w:color w:val="auto"/>
                <w:sz w:val="21"/>
                <w:szCs w:val="21"/>
              </w:rPr>
              <w:t>门诊、急诊、手术室等医疗废水</w:t>
            </w:r>
          </w:p>
        </w:tc>
        <w:tc>
          <w:tcPr>
            <w:tcW w:w="1735" w:type="pct"/>
            <w:tcBorders>
              <w:left w:val="single" w:color="auto" w:sz="4" w:space="0"/>
              <w:bottom w:val="single" w:color="auto" w:sz="4" w:space="0"/>
            </w:tcBorders>
            <w:noWrap w:val="0"/>
            <w:vAlign w:val="center"/>
          </w:tcPr>
          <w:p>
            <w:pPr>
              <w:pStyle w:val="89"/>
              <w:spacing w:line="240" w:lineRule="auto"/>
              <w:ind w:firstLine="0" w:firstLineChars="0"/>
              <w:rPr>
                <w:rFonts w:hint="default" w:ascii="Times New Roman" w:hAnsi="Times New Roman" w:eastAsia="宋体"/>
                <w:color w:val="auto"/>
                <w:kern w:val="2"/>
                <w:sz w:val="21"/>
                <w:szCs w:val="21"/>
                <w:lang w:val="en-US" w:eastAsia="zh-CN" w:bidi="ar-SA"/>
              </w:rPr>
            </w:pPr>
            <w:r>
              <w:rPr>
                <w:rFonts w:eastAsia="宋体"/>
                <w:color w:val="auto"/>
                <w:sz w:val="21"/>
                <w:szCs w:val="21"/>
              </w:rPr>
              <w:t>化粪池</w:t>
            </w:r>
            <w:r>
              <w:rPr>
                <w:rFonts w:hint="eastAsia" w:eastAsia="宋体"/>
                <w:color w:val="auto"/>
                <w:sz w:val="21"/>
                <w:szCs w:val="21"/>
                <w:lang w:eastAsia="zh-CN"/>
              </w:rPr>
              <w:t>、</w:t>
            </w:r>
            <w:r>
              <w:rPr>
                <w:rFonts w:hint="eastAsia" w:eastAsia="宋体"/>
                <w:color w:val="auto"/>
                <w:sz w:val="21"/>
                <w:szCs w:val="21"/>
                <w:lang w:val="en-US" w:eastAsia="zh-CN"/>
              </w:rPr>
              <w:t>隔油池、</w:t>
            </w:r>
            <w:r>
              <w:rPr>
                <w:rFonts w:hint="eastAsia" w:eastAsia="宋体"/>
                <w:color w:val="auto"/>
                <w:sz w:val="21"/>
                <w:szCs w:val="21"/>
              </w:rPr>
              <w:t>雨污水管网</w:t>
            </w:r>
            <w:r>
              <w:rPr>
                <w:rFonts w:hint="eastAsia" w:eastAsia="宋体"/>
                <w:color w:val="auto"/>
                <w:sz w:val="21"/>
                <w:szCs w:val="21"/>
                <w:lang w:eastAsia="zh-CN"/>
              </w:rPr>
              <w:t>、</w:t>
            </w:r>
            <w:r>
              <w:rPr>
                <w:rFonts w:hint="eastAsia" w:eastAsia="宋体"/>
                <w:color w:val="auto"/>
                <w:sz w:val="21"/>
                <w:szCs w:val="21"/>
              </w:rPr>
              <w:t>地埋式污水处理站</w:t>
            </w:r>
            <w:r>
              <w:rPr>
                <w:rFonts w:hint="eastAsia" w:eastAsia="宋体"/>
                <w:color w:val="auto"/>
                <w:sz w:val="21"/>
                <w:szCs w:val="21"/>
                <w:lang w:eastAsia="zh-CN"/>
              </w:rPr>
              <w:t>（依托并新建，规模</w:t>
            </w:r>
            <w:r>
              <w:rPr>
                <w:rFonts w:hint="eastAsia" w:eastAsia="宋体"/>
                <w:color w:val="auto"/>
                <w:sz w:val="21"/>
                <w:szCs w:val="21"/>
                <w:lang w:val="en-US" w:eastAsia="zh-CN"/>
              </w:rPr>
              <w:t>2000</w:t>
            </w:r>
            <w:r>
              <w:rPr>
                <w:rFonts w:hint="eastAsia" w:eastAsia="宋体"/>
                <w:color w:val="auto"/>
                <w:sz w:val="21"/>
                <w:szCs w:val="21"/>
                <w:vertAlign w:val="superscript"/>
                <w:lang w:val="en-US" w:eastAsia="zh-CN"/>
              </w:rPr>
              <w:t>3</w:t>
            </w:r>
            <w:r>
              <w:rPr>
                <w:rFonts w:hint="eastAsia" w:eastAsia="宋体"/>
                <w:color w:val="auto"/>
                <w:sz w:val="21"/>
                <w:szCs w:val="21"/>
                <w:lang w:val="en-US" w:eastAsia="zh-CN"/>
              </w:rPr>
              <w:t>/d</w:t>
            </w:r>
            <w:r>
              <w:rPr>
                <w:rFonts w:hint="eastAsia" w:eastAsia="宋体"/>
                <w:color w:val="auto"/>
                <w:sz w:val="21"/>
                <w:szCs w:val="21"/>
                <w:lang w:eastAsia="zh-CN"/>
              </w:rPr>
              <w:t>））、预消毒池（规模</w:t>
            </w:r>
            <w:r>
              <w:rPr>
                <w:rFonts w:hint="eastAsia" w:eastAsia="宋体"/>
                <w:color w:val="auto"/>
                <w:sz w:val="21"/>
                <w:szCs w:val="21"/>
                <w:lang w:val="en-US" w:eastAsia="zh-CN"/>
              </w:rPr>
              <w:t>10</w:t>
            </w:r>
            <w:r>
              <w:rPr>
                <w:rFonts w:hint="eastAsia" w:eastAsia="宋体"/>
                <w:color w:val="auto"/>
                <w:sz w:val="21"/>
                <w:szCs w:val="21"/>
                <w:vertAlign w:val="superscript"/>
                <w:lang w:val="en-US" w:eastAsia="zh-CN"/>
              </w:rPr>
              <w:t>3</w:t>
            </w:r>
            <w:r>
              <w:rPr>
                <w:rFonts w:hint="eastAsia" w:eastAsia="宋体"/>
                <w:color w:val="auto"/>
                <w:sz w:val="21"/>
                <w:szCs w:val="21"/>
                <w:lang w:val="en-US" w:eastAsia="zh-CN"/>
              </w:rPr>
              <w:t>/h</w:t>
            </w:r>
            <w:r>
              <w:rPr>
                <w:rFonts w:hint="eastAsia" w:eastAsia="宋体"/>
                <w:color w:val="auto"/>
                <w:sz w:val="21"/>
                <w:szCs w:val="21"/>
                <w:lang w:eastAsia="zh-CN"/>
              </w:rPr>
              <w:t>）</w:t>
            </w:r>
          </w:p>
        </w:tc>
        <w:tc>
          <w:tcPr>
            <w:tcW w:w="1345" w:type="pct"/>
            <w:noWrap w:val="0"/>
            <w:vAlign w:val="center"/>
          </w:tcPr>
          <w:p>
            <w:pPr>
              <w:pStyle w:val="89"/>
              <w:spacing w:line="240" w:lineRule="auto"/>
              <w:ind w:firstLine="0" w:firstLineChars="0"/>
              <w:rPr>
                <w:rFonts w:hint="eastAsia" w:ascii="Times New Roman" w:hAnsi="Times New Roman" w:eastAsia="宋体"/>
                <w:color w:val="auto"/>
                <w:kern w:val="2"/>
                <w:sz w:val="21"/>
                <w:szCs w:val="21"/>
                <w:lang w:val="en-US" w:eastAsia="zh-CN" w:bidi="ar-SA"/>
              </w:rPr>
            </w:pPr>
            <w:r>
              <w:rPr>
                <w:rFonts w:eastAsia="宋体"/>
                <w:color w:val="auto"/>
                <w:sz w:val="21"/>
                <w:szCs w:val="21"/>
              </w:rPr>
              <w:t>满足《医疗机构水污染物排放标准》（GB18466-2005）表</w:t>
            </w:r>
            <w:r>
              <w:rPr>
                <w:rFonts w:hint="eastAsia" w:eastAsia="宋体"/>
                <w:color w:val="auto"/>
                <w:sz w:val="21"/>
                <w:szCs w:val="21"/>
                <w:lang w:val="en-US" w:eastAsia="zh-CN"/>
              </w:rPr>
              <w:t>2</w:t>
            </w:r>
            <w:r>
              <w:rPr>
                <w:rFonts w:eastAsia="宋体"/>
                <w:color w:val="auto"/>
                <w:sz w:val="21"/>
                <w:szCs w:val="21"/>
              </w:rPr>
              <w:t>预处理</w:t>
            </w:r>
            <w:r>
              <w:rPr>
                <w:rFonts w:hint="eastAsia" w:eastAsia="宋体"/>
                <w:color w:val="auto"/>
                <w:sz w:val="21"/>
                <w:szCs w:val="21"/>
                <w:lang w:eastAsia="zh-CN"/>
              </w:rPr>
              <w:t>及十五里河污水处理厂接管</w:t>
            </w:r>
            <w:r>
              <w:rPr>
                <w:rFonts w:eastAsia="宋体"/>
                <w:color w:val="auto"/>
                <w:sz w:val="21"/>
                <w:szCs w:val="21"/>
              </w:rPr>
              <w:t>标准</w:t>
            </w:r>
          </w:p>
        </w:tc>
        <w:tc>
          <w:tcPr>
            <w:tcW w:w="523" w:type="pct"/>
            <w:tcBorders>
              <w:bottom w:val="single" w:color="auto" w:sz="4" w:space="0"/>
              <w:right w:val="single" w:color="auto" w:sz="4" w:space="0"/>
            </w:tcBorders>
            <w:noWrap w:val="0"/>
            <w:vAlign w:val="center"/>
          </w:tcPr>
          <w:p>
            <w:pPr>
              <w:pStyle w:val="89"/>
              <w:spacing w:line="240" w:lineRule="auto"/>
              <w:ind w:firstLine="0" w:firstLineChars="0"/>
              <w:rPr>
                <w:rFonts w:hint="default" w:ascii="Times New Roman" w:hAnsi="Times New Roman" w:eastAsia="宋体"/>
                <w:color w:val="auto"/>
                <w:kern w:val="2"/>
                <w:sz w:val="21"/>
                <w:szCs w:val="21"/>
                <w:lang w:val="en-US" w:eastAsia="zh-CN" w:bidi="ar-SA"/>
              </w:rPr>
            </w:pPr>
            <w:r>
              <w:rPr>
                <w:rFonts w:hint="eastAsia" w:eastAsia="宋体"/>
                <w:color w:val="auto"/>
                <w:sz w:val="21"/>
                <w:szCs w:val="21"/>
                <w:lang w:val="en-US" w:eastAsia="zh-CN"/>
              </w:rPr>
              <w:t>180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restart"/>
            <w:noWrap w:val="0"/>
            <w:vAlign w:val="center"/>
          </w:tcPr>
          <w:p>
            <w:pPr>
              <w:pStyle w:val="89"/>
              <w:spacing w:line="240" w:lineRule="auto"/>
              <w:rPr>
                <w:rFonts w:eastAsia="宋体"/>
                <w:color w:val="auto"/>
                <w:sz w:val="21"/>
                <w:szCs w:val="21"/>
              </w:rPr>
            </w:pPr>
            <w:r>
              <w:rPr>
                <w:rFonts w:eastAsia="宋体"/>
                <w:color w:val="auto"/>
                <w:sz w:val="21"/>
                <w:szCs w:val="21"/>
              </w:rPr>
              <w:t>废气</w:t>
            </w:r>
          </w:p>
        </w:tc>
        <w:tc>
          <w:tcPr>
            <w:tcW w:w="941" w:type="pct"/>
            <w:gridSpan w:val="2"/>
            <w:noWrap w:val="0"/>
            <w:vAlign w:val="center"/>
          </w:tcPr>
          <w:p>
            <w:pPr>
              <w:pStyle w:val="89"/>
              <w:spacing w:line="240" w:lineRule="auto"/>
              <w:rPr>
                <w:rFonts w:eastAsia="宋体"/>
                <w:color w:val="auto"/>
                <w:sz w:val="21"/>
                <w:szCs w:val="21"/>
              </w:rPr>
            </w:pPr>
            <w:r>
              <w:rPr>
                <w:rFonts w:eastAsia="宋体"/>
                <w:color w:val="auto"/>
                <w:sz w:val="21"/>
                <w:szCs w:val="21"/>
              </w:rPr>
              <w:t>柴油燃烧废气</w:t>
            </w:r>
          </w:p>
        </w:tc>
        <w:tc>
          <w:tcPr>
            <w:tcW w:w="1735" w:type="pct"/>
            <w:noWrap w:val="0"/>
            <w:vAlign w:val="center"/>
          </w:tcPr>
          <w:p>
            <w:pPr>
              <w:pStyle w:val="89"/>
              <w:spacing w:line="240" w:lineRule="auto"/>
              <w:rPr>
                <w:rFonts w:eastAsia="宋体"/>
                <w:color w:val="auto"/>
                <w:sz w:val="21"/>
                <w:szCs w:val="21"/>
              </w:rPr>
            </w:pPr>
            <w:r>
              <w:rPr>
                <w:rFonts w:eastAsia="宋体"/>
                <w:color w:val="auto"/>
                <w:sz w:val="21"/>
                <w:szCs w:val="21"/>
              </w:rPr>
              <w:t>应急发电机房燃烧柴油产生的烟气经尾气净化系统（DPF黑烟颗粒捕捉器）处理后，</w:t>
            </w:r>
            <w:r>
              <w:rPr>
                <w:rFonts w:eastAsia="宋体"/>
                <w:color w:val="auto"/>
                <w:sz w:val="21"/>
                <w:szCs w:val="21"/>
                <w:highlight w:val="none"/>
              </w:rPr>
              <w:t>尾气引至</w:t>
            </w:r>
            <w:r>
              <w:rPr>
                <w:rFonts w:hint="eastAsia" w:eastAsia="宋体"/>
                <w:color w:val="auto"/>
                <w:sz w:val="21"/>
                <w:szCs w:val="21"/>
                <w:highlight w:val="none"/>
                <w:lang w:eastAsia="zh-CN"/>
              </w:rPr>
              <w:t>医技综合楼南楼</w:t>
            </w:r>
            <w:r>
              <w:rPr>
                <w:rFonts w:eastAsia="宋体"/>
                <w:color w:val="auto"/>
                <w:sz w:val="21"/>
                <w:szCs w:val="21"/>
                <w:highlight w:val="none"/>
              </w:rPr>
              <w:t>楼顶排放</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对区域环境影响较小</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40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073" w:hRule="atLeast"/>
          <w:jc w:val="center"/>
        </w:trPr>
        <w:tc>
          <w:tcPr>
            <w:tcW w:w="453" w:type="pct"/>
            <w:vMerge w:val="continue"/>
            <w:noWrap w:val="0"/>
            <w:vAlign w:val="center"/>
          </w:tcPr>
          <w:p>
            <w:pPr>
              <w:pStyle w:val="89"/>
              <w:spacing w:line="240" w:lineRule="auto"/>
              <w:rPr>
                <w:rFonts w:eastAsia="宋体"/>
                <w:color w:val="auto"/>
                <w:sz w:val="21"/>
                <w:szCs w:val="21"/>
              </w:rPr>
            </w:pPr>
          </w:p>
        </w:tc>
        <w:tc>
          <w:tcPr>
            <w:tcW w:w="941" w:type="pct"/>
            <w:gridSpan w:val="2"/>
            <w:noWrap w:val="0"/>
            <w:vAlign w:val="center"/>
          </w:tcPr>
          <w:p>
            <w:pPr>
              <w:pStyle w:val="89"/>
              <w:spacing w:line="240" w:lineRule="auto"/>
              <w:rPr>
                <w:rFonts w:eastAsia="宋体"/>
                <w:color w:val="auto"/>
                <w:sz w:val="21"/>
                <w:szCs w:val="21"/>
              </w:rPr>
            </w:pPr>
            <w:r>
              <w:rPr>
                <w:rFonts w:hint="eastAsia" w:eastAsia="宋体"/>
                <w:color w:val="auto"/>
                <w:sz w:val="21"/>
                <w:szCs w:val="21"/>
              </w:rPr>
              <w:t>污水处理站恶臭</w:t>
            </w:r>
          </w:p>
        </w:tc>
        <w:tc>
          <w:tcPr>
            <w:tcW w:w="1735" w:type="pct"/>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eastAsia="zh-CN"/>
              </w:rPr>
              <w:t>废气经密闭收集引入生物滤池装置</w:t>
            </w:r>
            <w:r>
              <w:rPr>
                <w:rFonts w:hint="eastAsia" w:eastAsia="宋体"/>
                <w:color w:val="auto"/>
                <w:sz w:val="21"/>
                <w:szCs w:val="21"/>
              </w:rPr>
              <w:t>处理</w:t>
            </w:r>
            <w:r>
              <w:rPr>
                <w:rFonts w:hint="eastAsia" w:eastAsia="宋体"/>
                <w:color w:val="auto"/>
                <w:sz w:val="21"/>
                <w:szCs w:val="21"/>
                <w:highlight w:val="none"/>
                <w:lang w:val="en-US" w:eastAsia="zh-CN"/>
              </w:rPr>
              <w:t>，通过15m排气筒排放</w:t>
            </w:r>
          </w:p>
        </w:tc>
        <w:tc>
          <w:tcPr>
            <w:tcW w:w="1345" w:type="pct"/>
            <w:noWrap w:val="0"/>
            <w:vAlign w:val="center"/>
          </w:tcPr>
          <w:p>
            <w:pPr>
              <w:pStyle w:val="89"/>
              <w:spacing w:line="240" w:lineRule="auto"/>
              <w:rPr>
                <w:rFonts w:hint="default" w:eastAsia="宋体"/>
                <w:color w:val="auto"/>
                <w:sz w:val="21"/>
                <w:szCs w:val="21"/>
                <w:lang w:val="en-US" w:eastAsia="zh-CN"/>
              </w:rPr>
            </w:pPr>
            <w:r>
              <w:rPr>
                <w:rFonts w:hint="default" w:ascii="Times New Roman" w:hAnsi="Times New Roman" w:eastAsia="宋体" w:cs="Times New Roman"/>
                <w:color w:val="auto"/>
                <w:sz w:val="21"/>
                <w:szCs w:val="21"/>
              </w:rPr>
              <w:t>满足</w:t>
            </w:r>
            <w:r>
              <w:rPr>
                <w:rFonts w:hint="default" w:ascii="Times New Roman" w:hAnsi="Times New Roman" w:eastAsia="宋体" w:cs="Times New Roman"/>
                <w:color w:val="auto"/>
                <w:sz w:val="21"/>
                <w:szCs w:val="21"/>
                <w:highlight w:val="none"/>
              </w:rPr>
              <w:t>《恶臭污染物排放标准》（GB14554-93）表2</w:t>
            </w:r>
            <w:r>
              <w:rPr>
                <w:rFonts w:hint="default"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z w:val="21"/>
                <w:szCs w:val="21"/>
              </w:rPr>
              <w:t>《医疗机构水污染物排放标准》（GB18466</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2005）</w:t>
            </w:r>
            <w:r>
              <w:rPr>
                <w:rFonts w:hint="default" w:ascii="Times New Roman" w:hAnsi="Times New Roman" w:eastAsia="宋体" w:cs="Times New Roman"/>
                <w:color w:val="auto"/>
                <w:sz w:val="21"/>
                <w:szCs w:val="21"/>
                <w:lang w:val="en-US" w:eastAsia="zh-CN"/>
              </w:rPr>
              <w:t>限值要求</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40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continue"/>
            <w:noWrap w:val="0"/>
            <w:vAlign w:val="center"/>
          </w:tcPr>
          <w:p>
            <w:pPr>
              <w:pStyle w:val="89"/>
              <w:spacing w:line="240" w:lineRule="auto"/>
              <w:rPr>
                <w:rFonts w:eastAsia="宋体"/>
                <w:color w:val="auto"/>
                <w:sz w:val="21"/>
                <w:szCs w:val="21"/>
              </w:rPr>
            </w:pPr>
          </w:p>
        </w:tc>
        <w:tc>
          <w:tcPr>
            <w:tcW w:w="941" w:type="pct"/>
            <w:gridSpan w:val="2"/>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天然气燃烧废气</w:t>
            </w:r>
          </w:p>
        </w:tc>
        <w:tc>
          <w:tcPr>
            <w:tcW w:w="1735" w:type="pct"/>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highlight w:val="none"/>
                <w:lang w:val="en-US" w:eastAsia="zh-CN"/>
              </w:rPr>
              <w:t>低氮燃烧器，引至门急诊医技楼楼顶排放</w:t>
            </w:r>
          </w:p>
        </w:tc>
        <w:tc>
          <w:tcPr>
            <w:tcW w:w="1345" w:type="pct"/>
            <w:noWrap w:val="0"/>
            <w:vAlign w:val="center"/>
          </w:tcPr>
          <w:p>
            <w:pPr>
              <w:pStyle w:val="89"/>
              <w:spacing w:line="240" w:lineRule="auto"/>
              <w:rPr>
                <w:rFonts w:hint="default" w:eastAsia="宋体"/>
                <w:color w:val="auto"/>
                <w:sz w:val="21"/>
                <w:szCs w:val="21"/>
                <w:lang w:val="en-US" w:eastAsia="zh-CN"/>
              </w:rPr>
            </w:pPr>
            <w:r>
              <w:rPr>
                <w:rFonts w:hint="default" w:ascii="Times New Roman" w:hAnsi="Times New Roman" w:eastAsia="宋体" w:cs="Times New Roman"/>
                <w:color w:val="auto"/>
                <w:sz w:val="21"/>
                <w:szCs w:val="21"/>
                <w:lang w:val="en-US" w:eastAsia="zh-CN"/>
              </w:rPr>
              <w:t>《锅炉大气污染物排放标准》（GB13271-2014）表3大气污染物特别排放限值，其中</w:t>
            </w:r>
            <w:r>
              <w:rPr>
                <w:rFonts w:hint="default" w:ascii="Times New Roman" w:hAnsi="Times New Roman" w:eastAsia="宋体" w:cs="Times New Roman"/>
                <w:color w:val="auto"/>
                <w:sz w:val="21"/>
                <w:szCs w:val="21"/>
                <w:highlight w:val="none"/>
                <w:lang w:val="en-US" w:eastAsia="zh-CN"/>
              </w:rPr>
              <w:t>NO</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sz w:val="21"/>
                <w:szCs w:val="21"/>
                <w:highlight w:val="none"/>
                <w:vertAlign w:val="baseline"/>
                <w:lang w:val="en-US" w:eastAsia="zh-CN"/>
              </w:rPr>
              <w:t>满足《安徽省大气办关于印发安徽省2020年大气污染防治重点工作任务的通知》（皖大气办[2020]2号）</w:t>
            </w:r>
            <w:r>
              <w:rPr>
                <w:rFonts w:hint="default" w:ascii="Times New Roman" w:hAnsi="Times New Roman" w:eastAsia="宋体" w:cs="Times New Roman"/>
                <w:color w:val="auto"/>
                <w:kern w:val="2"/>
                <w:sz w:val="21"/>
                <w:szCs w:val="21"/>
                <w:lang w:val="en-US" w:eastAsia="zh-CN" w:bidi="ar"/>
              </w:rPr>
              <w:t>中</w:t>
            </w:r>
            <w:r>
              <w:rPr>
                <w:rFonts w:hint="eastAsia"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NO</w:t>
            </w:r>
            <w:r>
              <w:rPr>
                <w:rFonts w:hint="default" w:ascii="Times New Roman" w:hAnsi="Times New Roman" w:eastAsia="宋体" w:cs="Times New Roman"/>
                <w:color w:val="auto"/>
                <w:kern w:val="2"/>
                <w:sz w:val="21"/>
                <w:szCs w:val="21"/>
                <w:vertAlign w:val="subscript"/>
                <w:lang w:val="en-US" w:eastAsia="zh-CN" w:bidi="ar"/>
              </w:rPr>
              <w:t>X</w:t>
            </w:r>
            <w:r>
              <w:rPr>
                <w:rFonts w:hint="default" w:ascii="Times New Roman" w:hAnsi="Times New Roman" w:eastAsia="宋体" w:cs="Times New Roman"/>
                <w:color w:val="auto"/>
                <w:kern w:val="2"/>
                <w:sz w:val="21"/>
                <w:szCs w:val="21"/>
                <w:lang w:val="en-US" w:eastAsia="zh-CN" w:bidi="ar"/>
              </w:rPr>
              <w:t>排放浓度不高于50毫克/立方米</w:t>
            </w:r>
            <w:r>
              <w:rPr>
                <w:rFonts w:hint="eastAsia"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的要求</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80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53" w:type="pct"/>
            <w:vMerge w:val="continue"/>
            <w:noWrap w:val="0"/>
            <w:vAlign w:val="center"/>
          </w:tcPr>
          <w:p>
            <w:pPr>
              <w:pStyle w:val="89"/>
              <w:spacing w:line="240" w:lineRule="auto"/>
              <w:rPr>
                <w:rFonts w:eastAsia="宋体"/>
                <w:color w:val="auto"/>
                <w:sz w:val="21"/>
                <w:szCs w:val="21"/>
              </w:rPr>
            </w:pPr>
          </w:p>
        </w:tc>
        <w:tc>
          <w:tcPr>
            <w:tcW w:w="941" w:type="pct"/>
            <w:gridSpan w:val="2"/>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食堂油烟废气</w:t>
            </w:r>
          </w:p>
        </w:tc>
        <w:tc>
          <w:tcPr>
            <w:tcW w:w="1735" w:type="pct"/>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油烟净化器</w:t>
            </w:r>
          </w:p>
        </w:tc>
        <w:tc>
          <w:tcPr>
            <w:tcW w:w="1345" w:type="pct"/>
            <w:noWrap w:val="0"/>
            <w:vAlign w:val="center"/>
          </w:tcPr>
          <w:p>
            <w:pPr>
              <w:pStyle w:val="89"/>
              <w:spacing w:line="240" w:lineRule="auto"/>
              <w:rPr>
                <w:rFonts w:hint="eastAsia" w:eastAsia="宋体"/>
                <w:color w:val="auto"/>
                <w:sz w:val="21"/>
                <w:szCs w:val="21"/>
                <w:lang w:val="en-US" w:eastAsia="zh-CN"/>
              </w:rPr>
            </w:pPr>
            <w:r>
              <w:rPr>
                <w:rFonts w:hint="eastAsia" w:eastAsia="宋体"/>
                <w:color w:val="auto"/>
                <w:sz w:val="21"/>
                <w:szCs w:val="21"/>
                <w:lang w:val="en-US" w:eastAsia="zh-CN"/>
              </w:rPr>
              <w:t>满足</w:t>
            </w:r>
            <w:r>
              <w:rPr>
                <w:rFonts w:hint="default" w:eastAsia="宋体"/>
                <w:color w:val="auto"/>
                <w:sz w:val="21"/>
                <w:szCs w:val="21"/>
                <w:lang w:val="en-US" w:eastAsia="zh-CN"/>
              </w:rPr>
              <w:t>《饮食业油烟排放标准》（GB18483-2001）</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依托现有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53" w:type="pct"/>
            <w:noWrap w:val="0"/>
            <w:vAlign w:val="center"/>
          </w:tcPr>
          <w:p>
            <w:pPr>
              <w:pStyle w:val="89"/>
              <w:spacing w:line="240" w:lineRule="auto"/>
              <w:rPr>
                <w:rFonts w:eastAsia="宋体"/>
                <w:color w:val="auto"/>
                <w:sz w:val="21"/>
                <w:szCs w:val="21"/>
              </w:rPr>
            </w:pPr>
            <w:r>
              <w:rPr>
                <w:rFonts w:eastAsia="宋体"/>
                <w:color w:val="auto"/>
                <w:sz w:val="21"/>
                <w:szCs w:val="21"/>
              </w:rPr>
              <w:t>噪声</w:t>
            </w:r>
          </w:p>
        </w:tc>
        <w:tc>
          <w:tcPr>
            <w:tcW w:w="941" w:type="pct"/>
            <w:gridSpan w:val="2"/>
            <w:noWrap w:val="0"/>
            <w:vAlign w:val="center"/>
          </w:tcPr>
          <w:p>
            <w:pPr>
              <w:pStyle w:val="89"/>
              <w:spacing w:line="240" w:lineRule="auto"/>
              <w:rPr>
                <w:rFonts w:eastAsia="宋体"/>
                <w:color w:val="auto"/>
                <w:sz w:val="21"/>
                <w:szCs w:val="21"/>
              </w:rPr>
            </w:pPr>
            <w:r>
              <w:rPr>
                <w:rFonts w:eastAsia="宋体"/>
                <w:color w:val="auto"/>
                <w:sz w:val="21"/>
                <w:szCs w:val="21"/>
              </w:rPr>
              <w:t>高噪声设备</w:t>
            </w:r>
          </w:p>
        </w:tc>
        <w:tc>
          <w:tcPr>
            <w:tcW w:w="1735" w:type="pct"/>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eastAsia="zh-CN"/>
              </w:rPr>
              <w:t>空调机组、</w:t>
            </w:r>
            <w:r>
              <w:rPr>
                <w:rFonts w:eastAsia="宋体"/>
                <w:color w:val="auto"/>
                <w:sz w:val="21"/>
                <w:szCs w:val="21"/>
              </w:rPr>
              <w:t>配电房设备和水泵采用基础采取减振措施，并且单独置于专门设备房内，设备房采取隔声窗和在墙体内侧敷设吸声材料</w:t>
            </w:r>
            <w:r>
              <w:rPr>
                <w:rFonts w:hint="eastAsia" w:eastAsia="宋体" w:cs="宋体"/>
                <w:color w:val="auto"/>
                <w:sz w:val="21"/>
                <w:szCs w:val="21"/>
                <w:lang w:eastAsia="zh-CN"/>
              </w:rPr>
              <w:t>；</w:t>
            </w:r>
            <w:r>
              <w:rPr>
                <w:rFonts w:eastAsia="宋体"/>
                <w:color w:val="auto"/>
                <w:sz w:val="21"/>
                <w:szCs w:val="21"/>
              </w:rPr>
              <w:t>合理布局地下车库排风口、空调主机，空调主机排风口装设片式消声器，机组外设置为隔声屏障，机组基础采用减震隔声材料</w:t>
            </w:r>
            <w:r>
              <w:rPr>
                <w:rFonts w:hint="eastAsia" w:eastAsia="宋体" w:cs="宋体"/>
                <w:color w:val="auto"/>
                <w:sz w:val="21"/>
                <w:szCs w:val="21"/>
                <w:lang w:eastAsia="zh-CN"/>
              </w:rPr>
              <w:t>；</w:t>
            </w:r>
            <w:r>
              <w:rPr>
                <w:rFonts w:hint="eastAsia" w:eastAsia="宋体"/>
                <w:color w:val="auto"/>
                <w:sz w:val="21"/>
                <w:szCs w:val="21"/>
                <w:lang w:val="en-US" w:eastAsia="zh-CN"/>
              </w:rPr>
              <w:t>病房设置隔声玻璃</w:t>
            </w:r>
          </w:p>
        </w:tc>
        <w:tc>
          <w:tcPr>
            <w:tcW w:w="1345" w:type="pct"/>
            <w:noWrap w:val="0"/>
            <w:vAlign w:val="center"/>
          </w:tcPr>
          <w:p>
            <w:pPr>
              <w:pStyle w:val="89"/>
              <w:spacing w:line="240" w:lineRule="auto"/>
              <w:rPr>
                <w:rFonts w:eastAsia="宋体"/>
                <w:color w:val="auto"/>
                <w:sz w:val="21"/>
                <w:szCs w:val="21"/>
              </w:rPr>
            </w:pPr>
            <w:r>
              <w:rPr>
                <w:rFonts w:eastAsia="宋体"/>
                <w:color w:val="auto"/>
                <w:sz w:val="21"/>
                <w:szCs w:val="21"/>
              </w:rPr>
              <w:t>满足《工业企业厂界环境噪声排放标准》（GB12348-2008）中的2类</w:t>
            </w:r>
            <w:r>
              <w:rPr>
                <w:rFonts w:hint="eastAsia" w:eastAsia="宋体"/>
                <w:color w:val="auto"/>
                <w:sz w:val="21"/>
                <w:szCs w:val="21"/>
                <w:lang w:val="en-US" w:eastAsia="zh-CN"/>
              </w:rPr>
              <w:t>及4类</w:t>
            </w:r>
            <w:r>
              <w:rPr>
                <w:rFonts w:eastAsia="宋体"/>
                <w:color w:val="auto"/>
                <w:sz w:val="21"/>
                <w:szCs w:val="21"/>
              </w:rPr>
              <w:t>标准</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140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1395" w:type="pct"/>
            <w:gridSpan w:val="3"/>
            <w:vMerge w:val="restart"/>
            <w:noWrap w:val="0"/>
            <w:vAlign w:val="center"/>
          </w:tcPr>
          <w:p>
            <w:pPr>
              <w:pStyle w:val="89"/>
              <w:spacing w:line="240" w:lineRule="auto"/>
              <w:rPr>
                <w:rFonts w:eastAsia="宋体"/>
                <w:color w:val="auto"/>
                <w:sz w:val="21"/>
                <w:szCs w:val="21"/>
              </w:rPr>
            </w:pPr>
            <w:r>
              <w:rPr>
                <w:rFonts w:eastAsia="宋体"/>
                <w:color w:val="auto"/>
                <w:sz w:val="21"/>
                <w:szCs w:val="21"/>
              </w:rPr>
              <w:t>固废</w:t>
            </w:r>
          </w:p>
        </w:tc>
        <w:tc>
          <w:tcPr>
            <w:tcW w:w="3081" w:type="pct"/>
            <w:gridSpan w:val="2"/>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医疗废物暂存间；</w:t>
            </w:r>
            <w:r>
              <w:rPr>
                <w:rFonts w:hint="eastAsia" w:eastAsia="宋体"/>
                <w:color w:val="auto"/>
                <w:sz w:val="21"/>
                <w:szCs w:val="21"/>
                <w:lang w:eastAsia="zh-CN"/>
              </w:rPr>
              <w:t>感染楼及医技综合楼新增若干医疗废物收集点</w:t>
            </w:r>
            <w:r>
              <w:rPr>
                <w:rFonts w:eastAsia="宋体"/>
                <w:color w:val="auto"/>
                <w:sz w:val="21"/>
                <w:szCs w:val="21"/>
              </w:rPr>
              <w:t>，</w:t>
            </w:r>
            <w:r>
              <w:rPr>
                <w:rFonts w:hint="eastAsia" w:eastAsia="宋体"/>
                <w:color w:val="auto"/>
                <w:sz w:val="21"/>
                <w:szCs w:val="21"/>
                <w:lang w:eastAsia="zh-CN"/>
              </w:rPr>
              <w:t>地面防腐、防渗</w:t>
            </w:r>
            <w:r>
              <w:rPr>
                <w:rFonts w:eastAsia="宋体"/>
                <w:color w:val="auto"/>
                <w:sz w:val="21"/>
                <w:szCs w:val="21"/>
              </w:rPr>
              <w:t>处理</w:t>
            </w:r>
            <w:r>
              <w:rPr>
                <w:rFonts w:hint="eastAsia" w:eastAsia="宋体"/>
                <w:color w:val="auto"/>
                <w:sz w:val="21"/>
                <w:szCs w:val="21"/>
                <w:lang w:eastAsia="zh-CN"/>
              </w:rPr>
              <w:t>；各类危废</w:t>
            </w:r>
            <w:r>
              <w:rPr>
                <w:rFonts w:eastAsia="宋体"/>
                <w:color w:val="auto"/>
                <w:sz w:val="21"/>
                <w:szCs w:val="21"/>
              </w:rPr>
              <w:t>安全分类储存</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1395" w:type="pct"/>
            <w:gridSpan w:val="3"/>
            <w:vMerge w:val="continue"/>
            <w:noWrap w:val="0"/>
            <w:vAlign w:val="center"/>
          </w:tcPr>
          <w:p>
            <w:pPr>
              <w:pStyle w:val="89"/>
              <w:spacing w:line="240" w:lineRule="auto"/>
              <w:rPr>
                <w:rFonts w:eastAsia="宋体"/>
                <w:color w:val="auto"/>
                <w:sz w:val="21"/>
                <w:szCs w:val="21"/>
              </w:rPr>
            </w:pPr>
          </w:p>
        </w:tc>
        <w:tc>
          <w:tcPr>
            <w:tcW w:w="3081" w:type="pct"/>
            <w:gridSpan w:val="2"/>
            <w:noWrap w:val="0"/>
            <w:vAlign w:val="center"/>
          </w:tcPr>
          <w:p>
            <w:pPr>
              <w:pStyle w:val="89"/>
              <w:spacing w:line="240" w:lineRule="auto"/>
              <w:rPr>
                <w:rFonts w:eastAsia="宋体"/>
                <w:color w:val="auto"/>
                <w:sz w:val="21"/>
                <w:szCs w:val="21"/>
              </w:rPr>
            </w:pPr>
            <w:r>
              <w:rPr>
                <w:rFonts w:eastAsia="宋体"/>
                <w:color w:val="auto"/>
                <w:sz w:val="21"/>
                <w:szCs w:val="21"/>
              </w:rPr>
              <w:t>生活垃圾集中收集后由环卫部门清运</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503" w:type="pct"/>
            <w:gridSpan w:val="2"/>
            <w:noWrap w:val="0"/>
            <w:vAlign w:val="center"/>
          </w:tcPr>
          <w:p>
            <w:pPr>
              <w:pStyle w:val="89"/>
              <w:spacing w:line="240" w:lineRule="auto"/>
              <w:rPr>
                <w:rFonts w:eastAsia="宋体"/>
                <w:color w:val="auto"/>
                <w:sz w:val="21"/>
                <w:szCs w:val="21"/>
              </w:rPr>
            </w:pPr>
            <w:r>
              <w:rPr>
                <w:rFonts w:eastAsia="宋体"/>
                <w:color w:val="auto"/>
                <w:sz w:val="21"/>
                <w:szCs w:val="21"/>
              </w:rPr>
              <w:t>地下水</w:t>
            </w:r>
          </w:p>
        </w:tc>
        <w:tc>
          <w:tcPr>
            <w:tcW w:w="891" w:type="pct"/>
            <w:noWrap w:val="0"/>
            <w:vAlign w:val="center"/>
          </w:tcPr>
          <w:p>
            <w:pPr>
              <w:pStyle w:val="89"/>
              <w:spacing w:line="240" w:lineRule="auto"/>
              <w:rPr>
                <w:rFonts w:eastAsia="宋体"/>
                <w:color w:val="auto"/>
                <w:sz w:val="21"/>
                <w:szCs w:val="21"/>
              </w:rPr>
            </w:pPr>
            <w:r>
              <w:rPr>
                <w:rFonts w:eastAsia="宋体"/>
                <w:color w:val="auto"/>
                <w:sz w:val="21"/>
                <w:szCs w:val="21"/>
              </w:rPr>
              <w:t>分区防渗</w:t>
            </w:r>
          </w:p>
        </w:tc>
        <w:tc>
          <w:tcPr>
            <w:tcW w:w="3081" w:type="pct"/>
            <w:gridSpan w:val="2"/>
            <w:noWrap w:val="0"/>
            <w:vAlign w:val="center"/>
          </w:tcPr>
          <w:p>
            <w:pPr>
              <w:pStyle w:val="89"/>
              <w:spacing w:line="240" w:lineRule="auto"/>
              <w:rPr>
                <w:rFonts w:eastAsia="宋体"/>
                <w:color w:val="auto"/>
                <w:sz w:val="21"/>
                <w:szCs w:val="21"/>
              </w:rPr>
            </w:pPr>
            <w:r>
              <w:rPr>
                <w:rFonts w:eastAsia="宋体"/>
                <w:color w:val="auto"/>
                <w:sz w:val="21"/>
                <w:szCs w:val="21"/>
              </w:rPr>
              <w:t>根据区域的不同，采取不同的防渗措施</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500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503" w:type="pct"/>
            <w:gridSpan w:val="2"/>
            <w:noWrap w:val="0"/>
            <w:vAlign w:val="center"/>
          </w:tcPr>
          <w:p>
            <w:pPr>
              <w:pStyle w:val="89"/>
              <w:spacing w:line="240" w:lineRule="auto"/>
              <w:rPr>
                <w:rFonts w:hint="eastAsia" w:eastAsia="宋体"/>
                <w:color w:val="auto"/>
                <w:sz w:val="21"/>
                <w:szCs w:val="21"/>
                <w:lang w:val="en-US" w:eastAsia="zh-CN"/>
              </w:rPr>
            </w:pPr>
            <w:r>
              <w:rPr>
                <w:rFonts w:hint="eastAsia" w:eastAsia="宋体"/>
                <w:color w:val="auto"/>
                <w:sz w:val="21"/>
                <w:szCs w:val="21"/>
                <w:lang w:val="en-US" w:eastAsia="zh-CN"/>
              </w:rPr>
              <w:t>风险</w:t>
            </w:r>
          </w:p>
        </w:tc>
        <w:tc>
          <w:tcPr>
            <w:tcW w:w="3973" w:type="pct"/>
            <w:gridSpan w:val="3"/>
            <w:noWrap w:val="0"/>
            <w:vAlign w:val="center"/>
          </w:tcPr>
          <w:p>
            <w:pPr>
              <w:pStyle w:val="89"/>
              <w:spacing w:line="240" w:lineRule="auto"/>
              <w:rPr>
                <w:rFonts w:hint="default" w:eastAsia="宋体"/>
                <w:color w:val="auto"/>
                <w:sz w:val="21"/>
                <w:szCs w:val="21"/>
                <w:lang w:val="en-US" w:eastAsia="zh-CN"/>
              </w:rPr>
            </w:pPr>
            <w:r>
              <w:rPr>
                <w:rFonts w:hint="default" w:ascii="Times New Roman" w:hAnsi="Times New Roman" w:eastAsia="宋体" w:cs="Times New Roman"/>
                <w:i w:val="0"/>
                <w:color w:val="auto"/>
                <w:sz w:val="21"/>
                <w:szCs w:val="21"/>
                <w:u w:val="none"/>
                <w:lang w:val="en-US" w:eastAsia="zh-CN"/>
              </w:rPr>
              <w:t>本次新建320</w:t>
            </w: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vertAlign w:val="baseline"/>
                <w:lang w:val="en-US" w:eastAsia="zh-CN" w:bidi="ar"/>
              </w:rPr>
              <w:t>应急事故池、420</w:t>
            </w: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vertAlign w:val="baseline"/>
                <w:lang w:val="en-US" w:eastAsia="zh-CN" w:bidi="ar"/>
              </w:rPr>
              <w:t>调节池，配套</w:t>
            </w:r>
            <w:r>
              <w:rPr>
                <w:rFonts w:hint="default" w:ascii="Times New Roman" w:hAnsi="Times New Roman" w:eastAsia="宋体" w:cs="Times New Roman"/>
                <w:i w:val="0"/>
                <w:color w:val="auto"/>
                <w:sz w:val="21"/>
                <w:szCs w:val="21"/>
                <w:u w:val="none"/>
                <w:lang w:val="en-US" w:eastAsia="zh-CN"/>
              </w:rPr>
              <w:t>防腐、防渗措施等（调节池</w:t>
            </w:r>
            <w:r>
              <w:rPr>
                <w:rFonts w:hint="eastAsia" w:ascii="Times New Roman" w:hAnsi="Times New Roman" w:eastAsia="宋体" w:cs="Times New Roman"/>
                <w:i w:val="0"/>
                <w:color w:val="auto"/>
                <w:sz w:val="21"/>
                <w:szCs w:val="21"/>
                <w:u w:val="none"/>
                <w:lang w:val="en-US" w:eastAsia="zh-CN"/>
              </w:rPr>
              <w:t>余量</w:t>
            </w:r>
            <w:r>
              <w:rPr>
                <w:rFonts w:hint="default" w:ascii="Times New Roman" w:hAnsi="Times New Roman" w:eastAsia="宋体" w:cs="Times New Roman"/>
                <w:i w:val="0"/>
                <w:color w:val="auto"/>
                <w:sz w:val="21"/>
                <w:szCs w:val="21"/>
                <w:u w:val="none"/>
                <w:lang w:val="en-US" w:eastAsia="zh-CN"/>
              </w:rPr>
              <w:t>兼具应急事故池功能）</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400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0" w:hRule="atLeast"/>
          <w:jc w:val="center"/>
        </w:trPr>
        <w:tc>
          <w:tcPr>
            <w:tcW w:w="4476" w:type="pct"/>
            <w:gridSpan w:val="5"/>
            <w:noWrap w:val="0"/>
            <w:vAlign w:val="center"/>
          </w:tcPr>
          <w:p>
            <w:pPr>
              <w:pStyle w:val="89"/>
              <w:spacing w:line="240" w:lineRule="auto"/>
              <w:rPr>
                <w:rFonts w:eastAsia="宋体"/>
                <w:color w:val="auto"/>
                <w:sz w:val="21"/>
                <w:szCs w:val="21"/>
              </w:rPr>
            </w:pPr>
            <w:r>
              <w:rPr>
                <w:rFonts w:eastAsia="宋体"/>
                <w:color w:val="auto"/>
                <w:sz w:val="21"/>
                <w:szCs w:val="21"/>
              </w:rPr>
              <w:t>合计</w:t>
            </w:r>
          </w:p>
        </w:tc>
        <w:tc>
          <w:tcPr>
            <w:tcW w:w="523" w:type="pct"/>
            <w:tcBorders>
              <w:right w:val="single" w:color="auto" w:sz="4" w:space="0"/>
            </w:tcBorders>
            <w:noWrap w:val="0"/>
            <w:vAlign w:val="center"/>
          </w:tcPr>
          <w:p>
            <w:pPr>
              <w:pStyle w:val="89"/>
              <w:spacing w:line="240" w:lineRule="auto"/>
              <w:rPr>
                <w:rFonts w:hint="default" w:eastAsia="宋体"/>
                <w:color w:val="auto"/>
                <w:sz w:val="21"/>
                <w:szCs w:val="21"/>
                <w:lang w:val="en-US" w:eastAsia="zh-CN"/>
              </w:rPr>
            </w:pPr>
            <w:r>
              <w:rPr>
                <w:rFonts w:hint="eastAsia" w:eastAsia="宋体"/>
                <w:color w:val="auto"/>
                <w:sz w:val="21"/>
                <w:szCs w:val="21"/>
                <w:lang w:val="en-US" w:eastAsia="zh-CN"/>
              </w:rPr>
              <w:t>1673</w:t>
            </w:r>
          </w:p>
        </w:tc>
      </w:tr>
    </w:tbl>
    <w:p>
      <w:pPr>
        <w:ind w:firstLine="0" w:firstLineChars="0"/>
        <w:rPr>
          <w:rFonts w:hint="eastAsia"/>
          <w:color w:val="auto"/>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3"/>
        <w:numPr>
          <w:ilvl w:val="0"/>
          <w:numId w:val="0"/>
        </w:numPr>
        <w:spacing w:line="360" w:lineRule="auto"/>
        <w:ind w:leftChars="0"/>
        <w:jc w:val="center"/>
        <w:rPr>
          <w:rFonts w:hint="eastAsia"/>
          <w:color w:val="auto"/>
        </w:rPr>
      </w:pPr>
      <w:bookmarkStart w:id="100" w:name="_Toc32312"/>
      <w:r>
        <w:rPr>
          <w:rFonts w:hint="eastAsia"/>
          <w:color w:val="auto"/>
          <w:lang w:val="en-US" w:eastAsia="zh-CN"/>
        </w:rPr>
        <w:t>7</w:t>
      </w:r>
      <w:r>
        <w:rPr>
          <w:rFonts w:hint="eastAsia"/>
          <w:color w:val="auto"/>
        </w:rPr>
        <w:t>环境风险分析</w:t>
      </w:r>
      <w:bookmarkEnd w:id="100"/>
    </w:p>
    <w:p>
      <w:pPr>
        <w:pageBreakBefore w:val="0"/>
        <w:widowControl w:val="0"/>
        <w:kinsoku/>
        <w:wordWrap/>
        <w:overflowPunct/>
        <w:topLinePunct w:val="0"/>
        <w:autoSpaceDE/>
        <w:autoSpaceDN/>
        <w:bidi w:val="0"/>
        <w:adjustRightInd/>
        <w:snapToGrid/>
        <w:spacing w:line="360" w:lineRule="auto"/>
        <w:textAlignment w:val="auto"/>
        <w:rPr>
          <w:rFonts w:hint="eastAsia"/>
          <w:color w:val="auto"/>
        </w:rPr>
      </w:pPr>
      <w:r>
        <w:rPr>
          <w:rFonts w:hint="eastAsia"/>
          <w:color w:val="auto"/>
        </w:rPr>
        <w:t>环境风险评价的目的是分析和预测建设项目存在的潜在危险</w:t>
      </w:r>
      <w:r>
        <w:rPr>
          <w:rFonts w:hint="eastAsia" w:ascii="宋体" w:hAnsi="宋体" w:cs="宋体"/>
          <w:color w:val="auto"/>
        </w:rPr>
        <w:t>，建设项目建设</w:t>
      </w:r>
      <w:r>
        <w:rPr>
          <w:rFonts w:hint="eastAsia"/>
          <w:color w:val="auto"/>
        </w:rPr>
        <w:t>和运行期间发生的突发性事件</w:t>
      </w:r>
      <w:r>
        <w:rPr>
          <w:rFonts w:hint="eastAsia" w:ascii="宋体" w:hAnsi="宋体" w:cs="宋体"/>
          <w:color w:val="auto"/>
        </w:rPr>
        <w:t>，有毒有害和易燃易爆等物质的泄漏，所造成的人</w:t>
      </w:r>
      <w:r>
        <w:rPr>
          <w:rFonts w:hint="eastAsia"/>
          <w:color w:val="auto"/>
        </w:rPr>
        <w:t>身安全与环境影响</w:t>
      </w:r>
      <w:r>
        <w:rPr>
          <w:rFonts w:hint="eastAsia" w:ascii="宋体" w:hAnsi="宋体" w:cs="宋体"/>
          <w:color w:val="auto"/>
        </w:rPr>
        <w:t>，提出合理可行的防范措施，以使事故率、损失达到最低可接</w:t>
      </w:r>
      <w:r>
        <w:rPr>
          <w:rFonts w:hint="eastAsia"/>
          <w:color w:val="auto"/>
        </w:rPr>
        <w:t>受的水平。</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根据《关于进一步加强环境影响评价管理防范环境风险的通知》(环发[2012]77号)的有关要求，本次环境影响评价按照《建设项目环境风险评价技术导则》(HJ169-2018)对本项目进行环境风险分析，以达到降低风险性、减少危害程度之目的。</w:t>
      </w:r>
    </w:p>
    <w:p>
      <w:pPr>
        <w:pStyle w:val="4"/>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101" w:name="_Toc5946"/>
      <w:r>
        <w:rPr>
          <w:rFonts w:hint="eastAsia"/>
          <w:color w:val="auto"/>
          <w:lang w:val="en-US" w:eastAsia="zh-CN"/>
        </w:rPr>
        <w:t>7.1</w:t>
      </w:r>
      <w:r>
        <w:rPr>
          <w:rFonts w:hint="eastAsia"/>
          <w:color w:val="auto"/>
        </w:rPr>
        <w:t>风险</w:t>
      </w:r>
      <w:r>
        <w:rPr>
          <w:rFonts w:hint="eastAsia"/>
          <w:color w:val="auto"/>
          <w:lang w:val="en-US" w:eastAsia="zh-CN"/>
        </w:rPr>
        <w:t>调查</w:t>
      </w:r>
      <w:bookmarkEnd w:id="101"/>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textAlignment w:val="auto"/>
        <w:rPr>
          <w:rFonts w:hint="eastAsia"/>
          <w:color w:val="auto"/>
        </w:rPr>
      </w:pPr>
      <w:r>
        <w:rPr>
          <w:rFonts w:hint="eastAsia"/>
          <w:color w:val="auto"/>
          <w:lang w:val="en-US" w:eastAsia="zh-CN"/>
        </w:rPr>
        <w:t>7.1.1建设项目风险源</w:t>
      </w:r>
    </w:p>
    <w:p>
      <w:pPr>
        <w:pageBreakBefore w:val="0"/>
        <w:widowControl w:val="0"/>
        <w:kinsoku/>
        <w:wordWrap/>
        <w:overflowPunct/>
        <w:topLinePunct w:val="0"/>
        <w:autoSpaceDE/>
        <w:autoSpaceDN/>
        <w:bidi w:val="0"/>
        <w:adjustRightInd/>
        <w:snapToGrid/>
        <w:spacing w:line="360" w:lineRule="auto"/>
        <w:textAlignment w:val="auto"/>
        <w:rPr>
          <w:rFonts w:hint="eastAsia"/>
          <w:color w:val="auto"/>
          <w:lang w:val="en-US" w:eastAsia="zh-CN"/>
        </w:rPr>
      </w:pPr>
      <w:r>
        <w:rPr>
          <w:rFonts w:hint="eastAsia"/>
          <w:color w:val="auto"/>
          <w:lang w:val="en-US" w:eastAsia="zh-CN"/>
        </w:rPr>
        <w:t>项目营运过程中的安全事故或其他的一些突发性事故会导致环境风险物质泄漏到环境中，引起环境质量的下降甚至恶性循环化以及其他的环境毒性效应。该项目风险源有：</w:t>
      </w:r>
    </w:p>
    <w:p>
      <w:pPr>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1、医疗废水处理设施事故状态下的排污。</w:t>
      </w:r>
    </w:p>
    <w:p>
      <w:pPr>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lang w:val="en-US" w:eastAsia="zh-CN"/>
        </w:rPr>
        <w:t>、医疗废物在收集、贮存、运送过程中的存在的风险。</w:t>
      </w:r>
    </w:p>
    <w:p>
      <w:pPr>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r>
        <w:rPr>
          <w:rFonts w:hint="eastAsia" w:cs="Times New Roman"/>
          <w:color w:val="auto"/>
          <w:lang w:val="en-US" w:eastAsia="zh-CN"/>
        </w:rPr>
        <w:t>医院诊疗使用的药剂储存</w:t>
      </w:r>
      <w:r>
        <w:rPr>
          <w:rFonts w:hint="default" w:ascii="Times New Roman" w:hAnsi="Times New Roman" w:cs="Times New Roman"/>
          <w:color w:val="auto"/>
          <w:lang w:val="en-US" w:eastAsia="zh-CN"/>
        </w:rPr>
        <w:t>过程中的存在的风险</w:t>
      </w:r>
      <w:r>
        <w:rPr>
          <w:rFonts w:hint="eastAsia" w:ascii="Times New Roman" w:hAnsi="Times New Roman" w:cs="Times New Roman"/>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val="en-US" w:eastAsia="zh-CN"/>
        </w:rPr>
      </w:pPr>
      <w:r>
        <w:rPr>
          <w:rFonts w:hint="eastAsia" w:cs="Times New Roman"/>
          <w:color w:val="auto"/>
          <w:lang w:val="en-US" w:eastAsia="zh-CN"/>
        </w:rPr>
        <w:t>4、</w:t>
      </w:r>
      <w:r>
        <w:rPr>
          <w:rFonts w:hint="default" w:ascii="Times New Roman" w:hAnsi="Times New Roman" w:cs="Times New Roman"/>
          <w:color w:val="auto"/>
          <w:lang w:val="en-US" w:eastAsia="zh-CN"/>
        </w:rPr>
        <w:t>柴油发生泄漏</w:t>
      </w:r>
      <w:r>
        <w:rPr>
          <w:rFonts w:hint="eastAsia" w:ascii="Times New Roman" w:hAnsi="Times New Roman" w:cs="Times New Roman"/>
          <w:color w:val="auto"/>
          <w:lang w:val="en-US" w:eastAsia="zh-CN"/>
        </w:rPr>
        <w:t>以及</w:t>
      </w:r>
      <w:r>
        <w:rPr>
          <w:rFonts w:hint="default" w:ascii="Times New Roman" w:hAnsi="Times New Roman" w:cs="Times New Roman"/>
          <w:color w:val="auto"/>
          <w:lang w:val="en-US" w:eastAsia="zh-CN"/>
        </w:rPr>
        <w:t>火灾爆炸事故。</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val="en-US" w:eastAsia="zh-CN"/>
        </w:rPr>
      </w:pPr>
      <w:r>
        <w:rPr>
          <w:rFonts w:hint="eastAsia" w:ascii="Times New Roman" w:hAnsi="Times New Roman" w:eastAsia="宋体" w:cs="Times New Roman"/>
          <w:color w:val="auto"/>
          <w:lang w:val="en-US" w:eastAsia="zh-CN"/>
        </w:rPr>
        <w:t>5、天然气</w:t>
      </w:r>
      <w:r>
        <w:rPr>
          <w:rFonts w:hint="default" w:ascii="Times New Roman" w:hAnsi="Times New Roman" w:cs="Times New Roman"/>
          <w:color w:val="auto"/>
          <w:lang w:val="en-US" w:eastAsia="zh-CN"/>
        </w:rPr>
        <w:t>发生泄漏</w:t>
      </w:r>
      <w:r>
        <w:rPr>
          <w:rFonts w:hint="eastAsia" w:ascii="Times New Roman" w:hAnsi="Times New Roman" w:cs="Times New Roman"/>
          <w:color w:val="auto"/>
          <w:lang w:val="en-US" w:eastAsia="zh-CN"/>
        </w:rPr>
        <w:t>以及</w:t>
      </w:r>
      <w:r>
        <w:rPr>
          <w:rFonts w:hint="default" w:ascii="Times New Roman" w:hAnsi="Times New Roman" w:cs="Times New Roman"/>
          <w:color w:val="auto"/>
          <w:lang w:val="en-US" w:eastAsia="zh-CN"/>
        </w:rPr>
        <w:t>火灾爆炸事故</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地下室设置有4</w:t>
      </w:r>
      <w:r>
        <w:rPr>
          <w:rFonts w:hint="default" w:ascii="Times New Roman" w:hAnsi="Times New Roman" w:cs="Times New Roman"/>
          <w:color w:val="auto"/>
          <w:sz w:val="24"/>
          <w:szCs w:val="24"/>
          <w:lang w:val="en-US" w:eastAsia="zh-CN"/>
        </w:rPr>
        <w:t>台</w:t>
      </w:r>
      <w:r>
        <w:rPr>
          <w:rFonts w:hint="eastAsia" w:cs="Times New Roman"/>
          <w:color w:val="auto"/>
          <w:sz w:val="24"/>
          <w:szCs w:val="24"/>
          <w:lang w:val="en-US" w:eastAsia="zh-CN"/>
        </w:rPr>
        <w:t>14</w:t>
      </w:r>
      <w:r>
        <w:rPr>
          <w:rFonts w:hint="default" w:ascii="Times New Roman" w:hAnsi="Times New Roman" w:cs="Times New Roman"/>
          <w:color w:val="auto"/>
          <w:sz w:val="24"/>
          <w:szCs w:val="24"/>
          <w:lang w:val="en-US" w:eastAsia="zh-CN"/>
        </w:rPr>
        <w:t>00kW柴油发电机</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配套</w:t>
      </w:r>
      <w:r>
        <w:rPr>
          <w:rFonts w:hint="eastAsia" w:cs="Times New Roman"/>
          <w:color w:val="auto"/>
          <w:sz w:val="24"/>
          <w:szCs w:val="24"/>
          <w:lang w:val="en-US" w:eastAsia="zh-CN"/>
        </w:rPr>
        <w:t>4</w:t>
      </w:r>
      <w:r>
        <w:rPr>
          <w:rFonts w:hint="default" w:ascii="Times New Roman" w:hAnsi="Times New Roman" w:cs="Times New Roman"/>
          <w:color w:val="auto"/>
          <w:sz w:val="24"/>
          <w:szCs w:val="24"/>
          <w:lang w:val="en-US" w:eastAsia="zh-CN"/>
        </w:rPr>
        <w:t>个1m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的储油箱</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最大储量约3.2t</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医院采用天然气为主要能源，本项目建成后预计院区天然气管道</w:t>
      </w:r>
      <w:r>
        <w:rPr>
          <w:rFonts w:hint="eastAsia"/>
          <w:color w:val="auto"/>
          <w:sz w:val="24"/>
          <w:szCs w:val="24"/>
          <w:lang w:val="en-US" w:eastAsia="zh-CN"/>
        </w:rPr>
        <w:t>总容积4.658m</w:t>
      </w:r>
      <w:r>
        <w:rPr>
          <w:rFonts w:hint="eastAsia"/>
          <w:color w:val="auto"/>
          <w:sz w:val="24"/>
          <w:szCs w:val="24"/>
          <w:vertAlign w:val="superscript"/>
          <w:lang w:val="en-US" w:eastAsia="zh-CN"/>
        </w:rPr>
        <w:t>3</w:t>
      </w:r>
      <w:r>
        <w:rPr>
          <w:rFonts w:hint="eastAsia"/>
          <w:color w:val="auto"/>
          <w:sz w:val="24"/>
          <w:szCs w:val="24"/>
          <w:lang w:val="en-US" w:eastAsia="zh-CN"/>
        </w:rPr>
        <w:t>，对应压力下的</w:t>
      </w:r>
      <w:r>
        <w:rPr>
          <w:rFonts w:hint="eastAsia" w:cs="Times New Roman"/>
          <w:color w:val="auto"/>
          <w:sz w:val="24"/>
          <w:szCs w:val="24"/>
          <w:lang w:val="en-US" w:eastAsia="zh-CN"/>
        </w:rPr>
        <w:t>天然气</w:t>
      </w:r>
      <w:r>
        <w:rPr>
          <w:rFonts w:hint="eastAsia"/>
          <w:color w:val="auto"/>
          <w:sz w:val="24"/>
          <w:szCs w:val="24"/>
          <w:lang w:val="en-US" w:eastAsia="zh-CN"/>
        </w:rPr>
        <w:t>密度为2.3kg/m</w:t>
      </w:r>
      <w:r>
        <w:rPr>
          <w:rFonts w:hint="eastAsia"/>
          <w:color w:val="auto"/>
          <w:sz w:val="24"/>
          <w:szCs w:val="24"/>
          <w:vertAlign w:val="superscript"/>
          <w:lang w:val="en-US" w:eastAsia="zh-CN"/>
        </w:rPr>
        <w:t>3</w:t>
      </w:r>
      <w:r>
        <w:rPr>
          <w:rFonts w:hint="eastAsia"/>
          <w:color w:val="auto"/>
          <w:sz w:val="24"/>
          <w:szCs w:val="24"/>
          <w:lang w:val="en-US" w:eastAsia="zh-CN"/>
        </w:rPr>
        <w:t>，换算成质量即为0.011t。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lang w:val="en-US" w:eastAsia="zh-CN"/>
        </w:rPr>
      </w:pPr>
      <w:r>
        <w:rPr>
          <w:rFonts w:hint="eastAsia" w:cs="Times New Roman"/>
          <w:color w:val="auto"/>
          <w:sz w:val="24"/>
          <w:szCs w:val="24"/>
          <w:lang w:val="en-US" w:eastAsia="zh-CN"/>
        </w:rPr>
        <w:t>项目拟在门急诊医技楼二层设有一间化学品试剂库，库内主要存放医院诊疗过程使用的化学药剂，</w:t>
      </w:r>
      <w:r>
        <w:rPr>
          <w:rFonts w:hint="eastAsia" w:cs="Times New Roman"/>
          <w:color w:val="auto"/>
          <w:sz w:val="24"/>
          <w:szCs w:val="24"/>
          <w:lang w:val="en-US" w:eastAsia="zh-CN"/>
        </w:rPr>
        <w:t>如乙醚、乙腈、甲醇、二甲苯、甲酸、丙酮、硝酸、盐酸、福尔马林（甲醛）等。院内</w:t>
      </w:r>
      <w:r>
        <w:rPr>
          <w:rFonts w:hint="eastAsia" w:ascii="Times New Roman" w:hAnsi="Times New Roman" w:cs="Times New Roman"/>
          <w:color w:val="auto"/>
          <w:highlight w:val="none"/>
          <w:lang w:eastAsia="zh-CN"/>
        </w:rPr>
        <w:t>药剂暂存</w:t>
      </w:r>
      <w:r>
        <w:rPr>
          <w:rFonts w:hint="default" w:ascii="Times New Roman" w:hAnsi="Times New Roman" w:cs="Times New Roman"/>
          <w:color w:val="auto"/>
          <w:highlight w:val="none"/>
        </w:rPr>
        <w:t>量</w:t>
      </w:r>
      <w:r>
        <w:rPr>
          <w:rFonts w:hint="eastAsia" w:ascii="Times New Roman" w:hAnsi="Times New Roman" w:cs="Times New Roman"/>
          <w:color w:val="auto"/>
          <w:highlight w:val="none"/>
          <w:lang w:eastAsia="zh-CN"/>
        </w:rPr>
        <w:t>均很小，</w:t>
      </w:r>
      <w:r>
        <w:rPr>
          <w:rFonts w:hint="default" w:ascii="Times New Roman" w:hAnsi="Times New Roman" w:cs="Times New Roman"/>
          <w:color w:val="auto"/>
          <w:highlight w:val="none"/>
        </w:rPr>
        <w:t>远低于《建设项目环境风险评价技术导则》（HJ169-2018）</w:t>
      </w:r>
      <w:r>
        <w:rPr>
          <w:rFonts w:hint="eastAsia" w:ascii="Times New Roman" w:hAnsi="Times New Roman" w:eastAsia="宋体" w:cs="Times New Roman"/>
          <w:color w:val="auto"/>
          <w:highlight w:val="none"/>
          <w:lang w:val="en-US" w:eastAsia="zh-CN"/>
        </w:rPr>
        <w:t>附录B</w:t>
      </w:r>
      <w:r>
        <w:rPr>
          <w:rFonts w:hint="default" w:ascii="Times New Roman" w:hAnsi="Times New Roman" w:cs="Times New Roman"/>
          <w:color w:val="auto"/>
          <w:highlight w:val="none"/>
        </w:rPr>
        <w:t>中规定的临界量</w:t>
      </w:r>
      <w:r>
        <w:rPr>
          <w:rFonts w:hint="eastAsia" w:ascii="Times New Roman" w:hAnsi="Times New Roman" w:cs="Times New Roman"/>
          <w:color w:val="auto"/>
          <w:highlight w:val="none"/>
          <w:lang w:eastAsia="zh-CN"/>
        </w:rPr>
        <w:t>（详见表</w:t>
      </w:r>
      <w:r>
        <w:rPr>
          <w:rFonts w:hint="eastAsia" w:ascii="Times New Roman" w:hAnsi="Times New Roman" w:cs="Times New Roman"/>
          <w:color w:val="auto"/>
          <w:highlight w:val="none"/>
          <w:lang w:val="en-US" w:eastAsia="zh-CN"/>
        </w:rPr>
        <w:t>8.2-2</w:t>
      </w:r>
      <w:r>
        <w:rPr>
          <w:rFonts w:hint="eastAsia" w:ascii="Times New Roman" w:hAnsi="Times New Roman" w:cs="Times New Roman"/>
          <w:color w:val="auto"/>
          <w:highlight w:val="none"/>
          <w:lang w:eastAsia="zh-CN"/>
        </w:rPr>
        <w:t>）</w:t>
      </w:r>
      <w:r>
        <w:rPr>
          <w:rFonts w:hint="eastAsia" w:cs="Times New Roman"/>
          <w:color w:val="auto"/>
          <w:sz w:val="24"/>
          <w:szCs w:val="24"/>
          <w:lang w:val="en-US" w:eastAsia="zh-CN"/>
        </w:rPr>
        <w:t>。</w:t>
      </w:r>
    </w:p>
    <w:p>
      <w:pPr>
        <w:pStyle w:val="4"/>
        <w:numPr>
          <w:ilvl w:val="0"/>
          <w:numId w:val="0"/>
        </w:numPr>
        <w:spacing w:line="360" w:lineRule="auto"/>
        <w:ind w:leftChars="0"/>
        <w:rPr>
          <w:rFonts w:hint="eastAsia"/>
          <w:color w:val="auto"/>
        </w:rPr>
      </w:pPr>
      <w:bookmarkStart w:id="102" w:name="_Toc25809"/>
      <w:r>
        <w:rPr>
          <w:rFonts w:hint="eastAsia"/>
          <w:color w:val="auto"/>
          <w:lang w:val="en-US" w:eastAsia="zh-CN"/>
        </w:rPr>
        <w:t>7.2</w:t>
      </w:r>
      <w:r>
        <w:rPr>
          <w:rFonts w:hint="eastAsia"/>
          <w:color w:val="auto"/>
        </w:rPr>
        <w:t>风险</w:t>
      </w:r>
      <w:r>
        <w:rPr>
          <w:rFonts w:hint="eastAsia"/>
          <w:color w:val="auto"/>
          <w:lang w:val="en-US" w:eastAsia="zh-CN"/>
        </w:rPr>
        <w:t>潜势初判</w:t>
      </w:r>
      <w:bookmarkEnd w:id="102"/>
    </w:p>
    <w:p>
      <w:pPr>
        <w:pStyle w:val="5"/>
        <w:numPr>
          <w:ilvl w:val="0"/>
          <w:numId w:val="0"/>
        </w:numPr>
        <w:spacing w:before="120" w:line="360" w:lineRule="auto"/>
        <w:ind w:leftChars="0"/>
        <w:rPr>
          <w:rFonts w:hint="eastAsia" w:eastAsia="宋体"/>
          <w:color w:val="auto"/>
          <w:lang w:eastAsia="zh-CN"/>
        </w:rPr>
      </w:pPr>
      <w:r>
        <w:rPr>
          <w:rFonts w:hint="eastAsia"/>
          <w:color w:val="auto"/>
          <w:lang w:val="en-US" w:eastAsia="zh-CN"/>
        </w:rPr>
        <w:t>7.2.1</w:t>
      </w:r>
      <w:r>
        <w:rPr>
          <w:rFonts w:hint="eastAsia"/>
          <w:color w:val="auto"/>
        </w:rPr>
        <w:t>环境风险潜势划分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8"/>
          <w:szCs w:val="28"/>
          <w:lang w:val="en-US" w:eastAsia="zh-CN"/>
        </w:rPr>
      </w:pPr>
      <w:r>
        <w:rPr>
          <w:rFonts w:hint="default" w:ascii="Times New Roman" w:hAnsi="Times New Roman" w:cs="Times New Roman"/>
          <w:color w:val="auto"/>
        </w:rPr>
        <w:t>建设项目环境风险潜势划分为Ⅰ、Ⅱ、Ⅲ、Ⅳ/Ⅳ</w:t>
      </w:r>
      <w:r>
        <w:rPr>
          <w:rFonts w:hint="default" w:ascii="Times New Roman" w:hAnsi="Times New Roman" w:cs="Times New Roman"/>
          <w:color w:val="auto"/>
          <w:vertAlign w:val="superscript"/>
        </w:rPr>
        <w:t>+</w:t>
      </w:r>
      <w:r>
        <w:rPr>
          <w:rFonts w:hint="default" w:ascii="Times New Roman" w:hAnsi="Times New Roman" w:cs="Times New Roman"/>
          <w:color w:val="auto"/>
        </w:rPr>
        <w:t>级。根据建设项目涉及的物质和工艺系统的危险性及其所在地的环境敏感程度，结合事故情形下环境影响途径，对建设项目潜在环境危害程度进行概化分析，按照</w:t>
      </w:r>
      <w:r>
        <w:rPr>
          <w:rFonts w:hint="eastAsia" w:cs="Times New Roman"/>
          <w:color w:val="auto"/>
          <w:lang w:eastAsia="zh-CN"/>
        </w:rPr>
        <w:t>下表</w:t>
      </w:r>
      <w:r>
        <w:rPr>
          <w:rFonts w:hint="default" w:ascii="Times New Roman" w:hAnsi="Times New Roman" w:cs="Times New Roman"/>
          <w:color w:val="auto"/>
        </w:rPr>
        <w:t>确定环境风险潜势</w:t>
      </w:r>
      <w:r>
        <w:rPr>
          <w:rFonts w:hint="eastAsia" w:ascii="Times New Roman" w:hAnsi="Times New Roman" w:cs="Times New Roman"/>
          <w:color w:val="auto"/>
          <w:lang w:eastAsia="zh-CN"/>
        </w:rPr>
        <w:t>。</w:t>
      </w:r>
    </w:p>
    <w:p>
      <w:pPr>
        <w:pStyle w:val="19"/>
        <w:keepNext w:val="0"/>
        <w:keepLines w:val="0"/>
        <w:pageBreakBefore w:val="0"/>
        <w:widowControl w:val="0"/>
        <w:kinsoku/>
        <w:wordWrap/>
        <w:overflowPunct/>
        <w:topLinePunct w:val="0"/>
        <w:autoSpaceDE/>
        <w:autoSpaceDN/>
        <w:bidi w:val="0"/>
        <w:adjustRightInd/>
        <w:snapToGrid/>
        <w:spacing w:after="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.2-1</w:t>
      </w:r>
      <w:r>
        <w:rPr>
          <w:rFonts w:hint="default" w:ascii="Times New Roman" w:hAnsi="Times New Roman" w:eastAsia="宋体" w:cs="Times New Roman"/>
          <w:b/>
          <w:bCs/>
          <w:color w:val="auto"/>
          <w:sz w:val="21"/>
          <w:szCs w:val="21"/>
        </w:rPr>
        <w:t>建设项目环境风险潜势划分</w:t>
      </w:r>
    </w:p>
    <w:tbl>
      <w:tblPr>
        <w:tblStyle w:val="48"/>
        <w:tblW w:w="8332" w:type="dxa"/>
        <w:tblInd w:w="-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01"/>
        <w:gridCol w:w="1607"/>
        <w:gridCol w:w="1609"/>
        <w:gridCol w:w="1607"/>
        <w:gridCol w:w="16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01" w:type="dxa"/>
            <w:vMerge w:val="restart"/>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环境敏感程度（</w:t>
            </w:r>
            <w:r>
              <w:rPr>
                <w:rFonts w:hint="default" w:ascii="Times New Roman" w:hAnsi="Times New Roman" w:cs="Times New Roman"/>
                <w:color w:val="auto"/>
                <w:sz w:val="21"/>
                <w:szCs w:val="21"/>
              </w:rPr>
              <w:t>E</w:t>
            </w:r>
            <w:r>
              <w:rPr>
                <w:rFonts w:hint="default" w:ascii="Times New Roman" w:hAnsi="Times New Roman" w:eastAsia="宋体" w:cs="Times New Roman"/>
                <w:color w:val="auto"/>
                <w:sz w:val="21"/>
                <w:szCs w:val="21"/>
              </w:rPr>
              <w:t>）</w:t>
            </w:r>
          </w:p>
        </w:tc>
        <w:tc>
          <w:tcPr>
            <w:tcW w:w="6431" w:type="dxa"/>
            <w:gridSpan w:val="4"/>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危险物质及工艺系统危险性（</w:t>
            </w:r>
            <w:r>
              <w:rPr>
                <w:rFonts w:hint="default" w:ascii="Times New Roman" w:hAnsi="Times New Roman" w:cs="Times New Roman"/>
                <w:color w:val="auto"/>
                <w:sz w:val="21"/>
                <w:szCs w:val="21"/>
              </w:rPr>
              <w:t>P</w:t>
            </w: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0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rPr>
            </w:pP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极高危害（</w:t>
            </w:r>
            <w:r>
              <w:rPr>
                <w:rFonts w:hint="default" w:ascii="Times New Roman" w:hAnsi="Times New Roman" w:cs="Times New Roman"/>
                <w:color w:val="auto"/>
                <w:sz w:val="21"/>
                <w:szCs w:val="21"/>
              </w:rPr>
              <w:t>P1</w:t>
            </w:r>
            <w:r>
              <w:rPr>
                <w:rFonts w:hint="default" w:ascii="Times New Roman" w:hAnsi="Times New Roman" w:eastAsia="宋体" w:cs="Times New Roman"/>
                <w:color w:val="auto"/>
                <w:sz w:val="21"/>
                <w:szCs w:val="21"/>
              </w:rPr>
              <w:t>）</w:t>
            </w:r>
          </w:p>
        </w:tc>
        <w:tc>
          <w:tcPr>
            <w:tcW w:w="1609"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高度危害（</w:t>
            </w:r>
            <w:r>
              <w:rPr>
                <w:rFonts w:hint="default" w:ascii="Times New Roman" w:hAnsi="Times New Roman" w:cs="Times New Roman"/>
                <w:color w:val="auto"/>
                <w:sz w:val="21"/>
                <w:szCs w:val="21"/>
              </w:rPr>
              <w:t>P2</w:t>
            </w:r>
            <w:r>
              <w:rPr>
                <w:rFonts w:hint="default" w:ascii="Times New Roman" w:hAnsi="Times New Roman" w:eastAsia="宋体" w:cs="Times New Roman"/>
                <w:color w:val="auto"/>
                <w:sz w:val="21"/>
                <w:szCs w:val="21"/>
              </w:rPr>
              <w:t>）</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中度危害（</w:t>
            </w:r>
            <w:r>
              <w:rPr>
                <w:rFonts w:hint="default" w:ascii="Times New Roman" w:hAnsi="Times New Roman" w:cs="Times New Roman"/>
                <w:color w:val="auto"/>
                <w:sz w:val="21"/>
                <w:szCs w:val="21"/>
              </w:rPr>
              <w:t>P3</w:t>
            </w:r>
            <w:r>
              <w:rPr>
                <w:rFonts w:hint="default" w:ascii="Times New Roman" w:hAnsi="Times New Roman" w:eastAsia="宋体" w:cs="Times New Roman"/>
                <w:color w:val="auto"/>
                <w:sz w:val="21"/>
                <w:szCs w:val="21"/>
              </w:rPr>
              <w:t>）</w:t>
            </w:r>
          </w:p>
        </w:tc>
        <w:tc>
          <w:tcPr>
            <w:tcW w:w="1608"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轻度危害（</w:t>
            </w:r>
            <w:r>
              <w:rPr>
                <w:rFonts w:hint="default" w:ascii="Times New Roman" w:hAnsi="Times New Roman" w:cs="Times New Roman"/>
                <w:color w:val="auto"/>
                <w:sz w:val="21"/>
                <w:szCs w:val="21"/>
              </w:rPr>
              <w:t>P4</w:t>
            </w: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01"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环境高度敏感区（</w:t>
            </w:r>
            <w:r>
              <w:rPr>
                <w:rFonts w:hint="default" w:ascii="Times New Roman" w:hAnsi="Times New Roman" w:cs="Times New Roman"/>
                <w:color w:val="auto"/>
                <w:sz w:val="21"/>
                <w:szCs w:val="21"/>
              </w:rPr>
              <w:t>E1</w:t>
            </w:r>
            <w:r>
              <w:rPr>
                <w:rFonts w:hint="default" w:ascii="Times New Roman" w:hAnsi="Times New Roman" w:eastAsia="宋体" w:cs="Times New Roman"/>
                <w:color w:val="auto"/>
                <w:sz w:val="21"/>
                <w:szCs w:val="21"/>
              </w:rPr>
              <w:t>）</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position w:val="-7"/>
                <w:sz w:val="21"/>
                <w:szCs w:val="21"/>
              </w:rPr>
              <w:t>Ⅳ</w:t>
            </w:r>
            <w:r>
              <w:rPr>
                <w:rFonts w:hint="default" w:ascii="Times New Roman" w:hAnsi="Times New Roman" w:cs="Times New Roman"/>
                <w:color w:val="auto"/>
                <w:sz w:val="21"/>
                <w:szCs w:val="21"/>
              </w:rPr>
              <w:t>+</w:t>
            </w:r>
          </w:p>
        </w:tc>
        <w:tc>
          <w:tcPr>
            <w:tcW w:w="1609"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Ⅳ</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1608"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01"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环境中度敏感区（</w:t>
            </w:r>
            <w:r>
              <w:rPr>
                <w:rFonts w:hint="default" w:ascii="Times New Roman" w:hAnsi="Times New Roman" w:cs="Times New Roman"/>
                <w:color w:val="auto"/>
                <w:sz w:val="21"/>
                <w:szCs w:val="21"/>
              </w:rPr>
              <w:t>E2</w:t>
            </w:r>
            <w:r>
              <w:rPr>
                <w:rFonts w:hint="default" w:ascii="Times New Roman" w:hAnsi="Times New Roman" w:eastAsia="宋体" w:cs="Times New Roman"/>
                <w:color w:val="auto"/>
                <w:sz w:val="21"/>
                <w:szCs w:val="21"/>
              </w:rPr>
              <w:t>）</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Ⅳ</w:t>
            </w:r>
          </w:p>
        </w:tc>
        <w:tc>
          <w:tcPr>
            <w:tcW w:w="1609"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1608"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01"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环境低度敏感区（</w:t>
            </w:r>
            <w:r>
              <w:rPr>
                <w:rFonts w:hint="default" w:ascii="Times New Roman" w:hAnsi="Times New Roman" w:cs="Times New Roman"/>
                <w:color w:val="auto"/>
                <w:sz w:val="21"/>
                <w:szCs w:val="21"/>
              </w:rPr>
              <w:t>E3</w:t>
            </w:r>
            <w:r>
              <w:rPr>
                <w:rFonts w:hint="default" w:ascii="Times New Roman" w:hAnsi="Times New Roman" w:eastAsia="宋体" w:cs="Times New Roman"/>
                <w:color w:val="auto"/>
                <w:sz w:val="21"/>
                <w:szCs w:val="21"/>
              </w:rPr>
              <w:t>）</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1609"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1607"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c>
          <w:tcPr>
            <w:tcW w:w="1608" w:type="dxa"/>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2" w:type="dxa"/>
            <w:gridSpan w:val="5"/>
            <w:tcBorders>
              <w:tl2br w:val="nil"/>
              <w:tr2bl w:val="nil"/>
            </w:tcBorders>
            <w:noWrap w:val="0"/>
            <w:vAlign w:val="center"/>
          </w:tcPr>
          <w:p>
            <w:pPr>
              <w:pStyle w:val="231"/>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注：Ⅳ</w:t>
            </w:r>
            <w:r>
              <w:rPr>
                <w:rFonts w:hint="default" w:ascii="Times New Roman" w:hAnsi="Times New Roman" w:cs="Times New Roman"/>
                <w:color w:val="auto"/>
                <w:sz w:val="21"/>
                <w:szCs w:val="21"/>
                <w:vertAlign w:val="superscript"/>
              </w:rPr>
              <w:t>+</w:t>
            </w:r>
            <w:r>
              <w:rPr>
                <w:rFonts w:hint="default" w:ascii="Times New Roman" w:hAnsi="Times New Roman" w:eastAsia="宋体" w:cs="Times New Roman"/>
                <w:color w:val="auto"/>
                <w:sz w:val="21"/>
                <w:szCs w:val="21"/>
                <w:vertAlign w:val="baseline"/>
              </w:rPr>
              <w:t>为极高环境风险。</w:t>
            </w:r>
          </w:p>
        </w:tc>
      </w:tr>
    </w:tbl>
    <w:p>
      <w:pPr>
        <w:pStyle w:val="5"/>
        <w:numPr>
          <w:ilvl w:val="0"/>
          <w:numId w:val="0"/>
        </w:numPr>
        <w:spacing w:before="120"/>
        <w:ind w:leftChars="0"/>
        <w:rPr>
          <w:rFonts w:hint="eastAsia"/>
          <w:color w:val="auto"/>
        </w:rPr>
      </w:pPr>
      <w:r>
        <w:rPr>
          <w:rFonts w:hint="eastAsia"/>
          <w:color w:val="auto"/>
          <w:lang w:val="en-US" w:eastAsia="zh-CN"/>
        </w:rPr>
        <w:t>7</w:t>
      </w:r>
      <w:r>
        <w:rPr>
          <w:rFonts w:hint="eastAsia" w:eastAsia="宋体"/>
          <w:color w:val="auto"/>
          <w:lang w:val="en-US" w:eastAsia="zh-CN"/>
        </w:rPr>
        <w:t>.2.2</w:t>
      </w:r>
      <w:r>
        <w:rPr>
          <w:rFonts w:hint="eastAsia"/>
          <w:color w:val="auto"/>
          <w:lang w:val="en-US" w:eastAsia="zh-CN"/>
        </w:rPr>
        <w:t xml:space="preserve"> </w:t>
      </w:r>
      <w:r>
        <w:rPr>
          <w:rFonts w:hint="eastAsia" w:eastAsia="宋体"/>
          <w:color w:val="auto"/>
          <w:lang w:val="en-US" w:eastAsia="zh-CN"/>
        </w:rPr>
        <w:t>P的分级确定</w:t>
      </w:r>
    </w:p>
    <w:p>
      <w:pPr>
        <w:spacing w:line="360" w:lineRule="auto"/>
        <w:ind w:left="0" w:leftChars="0" w:firstLine="480" w:firstLineChars="200"/>
        <w:rPr>
          <w:rFonts w:hint="eastAsia"/>
          <w:color w:val="auto"/>
        </w:rPr>
      </w:pPr>
      <w:r>
        <w:rPr>
          <w:rFonts w:hint="eastAsia"/>
          <w:color w:val="auto"/>
        </w:rPr>
        <w:t>根据《</w:t>
      </w:r>
      <w:r>
        <w:rPr>
          <w:rFonts w:hint="eastAsia"/>
          <w:color w:val="auto"/>
          <w:lang w:eastAsia="zh-CN"/>
        </w:rPr>
        <w:t>建设项目环境风险评价技术导则</w:t>
      </w:r>
      <w:r>
        <w:rPr>
          <w:rFonts w:hint="eastAsia"/>
          <w:color w:val="auto"/>
        </w:rPr>
        <w:t>》(</w:t>
      </w:r>
      <w:r>
        <w:rPr>
          <w:rFonts w:hint="eastAsia"/>
          <w:color w:val="auto"/>
          <w:lang w:val="en-US" w:eastAsia="zh-CN"/>
        </w:rPr>
        <w:t>HJ169-2018</w:t>
      </w:r>
      <w:r>
        <w:rPr>
          <w:rFonts w:hint="eastAsia"/>
          <w:color w:val="auto"/>
        </w:rPr>
        <w:t>)</w:t>
      </w:r>
      <w:r>
        <w:rPr>
          <w:rFonts w:hint="eastAsia"/>
          <w:color w:val="auto"/>
          <w:lang w:eastAsia="zh-CN"/>
        </w:rPr>
        <w:t>附录</w:t>
      </w:r>
      <w:r>
        <w:rPr>
          <w:rFonts w:hint="eastAsia"/>
          <w:color w:val="auto"/>
          <w:lang w:val="en-US" w:eastAsia="zh-CN"/>
        </w:rPr>
        <w:t>C，对危险物质及工艺系统危险性（P）的分级</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auto"/>
          <w:lang w:val="en-US" w:eastAsia="zh-CN"/>
        </w:rPr>
      </w:pPr>
      <w:r>
        <w:rPr>
          <w:rFonts w:hint="eastAsia"/>
          <w:color w:val="auto"/>
          <w:lang w:val="en-US" w:eastAsia="zh-CN"/>
        </w:rPr>
        <w:t>①</w:t>
      </w:r>
      <w:r>
        <w:rPr>
          <w:rFonts w:hint="eastAsia"/>
          <w:color w:val="auto"/>
          <w:lang w:eastAsia="zh-CN"/>
        </w:rPr>
        <w:t>危险物质数量与临界量比值（</w:t>
      </w:r>
      <w:r>
        <w:rPr>
          <w:rFonts w:hint="eastAsia"/>
          <w:color w:val="auto"/>
          <w:lang w:val="en-US" w:eastAsia="zh-CN"/>
        </w:rPr>
        <w:t>Q）</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olor w:val="auto"/>
          <w:lang w:val="en-US" w:eastAsia="zh-CN"/>
        </w:rPr>
      </w:pPr>
      <w:r>
        <w:rPr>
          <w:rFonts w:hint="eastAsia"/>
          <w:color w:val="auto"/>
          <w:lang w:val="en-US" w:eastAsia="zh-CN"/>
        </w:rPr>
        <w:t>当Q&lt;1时，该项目环境风险潜势为</w:t>
      </w:r>
      <w:r>
        <w:rPr>
          <w:rFonts w:hint="eastAsia"/>
          <w:color w:val="auto"/>
          <w:lang w:val="en-US" w:eastAsia="zh-CN"/>
        </w:rPr>
        <w:fldChar w:fldCharType="begin"/>
      </w:r>
      <w:r>
        <w:rPr>
          <w:rFonts w:hint="eastAsia"/>
          <w:color w:val="auto"/>
          <w:lang w:val="en-US" w:eastAsia="zh-CN"/>
        </w:rPr>
        <w:instrText xml:space="preserve"> = 1 \* ROMAN \* MERGEFORMAT </w:instrText>
      </w:r>
      <w:r>
        <w:rPr>
          <w:rFonts w:hint="eastAsia"/>
          <w:color w:val="auto"/>
          <w:lang w:val="en-US" w:eastAsia="zh-CN"/>
        </w:rPr>
        <w:fldChar w:fldCharType="separate"/>
      </w:r>
      <w:r>
        <w:rPr>
          <w:rFonts w:hint="eastAsia"/>
          <w:color w:val="auto"/>
        </w:rPr>
        <w:t>I</w:t>
      </w:r>
      <w:r>
        <w:rPr>
          <w:rFonts w:hint="eastAsia"/>
          <w:color w:val="auto"/>
          <w:lang w:val="en-US" w:eastAsia="zh-CN"/>
        </w:rPr>
        <w:fldChar w:fldCharType="end"/>
      </w:r>
      <w:r>
        <w:rPr>
          <w:rFonts w:hint="eastAsia" w:cs="宋体"/>
          <w:color w:val="auto"/>
          <w:lang w:val="en-US" w:eastAsia="zh-CN"/>
        </w:rPr>
        <w:t>；</w:t>
      </w:r>
      <w:r>
        <w:rPr>
          <w:rFonts w:hint="eastAsia"/>
          <w:color w:val="auto"/>
          <w:lang w:val="en-US" w:eastAsia="zh-CN"/>
        </w:rPr>
        <w:t>当Q≧1时，将Q划分为1≦Q&lt;10</w:t>
      </w:r>
      <w:r>
        <w:rPr>
          <w:rFonts w:hint="eastAsia" w:cs="宋体"/>
          <w:color w:val="auto"/>
          <w:lang w:val="en-US" w:eastAsia="zh-CN"/>
        </w:rPr>
        <w:t>；</w:t>
      </w:r>
      <w:r>
        <w:rPr>
          <w:rFonts w:hint="eastAsia"/>
          <w:color w:val="auto"/>
          <w:lang w:val="en-US" w:eastAsia="zh-CN"/>
        </w:rPr>
        <w:t>10≦Q&lt;100</w:t>
      </w:r>
      <w:r>
        <w:rPr>
          <w:rFonts w:hint="eastAsia" w:cs="宋体"/>
          <w:color w:val="auto"/>
          <w:lang w:val="en-US" w:eastAsia="zh-CN"/>
        </w:rPr>
        <w:t>；</w:t>
      </w:r>
      <w:r>
        <w:rPr>
          <w:rFonts w:hint="eastAsia"/>
          <w:color w:val="auto"/>
          <w:lang w:val="en-US" w:eastAsia="zh-CN"/>
        </w:rPr>
        <w:t>Q≧100</w:t>
      </w:r>
    </w:p>
    <w:p>
      <w:pPr>
        <w:ind w:left="0" w:leftChars="0" w:firstLine="480" w:firstLineChars="200"/>
        <w:rPr>
          <w:rFonts w:hint="eastAsia"/>
          <w:color w:val="auto"/>
          <w:lang w:val="en-US" w:eastAsia="zh-CN"/>
        </w:rPr>
      </w:pPr>
      <w:r>
        <w:rPr>
          <w:rFonts w:hint="eastAsia"/>
          <w:color w:val="auto"/>
          <w:lang w:eastAsia="zh-CN"/>
        </w:rPr>
        <w:t>当只涉及一种物质时，计算该物质的总量与其临界量比值，即为</w:t>
      </w:r>
      <w:r>
        <w:rPr>
          <w:rFonts w:hint="eastAsia"/>
          <w:color w:val="auto"/>
          <w:lang w:val="en-US" w:eastAsia="zh-CN"/>
        </w:rPr>
        <w:t>Q</w:t>
      </w:r>
      <w:r>
        <w:rPr>
          <w:rFonts w:hint="eastAsia" w:cs="宋体"/>
          <w:color w:val="auto"/>
          <w:lang w:val="en-US" w:eastAsia="zh-CN"/>
        </w:rPr>
        <w:t>；</w:t>
      </w:r>
    </w:p>
    <w:p>
      <w:pPr>
        <w:rPr>
          <w:rFonts w:hint="eastAsia"/>
          <w:color w:val="auto"/>
          <w:lang w:val="en-US" w:eastAsia="zh-CN"/>
        </w:rPr>
      </w:pPr>
      <w:r>
        <w:rPr>
          <w:rFonts w:hint="eastAsia"/>
          <w:color w:val="auto"/>
          <w:lang w:eastAsia="zh-CN"/>
        </w:rPr>
        <w:t>当存在多种危险物质时，则按下式计算物质总量与其临界量比值（</w:t>
      </w:r>
      <w:r>
        <w:rPr>
          <w:rFonts w:hint="eastAsia"/>
          <w:color w:val="auto"/>
          <w:lang w:val="en-US" w:eastAsia="zh-CN"/>
        </w:rPr>
        <w:t>Q）：</w:t>
      </w:r>
    </w:p>
    <w:p>
      <w:pPr>
        <w:ind w:left="0" w:leftChars="0" w:firstLine="480" w:firstLineChars="200"/>
        <w:rPr>
          <w:rFonts w:hint="eastAsia"/>
          <w:color w:val="auto"/>
          <w:lang w:eastAsia="zh-CN"/>
        </w:rPr>
      </w:pPr>
      <w:r>
        <w:rPr>
          <w:rFonts w:hint="eastAsia"/>
          <w:color w:val="auto"/>
          <w:lang w:val="en-US" w:eastAsia="zh-CN"/>
        </w:rPr>
        <w:t>Q=</w:t>
      </w:r>
      <w:r>
        <w:rPr>
          <w:rFonts w:hint="eastAsia"/>
          <w:color w:val="auto"/>
        </w:rPr>
        <w:t>q1/Q1+q2/Q2+…..，+qn/Qn</w:t>
      </w:r>
    </w:p>
    <w:p>
      <w:pPr>
        <w:rPr>
          <w:rFonts w:hint="eastAsia" w:eastAsia="宋体"/>
          <w:color w:val="auto"/>
          <w:lang w:eastAsia="zh-CN"/>
        </w:rPr>
      </w:pPr>
      <w:r>
        <w:rPr>
          <w:rFonts w:hint="eastAsia"/>
          <w:color w:val="auto"/>
        </w:rPr>
        <w:t>式中：q1、q2……qn——每种危险物质</w:t>
      </w:r>
      <w:r>
        <w:rPr>
          <w:rFonts w:hint="eastAsia"/>
          <w:color w:val="auto"/>
          <w:lang w:eastAsia="zh-CN"/>
        </w:rPr>
        <w:t>最大</w:t>
      </w:r>
      <w:r>
        <w:rPr>
          <w:rFonts w:hint="eastAsia"/>
          <w:color w:val="auto"/>
        </w:rPr>
        <w:t>存在量，t</w:t>
      </w:r>
      <w:r>
        <w:rPr>
          <w:rFonts w:hint="eastAsia" w:cs="宋体"/>
          <w:color w:val="auto"/>
          <w:lang w:eastAsia="zh-CN"/>
        </w:rPr>
        <w:t>；</w:t>
      </w:r>
    </w:p>
    <w:p>
      <w:pPr>
        <w:rPr>
          <w:rFonts w:hint="eastAsia"/>
          <w:color w:val="auto"/>
        </w:rPr>
      </w:pPr>
      <w:r>
        <w:rPr>
          <w:rFonts w:hint="eastAsia"/>
          <w:color w:val="auto"/>
        </w:rPr>
        <w:t>Q1、Q2……Qn——</w:t>
      </w:r>
      <w:r>
        <w:rPr>
          <w:rFonts w:hint="eastAsia"/>
          <w:color w:val="auto"/>
          <w:lang w:eastAsia="zh-CN"/>
        </w:rPr>
        <w:t>每种危险物质</w:t>
      </w:r>
      <w:r>
        <w:rPr>
          <w:rFonts w:hint="eastAsia"/>
          <w:color w:val="auto"/>
        </w:rPr>
        <w:t>的临界量，t。</w:t>
      </w:r>
    </w:p>
    <w:p>
      <w:pPr>
        <w:spacing w:line="480" w:lineRule="exact"/>
        <w:rPr>
          <w:rFonts w:hint="eastAsia" w:ascii="Times New Roman" w:hAnsi="Times New Roman" w:eastAsia="宋体" w:cs="Times New Roman"/>
          <w:color w:val="auto"/>
          <w:lang w:eastAsia="zh-CN"/>
        </w:rPr>
      </w:pPr>
      <w:r>
        <w:rPr>
          <w:rFonts w:hint="default" w:ascii="Times New Roman" w:hAnsi="Times New Roman" w:cs="Times New Roman"/>
          <w:color w:val="auto"/>
        </w:rPr>
        <w:t>本项目</w:t>
      </w:r>
      <w:r>
        <w:rPr>
          <w:rFonts w:hint="eastAsia" w:cs="Times New Roman"/>
          <w:color w:val="auto"/>
          <w:lang w:eastAsia="zh-CN"/>
        </w:rPr>
        <w:t>风险</w:t>
      </w:r>
      <w:r>
        <w:rPr>
          <w:rFonts w:hint="default" w:ascii="Times New Roman" w:hAnsi="Times New Roman" w:cs="Times New Roman"/>
          <w:color w:val="auto"/>
        </w:rPr>
        <w:t>物质</w:t>
      </w:r>
      <w:r>
        <w:rPr>
          <w:rFonts w:hint="default" w:ascii="Times New Roman" w:hAnsi="Times New Roman" w:cs="Times New Roman"/>
          <w:color w:val="auto"/>
          <w:lang w:val="en-US" w:eastAsia="zh-CN"/>
        </w:rPr>
        <w:t>Q值</w:t>
      </w:r>
      <w:r>
        <w:rPr>
          <w:rFonts w:hint="default" w:ascii="Times New Roman" w:hAnsi="Times New Roman" w:cs="Times New Roman"/>
          <w:color w:val="auto"/>
        </w:rPr>
        <w:t>估算见下表</w:t>
      </w:r>
      <w:r>
        <w:rPr>
          <w:rFonts w:hint="eastAsia" w:cs="Times New Roman"/>
          <w:color w:val="auto"/>
          <w:lang w:eastAsia="zh-CN"/>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auto"/>
          <w:sz w:val="21"/>
          <w:szCs w:val="21"/>
        </w:rPr>
      </w:pPr>
      <w:r>
        <w:rPr>
          <w:rFonts w:hint="default"/>
          <w:b/>
          <w:bCs/>
          <w:color w:val="auto"/>
          <w:sz w:val="21"/>
          <w:szCs w:val="21"/>
        </w:rPr>
        <w:t>表</w:t>
      </w:r>
      <w:r>
        <w:rPr>
          <w:rFonts w:hint="eastAsia"/>
          <w:b/>
          <w:bCs/>
          <w:color w:val="auto"/>
          <w:sz w:val="21"/>
          <w:szCs w:val="21"/>
          <w:lang w:val="en-US" w:eastAsia="zh-CN"/>
        </w:rPr>
        <w:t>7.2-2</w:t>
      </w:r>
      <w:r>
        <w:rPr>
          <w:rFonts w:hint="default"/>
          <w:b/>
          <w:bCs/>
          <w:color w:val="auto"/>
          <w:sz w:val="21"/>
          <w:szCs w:val="21"/>
        </w:rPr>
        <w:t>本项目主要风险源统计表</w:t>
      </w:r>
    </w:p>
    <w:tbl>
      <w:tblPr>
        <w:tblStyle w:val="4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1582"/>
        <w:gridCol w:w="1627"/>
        <w:gridCol w:w="1386"/>
        <w:gridCol w:w="1269"/>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贮存位置</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危险物</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最大储存量</w:t>
            </w:r>
            <w:r>
              <w:rPr>
                <w:rFonts w:hint="default" w:ascii="Times New Roman" w:hAnsi="Times New Roman" w:cs="Times New Roman"/>
                <w:color w:val="auto"/>
                <w:sz w:val="21"/>
                <w:szCs w:val="21"/>
                <w:lang w:eastAsia="zh-CN"/>
              </w:rPr>
              <w:t>（</w:t>
            </w:r>
            <w:r>
              <w:rPr>
                <w:rFonts w:hint="eastAsia" w:cs="Times New Roman"/>
                <w:color w:val="auto"/>
                <w:sz w:val="21"/>
                <w:szCs w:val="21"/>
                <w:lang w:eastAsia="zh-CN"/>
              </w:rPr>
              <w:t>纯物质量</w:t>
            </w:r>
            <w:r>
              <w:rPr>
                <w:rFonts w:hint="default"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eastAsia="zh-CN"/>
              </w:rPr>
              <w:t>）</w:t>
            </w:r>
          </w:p>
        </w:tc>
        <w:tc>
          <w:tcPr>
            <w:tcW w:w="1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临界量</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eastAsia="zh-CN"/>
              </w:rPr>
              <w:t>）</w:t>
            </w:r>
          </w:p>
        </w:tc>
        <w:tc>
          <w:tcPr>
            <w:tcW w:w="126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Σqn/Qn</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CAS号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储油箱</w:t>
            </w:r>
          </w:p>
        </w:tc>
        <w:tc>
          <w:tcPr>
            <w:tcW w:w="1582"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柴油</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0.00128</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天然气管道（在线量）</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天然气（甲烷）</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0.011</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0.0011</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74-82-8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一期</w:t>
            </w:r>
            <w:r>
              <w:rPr>
                <w:rFonts w:hint="default" w:ascii="Times New Roman" w:hAnsi="Times New Roman" w:eastAsia="宋体" w:cs="Times New Roman"/>
                <w:b w:val="0"/>
                <w:bCs w:val="0"/>
                <w:color w:val="auto"/>
                <w:sz w:val="21"/>
                <w:szCs w:val="21"/>
                <w:highlight w:val="none"/>
                <w:lang w:val="en-US" w:eastAsia="zh-CN"/>
              </w:rPr>
              <w:t>化学品库</w:t>
            </w:r>
            <w:r>
              <w:rPr>
                <w:rFonts w:hint="eastAsia" w:ascii="Times New Roman" w:hAnsi="Times New Roman" w:eastAsia="宋体" w:cs="Times New Roman"/>
                <w:b w:val="0"/>
                <w:bCs w:val="0"/>
                <w:color w:val="auto"/>
                <w:sz w:val="21"/>
                <w:szCs w:val="21"/>
                <w:highlight w:val="none"/>
                <w:lang w:val="en-US" w:eastAsia="zh-CN"/>
              </w:rPr>
              <w:t>、二期化学品库</w:t>
            </w: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消毒液</w:t>
            </w:r>
            <w:r>
              <w:rPr>
                <w:rFonts w:hint="eastAsia" w:cs="Times New Roman"/>
                <w:b w:val="0"/>
                <w:bCs w:val="0"/>
                <w:color w:val="auto"/>
                <w:sz w:val="21"/>
                <w:szCs w:val="21"/>
                <w:highlight w:val="none"/>
                <w:lang w:val="en-US" w:eastAsia="zh-CN"/>
              </w:rPr>
              <w:t>（次氯酸钠含量6%）</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0.01</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7681-52-9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乙醚</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0.00178</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0.0002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乙腈</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0.0393</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0.0039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75-05-8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甲醇</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0.0396</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0.0040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67-56-1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二甲苯</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0.004</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0.0004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1330-20-7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甲酸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0.0244</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0.0024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64-18-6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丙酮</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0.002</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10</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0.0002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67-64-1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硝酸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0.005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7.5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0.0007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7697-37-2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盐酸</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0.005</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7.5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 xml:space="preserve">0.0007 </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7647-01-0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3"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p>
        </w:tc>
        <w:tc>
          <w:tcPr>
            <w:tcW w:w="1582"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福尔马林（甲醛）</w:t>
            </w:r>
          </w:p>
        </w:tc>
        <w:tc>
          <w:tcPr>
            <w:tcW w:w="1627"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1</w:t>
            </w:r>
          </w:p>
        </w:tc>
        <w:tc>
          <w:tcPr>
            <w:tcW w:w="1386"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0.5</w:t>
            </w:r>
          </w:p>
        </w:tc>
        <w:tc>
          <w:tcPr>
            <w:tcW w:w="12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color w:val="auto"/>
                <w:spacing w:val="-2"/>
                <w:kern w:val="0"/>
                <w:sz w:val="21"/>
                <w:szCs w:val="21"/>
                <w:u w:val="none"/>
                <w:lang w:val="en-US" w:eastAsia="zh-CN" w:bidi="ar"/>
              </w:rPr>
              <w:t>0.02</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8" w:type="dxa"/>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Q值</w:t>
            </w:r>
          </w:p>
        </w:tc>
        <w:tc>
          <w:tcPr>
            <w:tcW w:w="126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0.0448</w:t>
            </w:r>
          </w:p>
        </w:tc>
        <w:tc>
          <w:tcPr>
            <w:tcW w:w="135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color w:val="auto"/>
          <w:lang w:val="en-US" w:eastAsia="zh-CN"/>
        </w:rPr>
      </w:pPr>
      <w:r>
        <w:rPr>
          <w:rFonts w:hint="eastAsia"/>
          <w:color w:val="auto"/>
          <w:lang w:val="en-US" w:eastAsia="zh-CN"/>
        </w:rPr>
        <w:t>计算得到</w:t>
      </w:r>
      <w:r>
        <w:rPr>
          <w:rFonts w:hint="eastAsia"/>
          <w:color w:val="auto"/>
        </w:rPr>
        <w:t>Q</w:t>
      </w:r>
      <w:r>
        <w:rPr>
          <w:rFonts w:hint="eastAsia"/>
          <w:color w:val="auto"/>
          <w:lang w:val="en-US" w:eastAsia="zh-CN"/>
        </w:rPr>
        <w:t>=</w:t>
      </w:r>
      <w:r>
        <w:rPr>
          <w:rFonts w:hint="eastAsia"/>
          <w:color w:val="auto"/>
        </w:rPr>
        <w:t>＜1，</w:t>
      </w:r>
      <w:r>
        <w:rPr>
          <w:rFonts w:hint="eastAsia"/>
          <w:color w:val="auto"/>
          <w:lang w:eastAsia="zh-CN"/>
        </w:rPr>
        <w:t>故</w:t>
      </w:r>
      <w:r>
        <w:rPr>
          <w:rFonts w:hint="eastAsia"/>
          <w:color w:val="auto"/>
        </w:rPr>
        <w:t>项目环境风险潜势</w:t>
      </w:r>
      <w:r>
        <w:rPr>
          <w:rFonts w:hint="eastAsia"/>
          <w:color w:val="auto"/>
          <w:lang w:val="en-US" w:eastAsia="zh-CN"/>
        </w:rPr>
        <w:t>可直接划分为Ⅰ级</w:t>
      </w:r>
      <w:r>
        <w:rPr>
          <w:rFonts w:hint="eastAsia"/>
          <w:color w:val="auto"/>
        </w:rPr>
        <w:t>。</w:t>
      </w:r>
    </w:p>
    <w:p>
      <w:pPr>
        <w:pStyle w:val="5"/>
        <w:numPr>
          <w:ilvl w:val="0"/>
          <w:numId w:val="0"/>
        </w:numPr>
        <w:spacing w:before="120" w:line="360" w:lineRule="auto"/>
        <w:ind w:leftChars="0"/>
        <w:rPr>
          <w:rFonts w:hint="eastAsia"/>
          <w:color w:val="auto"/>
        </w:rPr>
      </w:pPr>
      <w:r>
        <w:rPr>
          <w:rFonts w:hint="eastAsia"/>
          <w:color w:val="auto"/>
          <w:lang w:val="en-US" w:eastAsia="zh-CN"/>
        </w:rPr>
        <w:t>7.2.3</w:t>
      </w:r>
      <w:r>
        <w:rPr>
          <w:rFonts w:hint="eastAsia"/>
          <w:color w:val="auto"/>
        </w:rPr>
        <w:t>评价工作等级划分</w:t>
      </w:r>
    </w:p>
    <w:p>
      <w:pPr>
        <w:bidi w:val="0"/>
        <w:spacing w:line="360" w:lineRule="auto"/>
        <w:rPr>
          <w:rFonts w:hint="eastAsia"/>
          <w:color w:val="auto"/>
        </w:rPr>
      </w:pPr>
      <w:r>
        <w:rPr>
          <w:rFonts w:hint="eastAsia"/>
          <w:color w:val="auto"/>
        </w:rPr>
        <w:t>根据建设项目涉及的物质及工艺系统危险性和所在地的环境敏感性确定环境风险潜势，按照</w:t>
      </w:r>
      <w:r>
        <w:rPr>
          <w:rFonts w:hint="eastAsia"/>
          <w:color w:val="auto"/>
          <w:lang w:val="en-US" w:eastAsia="zh-CN"/>
        </w:rPr>
        <w:t>下表</w:t>
      </w:r>
      <w:r>
        <w:rPr>
          <w:rFonts w:hint="eastAsia"/>
          <w:color w:val="auto"/>
        </w:rPr>
        <w:t>确定评价工作等级。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r>
        <w:rPr>
          <w:rFonts w:hint="default"/>
          <w:b/>
          <w:bCs/>
          <w:color w:val="auto"/>
          <w:sz w:val="21"/>
          <w:szCs w:val="21"/>
        </w:rPr>
        <w:t>表</w:t>
      </w:r>
      <w:r>
        <w:rPr>
          <w:rFonts w:hint="eastAsia"/>
          <w:b/>
          <w:bCs/>
          <w:color w:val="auto"/>
          <w:sz w:val="21"/>
          <w:szCs w:val="21"/>
          <w:lang w:val="en-US" w:eastAsia="zh-CN"/>
        </w:rPr>
        <w:t>7.2-3</w:t>
      </w:r>
      <w:r>
        <w:rPr>
          <w:rFonts w:hint="default"/>
          <w:b/>
          <w:bCs/>
          <w:color w:val="auto"/>
          <w:sz w:val="21"/>
          <w:szCs w:val="21"/>
        </w:rPr>
        <w:t>评价工作等级划分</w:t>
      </w:r>
      <w:r>
        <w:rPr>
          <w:rFonts w:hint="eastAsia"/>
          <w:b/>
          <w:bCs/>
          <w:color w:val="auto"/>
          <w:sz w:val="21"/>
          <w:szCs w:val="21"/>
          <w:lang w:val="en-US" w:eastAsia="zh-CN"/>
        </w:rPr>
        <w:t>表</w:t>
      </w:r>
    </w:p>
    <w:tbl>
      <w:tblPr>
        <w:tblStyle w:val="48"/>
        <w:tblW w:w="0" w:type="auto"/>
        <w:tblInd w:w="0" w:type="dxa"/>
        <w:tblLayout w:type="fixed"/>
        <w:tblCellMar>
          <w:top w:w="0" w:type="dxa"/>
          <w:left w:w="0" w:type="dxa"/>
          <w:bottom w:w="0" w:type="dxa"/>
          <w:right w:w="0" w:type="dxa"/>
        </w:tblCellMar>
      </w:tblPr>
      <w:tblGrid>
        <w:gridCol w:w="2380"/>
        <w:gridCol w:w="1491"/>
        <w:gridCol w:w="1490"/>
        <w:gridCol w:w="1491"/>
        <w:gridCol w:w="1490"/>
      </w:tblGrid>
      <w:tr>
        <w:tblPrEx>
          <w:tblCellMar>
            <w:top w:w="0" w:type="dxa"/>
            <w:left w:w="0" w:type="dxa"/>
            <w:bottom w:w="0" w:type="dxa"/>
            <w:right w:w="0" w:type="dxa"/>
          </w:tblCellMar>
        </w:tblPrEx>
        <w:trPr>
          <w:trHeight w:val="397" w:hRule="atLeast"/>
        </w:trPr>
        <w:tc>
          <w:tcPr>
            <w:tcW w:w="238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环境风险潜势</w:t>
            </w:r>
          </w:p>
        </w:tc>
        <w:tc>
          <w:tcPr>
            <w:tcW w:w="149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Ⅳ、Ⅳ+</w:t>
            </w:r>
          </w:p>
        </w:tc>
        <w:tc>
          <w:tcPr>
            <w:tcW w:w="14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Ⅲ</w:t>
            </w:r>
          </w:p>
        </w:tc>
        <w:tc>
          <w:tcPr>
            <w:tcW w:w="149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Ⅱ</w:t>
            </w:r>
          </w:p>
        </w:tc>
        <w:tc>
          <w:tcPr>
            <w:tcW w:w="14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Ⅰ</w:t>
            </w:r>
          </w:p>
        </w:tc>
      </w:tr>
      <w:tr>
        <w:tblPrEx>
          <w:tblCellMar>
            <w:top w:w="0" w:type="dxa"/>
            <w:left w:w="0" w:type="dxa"/>
            <w:bottom w:w="0" w:type="dxa"/>
            <w:right w:w="0" w:type="dxa"/>
          </w:tblCellMar>
        </w:tblPrEx>
        <w:trPr>
          <w:trHeight w:val="397" w:hRule="atLeast"/>
        </w:trPr>
        <w:tc>
          <w:tcPr>
            <w:tcW w:w="238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评价工作等级</w:t>
            </w:r>
          </w:p>
        </w:tc>
        <w:tc>
          <w:tcPr>
            <w:tcW w:w="149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一</w:t>
            </w:r>
          </w:p>
        </w:tc>
        <w:tc>
          <w:tcPr>
            <w:tcW w:w="14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二</w:t>
            </w:r>
          </w:p>
        </w:tc>
        <w:tc>
          <w:tcPr>
            <w:tcW w:w="149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三</w:t>
            </w:r>
          </w:p>
        </w:tc>
        <w:tc>
          <w:tcPr>
            <w:tcW w:w="14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简单分析a</w:t>
            </w:r>
          </w:p>
        </w:tc>
      </w:tr>
      <w:tr>
        <w:tblPrEx>
          <w:tblCellMar>
            <w:top w:w="0" w:type="dxa"/>
            <w:left w:w="0" w:type="dxa"/>
            <w:bottom w:w="0" w:type="dxa"/>
            <w:right w:w="0" w:type="dxa"/>
          </w:tblCellMar>
        </w:tblPrEx>
        <w:trPr>
          <w:trHeight w:val="397" w:hRule="atLeast"/>
        </w:trPr>
        <w:tc>
          <w:tcPr>
            <w:tcW w:w="8342" w:type="dxa"/>
            <w:gridSpan w:val="5"/>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rPr>
            </w:pPr>
            <w:r>
              <w:rPr>
                <w:rFonts w:hint="default"/>
                <w:color w:val="auto"/>
                <w:sz w:val="21"/>
                <w:szCs w:val="21"/>
                <w:lang w:val="en-US" w:eastAsia="zh-CN"/>
              </w:rPr>
              <w:t>a是相对于详细评价工作内容而言，在描述危险物质、环境影响途径、环境危害后果、风险防范措施等方面给出定性的说明。见附录A。</w:t>
            </w:r>
          </w:p>
        </w:tc>
      </w:tr>
    </w:tbl>
    <w:p>
      <w:pPr>
        <w:pageBreakBefore w:val="0"/>
        <w:widowControl w:val="0"/>
        <w:kinsoku/>
        <w:wordWrap/>
        <w:overflowPunct/>
        <w:topLinePunct w:val="0"/>
        <w:autoSpaceDE/>
        <w:autoSpaceDN/>
        <w:bidi w:val="0"/>
        <w:adjustRightInd/>
        <w:snapToGrid/>
        <w:spacing w:line="360" w:lineRule="auto"/>
        <w:textAlignment w:val="auto"/>
        <w:rPr>
          <w:rFonts w:hint="default"/>
          <w:color w:val="auto"/>
          <w:sz w:val="24"/>
          <w:szCs w:val="24"/>
        </w:rPr>
      </w:pPr>
      <w:r>
        <w:rPr>
          <w:rFonts w:hint="default"/>
          <w:color w:val="auto"/>
          <w:sz w:val="24"/>
          <w:szCs w:val="24"/>
          <w:lang w:val="en-US" w:eastAsia="zh-CN"/>
        </w:rPr>
        <w:t>本项目环境</w:t>
      </w:r>
      <w:r>
        <w:rPr>
          <w:rFonts w:hint="default"/>
          <w:color w:val="auto"/>
          <w:sz w:val="24"/>
          <w:szCs w:val="24"/>
        </w:rPr>
        <w:t>风险潜势为Ⅰ</w:t>
      </w:r>
      <w:r>
        <w:rPr>
          <w:rFonts w:hint="default"/>
          <w:color w:val="auto"/>
          <w:sz w:val="24"/>
          <w:szCs w:val="24"/>
          <w:lang w:eastAsia="zh-CN"/>
        </w:rPr>
        <w:t>，</w:t>
      </w:r>
      <w:r>
        <w:rPr>
          <w:rFonts w:hint="default"/>
          <w:color w:val="auto"/>
          <w:sz w:val="24"/>
          <w:szCs w:val="24"/>
        </w:rPr>
        <w:t>可开展简单分析。</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textAlignment w:val="auto"/>
        <w:rPr>
          <w:rFonts w:hint="eastAsia"/>
          <w:color w:val="auto"/>
        </w:rPr>
      </w:pPr>
      <w:r>
        <w:rPr>
          <w:rFonts w:hint="eastAsia"/>
          <w:color w:val="auto"/>
          <w:lang w:val="en-US" w:eastAsia="zh-CN"/>
        </w:rPr>
        <w:t>7.2.4</w:t>
      </w:r>
      <w:r>
        <w:rPr>
          <w:rFonts w:hint="eastAsia"/>
          <w:color w:val="auto"/>
        </w:rPr>
        <w:t>项目周围主要环境敏感目标</w:t>
      </w:r>
    </w:p>
    <w:p>
      <w:pPr>
        <w:pageBreakBefore w:val="0"/>
        <w:widowControl w:val="0"/>
        <w:kinsoku/>
        <w:wordWrap/>
        <w:overflowPunct/>
        <w:topLinePunct w:val="0"/>
        <w:autoSpaceDE/>
        <w:autoSpaceDN/>
        <w:bidi w:val="0"/>
        <w:adjustRightInd/>
        <w:snapToGrid/>
        <w:spacing w:line="360" w:lineRule="auto"/>
        <w:textAlignment w:val="auto"/>
        <w:rPr>
          <w:rFonts w:hint="default" w:eastAsia="宋体"/>
          <w:color w:val="auto"/>
          <w:lang w:val="en-US" w:eastAsia="zh-CN"/>
        </w:rPr>
      </w:pPr>
      <w:r>
        <w:rPr>
          <w:rFonts w:hint="eastAsia"/>
          <w:color w:val="auto"/>
          <w:lang w:val="en-US" w:eastAsia="zh-CN"/>
        </w:rPr>
        <w:t>项目周边主要环境保护目标见表2.9-1及图2.9-2。</w:t>
      </w:r>
    </w:p>
    <w:p>
      <w:pPr>
        <w:pStyle w:val="4"/>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right="0" w:rightChars="0"/>
        <w:textAlignment w:val="auto"/>
        <w:rPr>
          <w:rFonts w:hint="default" w:ascii="Times New Roman" w:hAnsi="Times New Roman" w:cs="Times New Roman"/>
          <w:color w:val="auto"/>
        </w:rPr>
      </w:pPr>
      <w:bookmarkStart w:id="103" w:name="_Toc6116"/>
      <w:r>
        <w:rPr>
          <w:rFonts w:hint="eastAsia" w:cs="Times New Roman"/>
          <w:color w:val="auto"/>
          <w:lang w:val="en-US" w:eastAsia="zh-CN"/>
        </w:rPr>
        <w:t>7</w:t>
      </w:r>
      <w:r>
        <w:rPr>
          <w:rFonts w:hint="eastAsia" w:ascii="Times New Roman" w:hAnsi="Times New Roman" w:cs="Times New Roman"/>
          <w:color w:val="auto"/>
          <w:lang w:val="en-US" w:eastAsia="zh-CN"/>
        </w:rPr>
        <w:t>.3</w:t>
      </w:r>
      <w:r>
        <w:rPr>
          <w:rFonts w:hint="default" w:ascii="Times New Roman" w:hAnsi="Times New Roman" w:cs="Times New Roman"/>
          <w:color w:val="auto"/>
        </w:rPr>
        <w:t>风险识别</w:t>
      </w:r>
      <w:bookmarkEnd w:id="103"/>
    </w:p>
    <w:p>
      <w:pPr>
        <w:pStyle w:val="5"/>
        <w:keepNext/>
        <w:keepLines/>
        <w:pageBreakBefore w:val="0"/>
        <w:widowControl w:val="0"/>
        <w:numPr>
          <w:ilvl w:val="0"/>
          <w:numId w:val="0"/>
        </w:numPr>
        <w:kinsoku/>
        <w:wordWrap/>
        <w:overflowPunct/>
        <w:topLinePunct w:val="0"/>
        <w:autoSpaceDE/>
        <w:autoSpaceDN/>
        <w:bidi w:val="0"/>
        <w:adjustRightInd/>
        <w:snapToGrid/>
        <w:spacing w:before="0" w:beforeLines="0" w:line="360" w:lineRule="auto"/>
        <w:ind w:right="0" w:rightChars="0"/>
        <w:textAlignment w:val="auto"/>
        <w:rPr>
          <w:rFonts w:hint="default" w:ascii="Times New Roman" w:hAnsi="Times New Roman" w:cs="Times New Roman"/>
          <w:color w:val="auto"/>
        </w:rPr>
      </w:pPr>
      <w:r>
        <w:rPr>
          <w:rFonts w:hint="eastAsia" w:cs="Times New Roman"/>
          <w:color w:val="auto"/>
          <w:lang w:val="en-US" w:eastAsia="zh-CN"/>
        </w:rPr>
        <w:t>7</w:t>
      </w:r>
      <w:r>
        <w:rPr>
          <w:rFonts w:hint="eastAsia" w:ascii="Times New Roman" w:hAnsi="Times New Roman" w:cs="Times New Roman"/>
          <w:color w:val="auto"/>
          <w:lang w:val="en-US" w:eastAsia="zh-CN"/>
        </w:rPr>
        <w:t>.3.1</w:t>
      </w:r>
      <w:r>
        <w:rPr>
          <w:rFonts w:hint="default" w:ascii="Times New Roman" w:hAnsi="Times New Roman" w:cs="Times New Roman"/>
          <w:color w:val="auto"/>
        </w:rPr>
        <w:t>环境风险识别</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auto"/>
          <w:spacing w:val="0"/>
        </w:rPr>
      </w:pPr>
      <w:r>
        <w:rPr>
          <w:rFonts w:hint="default" w:ascii="Times New Roman" w:hAnsi="Times New Roman" w:cs="Times New Roman"/>
          <w:color w:val="auto"/>
          <w:spacing w:val="0"/>
        </w:rPr>
        <w:t>柴油泄露、燃烧</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both"/>
        <w:textAlignment w:val="auto"/>
        <w:rPr>
          <w:rFonts w:hint="default" w:ascii="Times New Roman" w:hAnsi="Times New Roman" w:cs="Times New Roman"/>
          <w:color w:val="auto"/>
          <w:spacing w:val="0"/>
          <w:w w:val="100"/>
          <w:sz w:val="24"/>
          <w:szCs w:val="24"/>
        </w:rPr>
      </w:pPr>
      <w:r>
        <w:rPr>
          <w:color w:val="auto"/>
          <w:spacing w:val="0"/>
          <w:highlight w:val="none"/>
        </w:rPr>
        <w:t>柴油储</w:t>
      </w:r>
      <w:r>
        <w:rPr>
          <w:rFonts w:hint="eastAsia"/>
          <w:color w:val="auto"/>
          <w:spacing w:val="0"/>
          <w:highlight w:val="none"/>
          <w:lang w:eastAsia="zh-CN"/>
        </w:rPr>
        <w:t>箱</w:t>
      </w:r>
      <w:r>
        <w:rPr>
          <w:color w:val="auto"/>
          <w:spacing w:val="0"/>
        </w:rPr>
        <w:t>最可能发生的事故是贮存的油品泄漏</w:t>
      </w:r>
      <w:r>
        <w:rPr>
          <w:rFonts w:hint="eastAsia" w:eastAsia="宋体"/>
          <w:color w:val="auto"/>
          <w:spacing w:val="0"/>
          <w:lang w:val="en-US" w:eastAsia="zh-CN"/>
        </w:rPr>
        <w:t>或</w:t>
      </w:r>
      <w:r>
        <w:rPr>
          <w:color w:val="auto"/>
          <w:spacing w:val="0"/>
        </w:rPr>
        <w:t>发生火灾爆炸，</w:t>
      </w:r>
      <w:r>
        <w:rPr>
          <w:rFonts w:hint="eastAsia" w:eastAsia="宋体"/>
          <w:color w:val="auto"/>
          <w:spacing w:val="0"/>
          <w:lang w:val="en-US" w:eastAsia="zh-CN"/>
        </w:rPr>
        <w:t>油品泄</w:t>
      </w:r>
      <w:r>
        <w:rPr>
          <w:rFonts w:hint="default" w:ascii="Times New Roman" w:hAnsi="Times New Roman" w:eastAsia="宋体" w:cs="Times New Roman"/>
          <w:color w:val="auto"/>
          <w:spacing w:val="0"/>
          <w:w w:val="100"/>
          <w:sz w:val="24"/>
          <w:szCs w:val="24"/>
          <w:lang w:val="en-US" w:eastAsia="zh-CN"/>
        </w:rPr>
        <w:t>漏，会污染土壤及地下水</w:t>
      </w:r>
      <w:r>
        <w:rPr>
          <w:rFonts w:hint="eastAsia" w:cs="宋体"/>
          <w:color w:val="auto"/>
          <w:spacing w:val="0"/>
          <w:w w:val="100"/>
          <w:sz w:val="24"/>
          <w:szCs w:val="24"/>
          <w:lang w:val="en-US" w:eastAsia="zh-CN"/>
        </w:rPr>
        <w:t>；</w:t>
      </w:r>
      <w:r>
        <w:rPr>
          <w:rFonts w:hint="default" w:ascii="Times New Roman" w:hAnsi="Times New Roman" w:cs="Times New Roman"/>
          <w:color w:val="auto"/>
          <w:spacing w:val="0"/>
          <w:w w:val="100"/>
          <w:sz w:val="24"/>
          <w:szCs w:val="24"/>
        </w:rPr>
        <w:t>油罐发生火灾，油品燃烧产生的辐射热将影响其周围的邻罐或周围建筑物，甚至引起新的火灾。对周围环境产生一定的破坏作用。</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textAlignment w:val="auto"/>
        <w:rPr>
          <w:rFonts w:hint="default" w:eastAsia="宋体"/>
          <w:color w:val="auto"/>
          <w:spacing w:val="0"/>
          <w:lang w:val="en-US" w:eastAsia="zh-CN"/>
        </w:rPr>
      </w:pPr>
      <w:r>
        <w:rPr>
          <w:color w:val="auto"/>
          <w:spacing w:val="0"/>
        </w:rPr>
        <w:t>由于环境风险具有突发性和短暂性及危害较大等特点，必须采取相应有效预防措施加以防范，加强控制和管理，杜绝、减轻和避免环境</w:t>
      </w:r>
      <w:r>
        <w:rPr>
          <w:rFonts w:hint="eastAsia" w:eastAsia="宋体"/>
          <w:color w:val="auto"/>
          <w:spacing w:val="0"/>
          <w:lang w:val="en-US" w:eastAsia="zh-CN"/>
        </w:rPr>
        <w:t>风</w:t>
      </w:r>
      <w:r>
        <w:rPr>
          <w:color w:val="auto"/>
          <w:spacing w:val="0"/>
        </w:rPr>
        <w:t>险。为了防止泄漏、火灾、爆炸事故的发生，项目还应加强安全管理。因此，项目运营中应按以下方面不断加</w:t>
      </w:r>
      <w:r>
        <w:rPr>
          <w:color w:val="auto"/>
          <w:spacing w:val="0"/>
          <w:w w:val="100"/>
        </w:rPr>
        <w:t>强安全管理</w:t>
      </w:r>
      <w:r>
        <w:rPr>
          <w:rFonts w:hint="default" w:ascii="Times New Roman" w:hAnsi="Times New Roman" w:cs="Times New Roman"/>
          <w:color w:val="auto"/>
          <w:spacing w:val="0"/>
          <w:w w:val="100"/>
        </w:rPr>
        <w:t>：购买的设备应是具有相应资质的生产单位的合格产品</w:t>
      </w:r>
      <w:r>
        <w:rPr>
          <w:rFonts w:hint="eastAsia" w:cs="宋体"/>
          <w:color w:val="auto"/>
          <w:spacing w:val="0"/>
          <w:w w:val="100"/>
          <w:lang w:eastAsia="zh-CN"/>
        </w:rPr>
        <w:t>；</w:t>
      </w:r>
      <w:r>
        <w:rPr>
          <w:rFonts w:hint="default" w:ascii="Times New Roman" w:hAnsi="Times New Roman" w:cs="Times New Roman"/>
          <w:color w:val="auto"/>
          <w:spacing w:val="0"/>
          <w:w w:val="100"/>
        </w:rPr>
        <w:t>建立一套完善的安全管理制度</w:t>
      </w:r>
      <w:r>
        <w:rPr>
          <w:rFonts w:hint="eastAsia" w:cs="宋体"/>
          <w:color w:val="auto"/>
          <w:spacing w:val="0"/>
          <w:w w:val="100"/>
          <w:lang w:eastAsia="zh-CN"/>
        </w:rPr>
        <w:t>；</w:t>
      </w:r>
      <w:r>
        <w:rPr>
          <w:rFonts w:hint="default" w:ascii="Times New Roman" w:hAnsi="Times New Roman" w:cs="Times New Roman"/>
          <w:color w:val="auto"/>
          <w:spacing w:val="0"/>
          <w:w w:val="100"/>
        </w:rPr>
        <w:t>做到灭火装置完整有效，一旦发生火灾、爆炸事故时能及时启动，进行灭火。</w:t>
      </w:r>
    </w:p>
    <w:p>
      <w:pPr>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w:t>
      </w:r>
      <w:r>
        <w:rPr>
          <w:rFonts w:hint="eastAsia" w:cs="Times New Roman"/>
          <w:color w:val="auto"/>
          <w:lang w:eastAsia="zh-CN"/>
        </w:rPr>
        <w:t>污</w:t>
      </w:r>
      <w:r>
        <w:rPr>
          <w:rFonts w:hint="default" w:ascii="Times New Roman" w:hAnsi="Times New Roman" w:cs="Times New Roman"/>
          <w:color w:val="auto"/>
        </w:rPr>
        <w:t>水处理站事故排放</w:t>
      </w:r>
    </w:p>
    <w:p>
      <w:pPr>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当污水处理站出现事故停运时，</w:t>
      </w:r>
      <w:r>
        <w:rPr>
          <w:rFonts w:hint="eastAsia" w:cs="Times New Roman"/>
          <w:color w:val="auto"/>
          <w:lang w:val="en-US" w:eastAsia="zh-CN"/>
        </w:rPr>
        <w:t>COD、NH</w:t>
      </w:r>
      <w:r>
        <w:rPr>
          <w:rFonts w:hint="eastAsia" w:cs="Times New Roman"/>
          <w:color w:val="auto"/>
          <w:vertAlign w:val="subscript"/>
          <w:lang w:val="en-US" w:eastAsia="zh-CN"/>
        </w:rPr>
        <w:t>3</w:t>
      </w:r>
      <w:r>
        <w:rPr>
          <w:rFonts w:hint="eastAsia" w:cs="Times New Roman"/>
          <w:color w:val="auto"/>
          <w:lang w:val="en-US" w:eastAsia="zh-CN"/>
        </w:rPr>
        <w:t>-N、</w:t>
      </w:r>
      <w:r>
        <w:rPr>
          <w:rFonts w:hint="default" w:ascii="Times New Roman" w:hAnsi="Times New Roman" w:cs="Times New Roman"/>
          <w:color w:val="auto"/>
        </w:rPr>
        <w:t>粪大肠菌群不能达到污水综合《医疗机构水污染物排放标准》（GB18466-2005）预处理标准要求。如果事故停运时让废水直接外排大量超标废水进入市政污水管网，从而造成对城市污水处理厂入水水质的环境影响。</w:t>
      </w:r>
    </w:p>
    <w:p>
      <w:pPr>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3、危险废物暂存</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color w:val="auto"/>
        </w:rPr>
      </w:pPr>
      <w:r>
        <w:rPr>
          <w:rFonts w:hint="default"/>
          <w:color w:val="auto"/>
        </w:rPr>
        <w:t>危险废物在暂存或转运中，由于管理疏忽，造成危险废物未能得到安全处置导致环境污染。</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4、化学药剂使用</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消毒液（次氯酸钠）、乙醚、福尔马林（甲醛）等化学药剂在使用过程中由于人员操作不当发生倾倒、泄露，造成环境污染。</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5、天然气</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天然气输送过程由于阀门长期使用出现磨损或管道破损发生泄漏，遇到明火</w:t>
      </w:r>
      <w:r>
        <w:rPr>
          <w:rFonts w:hint="default" w:ascii="Times New Roman" w:hAnsi="Times New Roman" w:cs="Times New Roman"/>
          <w:color w:val="auto"/>
          <w:sz w:val="24"/>
          <w:szCs w:val="24"/>
        </w:rPr>
        <w:t>或者电击引发的火灾和爆炸事故</w:t>
      </w:r>
      <w:r>
        <w:rPr>
          <w:rFonts w:hint="eastAsia" w:ascii="Times New Roman" w:hAnsi="Times New Roman" w:eastAsia="宋体" w:cs="Times New Roman"/>
          <w:color w:val="auto"/>
          <w:lang w:val="en-US" w:eastAsia="zh-CN"/>
        </w:rPr>
        <w:t>，造成环境污染。</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right="0" w:rightChars="0"/>
        <w:textAlignment w:val="auto"/>
        <w:rPr>
          <w:rFonts w:hint="default" w:ascii="Times New Roman" w:hAnsi="Times New Roman" w:cs="Times New Roman"/>
          <w:color w:val="auto"/>
        </w:rPr>
      </w:pPr>
      <w:r>
        <w:rPr>
          <w:rFonts w:hint="eastAsia" w:cs="Times New Roman"/>
          <w:color w:val="auto"/>
          <w:lang w:val="en-US" w:eastAsia="zh-CN"/>
        </w:rPr>
        <w:t>7</w:t>
      </w:r>
      <w:r>
        <w:rPr>
          <w:rFonts w:hint="eastAsia" w:ascii="Times New Roman" w:hAnsi="Times New Roman" w:cs="Times New Roman"/>
          <w:color w:val="auto"/>
          <w:lang w:val="en-US" w:eastAsia="zh-CN"/>
        </w:rPr>
        <w:t>.3.2</w:t>
      </w:r>
      <w:r>
        <w:rPr>
          <w:rFonts w:hint="default" w:ascii="Times New Roman" w:hAnsi="Times New Roman" w:cs="Times New Roman"/>
          <w:color w:val="auto"/>
        </w:rPr>
        <w:t>环境风险</w:t>
      </w:r>
      <w:r>
        <w:rPr>
          <w:rFonts w:hint="eastAsia" w:ascii="Times New Roman" w:hAnsi="Times New Roman" w:eastAsia="宋体" w:cs="Times New Roman"/>
          <w:color w:val="auto"/>
          <w:lang w:val="en-US" w:eastAsia="zh-CN"/>
        </w:rPr>
        <w:t>分析</w:t>
      </w:r>
    </w:p>
    <w:p>
      <w:pPr>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rPr>
      </w:pPr>
      <w:r>
        <w:rPr>
          <w:rFonts w:hint="default"/>
          <w:color w:val="auto"/>
        </w:rPr>
        <w:t>1、医疗废物未经处理产生的危害影响</w:t>
      </w:r>
    </w:p>
    <w:p>
      <w:pPr>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rPr>
      </w:pPr>
      <w:r>
        <w:rPr>
          <w:rFonts w:hint="default"/>
          <w:color w:val="auto"/>
        </w:rPr>
        <w:t>本项目的主要危险废物主要为医疗废物，医疗废物必须经科学地分类收集、贮存后委托有资质单位处理。</w:t>
      </w:r>
      <w:r>
        <w:rPr>
          <w:rFonts w:hint="eastAsia"/>
          <w:color w:val="auto"/>
          <w:lang w:eastAsia="zh-CN"/>
        </w:rPr>
        <w:t>医疗废物</w:t>
      </w:r>
      <w:r>
        <w:rPr>
          <w:rFonts w:hint="default"/>
          <w:color w:val="auto"/>
        </w:rPr>
        <w:t>中可能存在传染性病菌、病毒、化学污染物等有害物质，由于</w:t>
      </w:r>
      <w:r>
        <w:rPr>
          <w:rFonts w:hint="eastAsia"/>
          <w:color w:val="auto"/>
          <w:lang w:eastAsia="zh-CN"/>
        </w:rPr>
        <w:t>医疗废物</w:t>
      </w:r>
      <w:r>
        <w:rPr>
          <w:rFonts w:hint="default"/>
          <w:color w:val="auto"/>
        </w:rPr>
        <w:t>具有急性传染和潜伏性污染等特征，其病毒、病菌的危害性是普通生活垃圾的几十、几百甚至上千倍，且基本没有回收再利用的价值。有关资料证实，</w:t>
      </w:r>
      <w:r>
        <w:rPr>
          <w:rFonts w:hint="eastAsia"/>
          <w:color w:val="auto"/>
          <w:lang w:eastAsia="zh-CN"/>
        </w:rPr>
        <w:t>医疗废物</w:t>
      </w:r>
      <w:r>
        <w:rPr>
          <w:rFonts w:hint="default"/>
          <w:color w:val="auto"/>
        </w:rPr>
        <w:t>引起的交叉感染占社会交叉感染率的20％。在我国，早已将其列为头号危险废物。</w:t>
      </w:r>
    </w:p>
    <w:p>
      <w:pPr>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rPr>
      </w:pPr>
      <w:r>
        <w:rPr>
          <w:rFonts w:hint="default"/>
          <w:color w:val="auto"/>
        </w:rPr>
        <w:t>2、项目废水事故排放引起的风险</w:t>
      </w:r>
    </w:p>
    <w:p>
      <w:pPr>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rPr>
      </w:pPr>
      <w:r>
        <w:rPr>
          <w:rFonts w:hint="default"/>
          <w:color w:val="auto"/>
        </w:rPr>
        <w:t>项目因污染物防治设施非正常使用，如：管道破裂、泵设备损坏或失效、人为操作失误等，导致废水未经处理，直接排入污水处理厂而引起的污染风险事故。项目废水非正常排放会加大污染负荷，将对市政管道污水水质造成一定得影响，对于最终进入污水处理厂的水质会造成一定的冲击，对污水处理厂的处理效果也有一定的负面影响。</w:t>
      </w:r>
    </w:p>
    <w:p>
      <w:pPr>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highlight w:val="none"/>
        </w:rPr>
      </w:pPr>
      <w:r>
        <w:rPr>
          <w:rFonts w:hint="default"/>
          <w:color w:val="auto"/>
          <w:highlight w:val="none"/>
        </w:rPr>
        <w:t>3、柴油储</w:t>
      </w:r>
      <w:r>
        <w:rPr>
          <w:rFonts w:hint="eastAsia"/>
          <w:color w:val="auto"/>
          <w:highlight w:val="none"/>
          <w:lang w:eastAsia="zh-CN"/>
        </w:rPr>
        <w:t>箱</w:t>
      </w:r>
      <w:r>
        <w:rPr>
          <w:rFonts w:hint="default"/>
          <w:color w:val="auto"/>
          <w:highlight w:val="none"/>
        </w:rPr>
        <w:t>风险</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rPr>
      </w:pPr>
      <w:r>
        <w:rPr>
          <w:rFonts w:hint="default"/>
          <w:color w:val="auto"/>
        </w:rPr>
        <w:t>柴油储</w:t>
      </w:r>
      <w:r>
        <w:rPr>
          <w:rFonts w:hint="eastAsia"/>
          <w:color w:val="auto"/>
          <w:lang w:eastAsia="zh-CN"/>
        </w:rPr>
        <w:t>箱</w:t>
      </w:r>
      <w:r>
        <w:rPr>
          <w:rFonts w:hint="default"/>
          <w:color w:val="auto"/>
        </w:rPr>
        <w:t>最可能发生的事故是贮存的油品泄漏并发生火灾爆炸，油罐发生火灾后，油品燃烧产生的辐射热将影响其周围的邻罐或周围建筑物，甚至引起新的火灾。对周围环境产生一定的破坏作用。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color w:val="auto"/>
        </w:rPr>
      </w:pPr>
      <w:r>
        <w:rPr>
          <w:rFonts w:hint="eastAsia"/>
          <w:color w:val="auto"/>
          <w:lang w:val="en-US" w:eastAsia="zh-CN"/>
        </w:rPr>
        <w:t>4、化学品药剂泄露</w:t>
      </w:r>
      <w:r>
        <w:rPr>
          <w:rFonts w:hint="default"/>
          <w:color w:val="auto"/>
        </w:rPr>
        <w:t>引起的风险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textAlignment w:val="auto"/>
        <w:rPr>
          <w:rFonts w:hint="eastAsia" w:eastAsia="宋体"/>
          <w:color w:val="auto"/>
          <w:lang w:val="en-US" w:eastAsia="zh-CN"/>
        </w:rPr>
      </w:pPr>
      <w:r>
        <w:rPr>
          <w:rFonts w:hint="eastAsia"/>
          <w:color w:val="auto"/>
          <w:lang w:val="en-US" w:eastAsia="zh-CN"/>
        </w:rPr>
        <w:t>化学品药剂发生泄露可能会挥发出有害气体，在收集过程产生污染性废水、沾染化学品的抹布等。其风险主要是</w:t>
      </w:r>
      <w:r>
        <w:rPr>
          <w:rFonts w:hint="default" w:ascii="Times New Roman" w:hAnsi="Times New Roman" w:cs="Times New Roman"/>
          <w:color w:val="auto"/>
          <w:sz w:val="24"/>
          <w:szCs w:val="24"/>
        </w:rPr>
        <w:t>是人群健康风险和水体污染风险</w:t>
      </w:r>
      <w:r>
        <w:rPr>
          <w:rFonts w:hint="eastAsia" w:ascii="Times New Roman" w:hAnsi="Times New Roman" w:cs="Times New Roman"/>
          <w:color w:val="auto"/>
          <w:sz w:val="24"/>
          <w:szCs w:val="24"/>
          <w:lang w:val="en-US" w:eastAsia="zh-CN"/>
        </w:rPr>
        <w:t>。</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color w:val="auto"/>
          <w:highlight w:val="none"/>
          <w:lang w:val="en-US" w:eastAsia="zh-CN"/>
        </w:rPr>
      </w:pPr>
      <w:r>
        <w:rPr>
          <w:rFonts w:hint="eastAsia"/>
          <w:color w:val="auto"/>
          <w:lang w:val="en-US" w:eastAsia="zh-CN"/>
        </w:rPr>
        <w:t>天然气泄露</w:t>
      </w:r>
      <w:r>
        <w:rPr>
          <w:rFonts w:hint="default"/>
          <w:color w:val="auto"/>
          <w:highlight w:val="none"/>
        </w:rPr>
        <w:t>风险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textAlignment w:val="auto"/>
        <w:rPr>
          <w:rFonts w:hint="eastAsia" w:eastAsia="宋体"/>
          <w:color w:val="auto"/>
          <w:lang w:val="en-US" w:eastAsia="zh-CN"/>
        </w:rPr>
      </w:pPr>
      <w:r>
        <w:rPr>
          <w:rFonts w:hint="default" w:ascii="Times New Roman" w:hAnsi="Times New Roman" w:cs="Times New Roman"/>
          <w:color w:val="auto"/>
          <w:sz w:val="24"/>
          <w:szCs w:val="24"/>
        </w:rPr>
        <w:t>天然气泄漏、火灾和爆炸事故危险性首先是对人们生命财产造成威胁，其次是火灾和爆炸事故产生的烟气和有毒有害气体污染大气环境</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再次是火灾和爆炸事故处理消防水未得到有效控制和处理进水环境对水体造成污染</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最后是消防水下渗进入土壤对土壤环境造成污染。</w:t>
      </w:r>
    </w:p>
    <w:p>
      <w:pPr>
        <w:pStyle w:val="4"/>
        <w:pageBreakBefore w:val="0"/>
        <w:widowControl w:val="0"/>
        <w:numPr>
          <w:ilvl w:val="0"/>
          <w:numId w:val="0"/>
        </w:numPr>
        <w:kinsoku/>
        <w:wordWrap/>
        <w:overflowPunct/>
        <w:topLinePunct w:val="0"/>
        <w:autoSpaceDE/>
        <w:autoSpaceDN/>
        <w:bidi w:val="0"/>
        <w:adjustRightInd/>
        <w:snapToGrid/>
        <w:spacing w:after="0" w:line="360" w:lineRule="auto"/>
        <w:ind w:leftChars="0" w:right="0" w:rightChars="0"/>
        <w:textAlignment w:val="auto"/>
        <w:rPr>
          <w:rFonts w:hint="default" w:ascii="Times New Roman" w:hAnsi="Times New Roman" w:cs="Times New Roman"/>
          <w:color w:val="auto"/>
        </w:rPr>
      </w:pPr>
      <w:bookmarkStart w:id="104" w:name="_Toc14870"/>
      <w:r>
        <w:rPr>
          <w:rFonts w:hint="eastAsia" w:cs="Times New Roman"/>
          <w:color w:val="auto"/>
          <w:lang w:val="en-US" w:eastAsia="zh-CN"/>
        </w:rPr>
        <w:t>7</w:t>
      </w:r>
      <w:r>
        <w:rPr>
          <w:rFonts w:hint="eastAsia" w:ascii="Times New Roman" w:hAnsi="Times New Roman" w:cs="Times New Roman"/>
          <w:color w:val="auto"/>
          <w:lang w:val="en-US" w:eastAsia="zh-CN"/>
        </w:rPr>
        <w:t>.4</w:t>
      </w:r>
      <w:r>
        <w:rPr>
          <w:rFonts w:hint="default" w:ascii="Times New Roman" w:hAnsi="Times New Roman" w:cs="Times New Roman"/>
          <w:color w:val="auto"/>
        </w:rPr>
        <w:t>风险防范措施</w:t>
      </w:r>
      <w:bookmarkEnd w:id="104"/>
    </w:p>
    <w:p>
      <w:pPr>
        <w:pStyle w:val="5"/>
        <w:pageBreakBefore w:val="0"/>
        <w:widowControl w:val="0"/>
        <w:numPr>
          <w:ilvl w:val="0"/>
          <w:numId w:val="0"/>
        </w:numPr>
        <w:kinsoku/>
        <w:wordWrap/>
        <w:overflowPunct/>
        <w:topLinePunct w:val="0"/>
        <w:autoSpaceDE/>
        <w:autoSpaceDN/>
        <w:bidi w:val="0"/>
        <w:adjustRightInd/>
        <w:snapToGrid/>
        <w:spacing w:before="120" w:line="360" w:lineRule="auto"/>
        <w:ind w:leftChars="0" w:right="0" w:rightChars="0"/>
        <w:textAlignment w:val="auto"/>
        <w:rPr>
          <w:rFonts w:hint="default" w:ascii="Times New Roman" w:hAnsi="Times New Roman" w:cs="Times New Roman"/>
          <w:color w:val="auto"/>
        </w:rPr>
      </w:pPr>
      <w:r>
        <w:rPr>
          <w:rFonts w:hint="eastAsia" w:cs="Times New Roman"/>
          <w:color w:val="auto"/>
          <w:lang w:val="en-US" w:eastAsia="zh-CN"/>
        </w:rPr>
        <w:t>7</w:t>
      </w:r>
      <w:r>
        <w:rPr>
          <w:rFonts w:hint="eastAsia" w:ascii="Times New Roman" w:hAnsi="Times New Roman" w:cs="Times New Roman"/>
          <w:color w:val="auto"/>
          <w:lang w:val="en-US" w:eastAsia="zh-CN"/>
        </w:rPr>
        <w:t>.4.1</w:t>
      </w:r>
      <w:r>
        <w:rPr>
          <w:rFonts w:hint="default" w:ascii="Times New Roman" w:hAnsi="Times New Roman" w:cs="Times New Roman"/>
          <w:color w:val="auto"/>
        </w:rPr>
        <w:t>柴油储</w:t>
      </w:r>
      <w:r>
        <w:rPr>
          <w:rFonts w:hint="eastAsia" w:cs="Times New Roman"/>
          <w:color w:val="auto"/>
          <w:lang w:eastAsia="zh-CN"/>
        </w:rPr>
        <w:t>箱</w:t>
      </w:r>
      <w:r>
        <w:rPr>
          <w:rFonts w:hint="default" w:ascii="Times New Roman" w:hAnsi="Times New Roman" w:cs="Times New Roman"/>
          <w:color w:val="auto"/>
        </w:rPr>
        <w:t>环境风险防范措施</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1</w:t>
      </w:r>
      <w:r>
        <w:rPr>
          <w:rFonts w:hint="default" w:ascii="Times New Roman" w:hAnsi="Times New Roman" w:cs="Times New Roman"/>
          <w:color w:val="auto"/>
        </w:rPr>
        <w:t>）危险化学品贮运安全防范措施</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库房的建筑设计应符合《建筑设计防火规范》、《仓库防火安全管理规则》、《危险还学品安全管理条例》的要求</w:t>
      </w:r>
      <w:r>
        <w:rPr>
          <w:rFonts w:hint="eastAsia" w:cs="宋体"/>
          <w:color w:val="auto"/>
          <w:lang w:eastAsia="zh-CN"/>
        </w:rPr>
        <w:t>；</w:t>
      </w:r>
      <w:r>
        <w:rPr>
          <w:rFonts w:hint="default" w:ascii="Times New Roman" w:hAnsi="Times New Roman" w:cs="Times New Roman"/>
          <w:color w:val="auto"/>
        </w:rPr>
        <w:t>地下储油罐区应有明显的危险标记，场所应有警示标志和书写有危险特性、泄漏应急处理、储运注意事项和灭火方法等内容的标牌</w:t>
      </w:r>
      <w:r>
        <w:rPr>
          <w:rFonts w:hint="eastAsia" w:cs="宋体"/>
          <w:color w:val="auto"/>
          <w:lang w:eastAsia="zh-CN"/>
        </w:rPr>
        <w:t>；</w:t>
      </w:r>
      <w:r>
        <w:rPr>
          <w:rFonts w:hint="default" w:ascii="Times New Roman" w:hAnsi="Times New Roman" w:cs="Times New Roman"/>
          <w:color w:val="auto"/>
        </w:rPr>
        <w:t>运输单位应有相应资质</w:t>
      </w:r>
      <w:r>
        <w:rPr>
          <w:rFonts w:hint="eastAsia" w:cs="宋体"/>
          <w:color w:val="auto"/>
          <w:lang w:eastAsia="zh-CN"/>
        </w:rPr>
        <w:t>；</w:t>
      </w:r>
      <w:r>
        <w:rPr>
          <w:rFonts w:hint="default" w:ascii="Times New Roman" w:hAnsi="Times New Roman" w:cs="Times New Roman"/>
          <w:color w:val="auto"/>
        </w:rPr>
        <w:t>组织义务消防队，并定期组织消防训练，使库房管理人员学会使用消防器材，并组织训练演习。</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rPr>
        <w:t>柴油发电产生的废气污染物由专用的排烟竖井排至</w:t>
      </w:r>
      <w:r>
        <w:rPr>
          <w:rFonts w:hint="eastAsia" w:cs="Times New Roman"/>
          <w:color w:val="auto"/>
          <w:lang w:eastAsia="zh-CN"/>
        </w:rPr>
        <w:t>楼顶排放</w:t>
      </w:r>
      <w:r>
        <w:rPr>
          <w:rFonts w:hint="default" w:ascii="Times New Roman" w:hAnsi="Times New Roman" w:cs="Times New Roman"/>
          <w:color w:val="auto"/>
        </w:rPr>
        <w:t>。</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3</w:t>
      </w:r>
      <w:r>
        <w:rPr>
          <w:rFonts w:hint="default" w:ascii="Times New Roman" w:hAnsi="Times New Roman" w:cs="Times New Roman"/>
          <w:color w:val="auto"/>
        </w:rPr>
        <w:t>）配备消防泵、喷淋泵等专用消防设备。</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4</w:t>
      </w:r>
      <w:r>
        <w:rPr>
          <w:rFonts w:hint="default" w:ascii="Times New Roman" w:hAnsi="Times New Roman" w:cs="Times New Roman"/>
          <w:color w:val="auto"/>
        </w:rPr>
        <w:t>）合理设置储油规模</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根据《民用建筑电气设计规范》的规定按备用柴油发电机运行3~8小时设置储油罐，而民用建筑防火规范要求更严格，应在机房内设置专用的储油罐区，其总储存量不超过8小时的需要量。</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5</w:t>
      </w:r>
      <w:r>
        <w:rPr>
          <w:rFonts w:hint="default" w:ascii="Times New Roman" w:hAnsi="Times New Roman" w:cs="Times New Roman"/>
          <w:color w:val="auto"/>
        </w:rPr>
        <w:t>）储油间应采用防火墙与发电机间隔开，当必须在防火墙上开门时，应设置能自行关闭的甲级防火门，并向发电机间开启。</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6</w:t>
      </w:r>
      <w:r>
        <w:rPr>
          <w:rFonts w:hint="default" w:ascii="Times New Roman" w:hAnsi="Times New Roman" w:cs="Times New Roman"/>
          <w:color w:val="auto"/>
        </w:rPr>
        <w:t>）储油罐区灯具采用防爆型。</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eastAsia="宋体" w:cs="Times New Roman"/>
          <w:color w:val="auto"/>
          <w:lang w:val="en-US" w:eastAsia="zh-CN"/>
        </w:rPr>
        <w:t>7</w:t>
      </w:r>
      <w:r>
        <w:rPr>
          <w:rFonts w:hint="default" w:ascii="Times New Roman" w:hAnsi="Times New Roman" w:cs="Times New Roman"/>
          <w:color w:val="auto"/>
        </w:rPr>
        <w:t>）机房接地</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备用柴油发电机房一般应有三种接地：工作接地：发电机中性点接地</w:t>
      </w:r>
      <w:r>
        <w:rPr>
          <w:rFonts w:hint="eastAsia" w:cs="宋体"/>
          <w:color w:val="auto"/>
          <w:lang w:eastAsia="zh-CN"/>
        </w:rPr>
        <w:t>；</w:t>
      </w:r>
      <w:r>
        <w:rPr>
          <w:rFonts w:hint="default" w:ascii="Times New Roman" w:hAnsi="Times New Roman" w:cs="Times New Roman"/>
          <w:color w:val="auto"/>
        </w:rPr>
        <w:t>保护接地：电气设备正常不带电的金属外壳接地</w:t>
      </w:r>
      <w:r>
        <w:rPr>
          <w:rFonts w:hint="eastAsia" w:cs="宋体"/>
          <w:color w:val="auto"/>
          <w:lang w:eastAsia="zh-CN"/>
        </w:rPr>
        <w:t>；</w:t>
      </w:r>
      <w:r>
        <w:rPr>
          <w:rFonts w:hint="default" w:ascii="Times New Roman" w:hAnsi="Times New Roman" w:cs="Times New Roman"/>
          <w:color w:val="auto"/>
        </w:rPr>
        <w:t>防静电接地：燃油系统的设备及管道接地。各种接地与建筑物的其它接地共用接地装置，即采用联合接地方式。设计时应在机房设接地预埋件。</w:t>
      </w:r>
    </w:p>
    <w:p>
      <w:pPr>
        <w:pStyle w:val="5"/>
        <w:pageBreakBefore w:val="0"/>
        <w:widowControl w:val="0"/>
        <w:numPr>
          <w:ilvl w:val="0"/>
          <w:numId w:val="0"/>
        </w:numPr>
        <w:kinsoku/>
        <w:wordWrap/>
        <w:overflowPunct/>
        <w:topLinePunct w:val="0"/>
        <w:autoSpaceDE/>
        <w:autoSpaceDN/>
        <w:bidi w:val="0"/>
        <w:adjustRightInd/>
        <w:snapToGrid/>
        <w:spacing w:before="120" w:line="360" w:lineRule="auto"/>
        <w:ind w:leftChars="0" w:right="0" w:rightChars="0"/>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7</w:t>
      </w:r>
      <w:r>
        <w:rPr>
          <w:rFonts w:hint="eastAsia" w:ascii="Times New Roman" w:hAnsi="Times New Roman" w:cs="Times New Roman"/>
          <w:color w:val="auto"/>
          <w:lang w:val="en-US" w:eastAsia="zh-CN"/>
        </w:rPr>
        <w:t>.4.2</w:t>
      </w:r>
      <w:r>
        <w:rPr>
          <w:rFonts w:hint="eastAsia" w:cs="Times New Roman"/>
          <w:color w:val="auto"/>
          <w:lang w:val="en-US" w:eastAsia="zh-CN"/>
        </w:rPr>
        <w:t xml:space="preserve"> 天然气管道风险防范措施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（1）防火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①进</w:t>
      </w:r>
      <w:r>
        <w:rPr>
          <w:rFonts w:hint="eastAsia" w:ascii="Times New Roman" w:hAnsi="Times New Roman" w:cs="Times New Roman"/>
          <w:color w:val="auto"/>
          <w:sz w:val="24"/>
          <w:szCs w:val="24"/>
          <w:lang w:eastAsia="zh-CN"/>
        </w:rPr>
        <w:t>院区</w:t>
      </w:r>
      <w:r>
        <w:rPr>
          <w:rFonts w:hint="default" w:ascii="Times New Roman" w:hAnsi="Times New Roman" w:cs="Times New Roman"/>
          <w:color w:val="auto"/>
          <w:sz w:val="24"/>
          <w:szCs w:val="24"/>
        </w:rPr>
        <w:t>天然气管线设气动紧急切断阀，以减少管道发生事故时天然气的泄漏量和引发次生灾害。关键的阀门选用质量好的阀门，以减少漏气的可能性</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建构筑物均按一、二级耐火等级设计</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建构筑物和工艺装置区均配置消防灭火设施。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②钢管选用优质的焊接钢管，并具有一定的抗破坏能力</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输气管道配置管道检漏和抢修设备，能快速、准确地发现泄漏点，并及时进行修复。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安装可燃气体报警装置，检测空气中可燃气体的浓度，报警控制器安装在控制室内，进行控制及气体浓度显示。当空气中气体浓度超过设定值（即爆炸浓度下限的20%）时，控制器在控制室中进行声光报警，以防止灾害事故的发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（2）防爆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有爆炸危险环境的场所，如</w:t>
      </w:r>
      <w:r>
        <w:rPr>
          <w:rFonts w:hint="eastAsia" w:ascii="Times New Roman" w:hAnsi="Times New Roman" w:cs="Times New Roman"/>
          <w:color w:val="auto"/>
          <w:sz w:val="24"/>
          <w:szCs w:val="24"/>
          <w:lang w:eastAsia="zh-CN"/>
        </w:rPr>
        <w:t>直燃机房</w:t>
      </w:r>
      <w:r>
        <w:rPr>
          <w:rFonts w:hint="default" w:ascii="Times New Roman" w:hAnsi="Times New Roman" w:cs="Times New Roman"/>
          <w:color w:val="auto"/>
          <w:sz w:val="24"/>
          <w:szCs w:val="24"/>
        </w:rPr>
        <w:t>等，设有可燃气体泄漏检测报警装置，可燃气体浓度达到爆炸极限下限的20%时自动报警。</w:t>
      </w:r>
    </w:p>
    <w:p>
      <w:pPr>
        <w:pStyle w:val="337"/>
        <w:keepNext w:val="0"/>
        <w:keepLines w:val="0"/>
        <w:pageBreakBefore w:val="0"/>
        <w:widowControl w:val="0"/>
        <w:numPr>
          <w:ilvl w:val="0"/>
          <w:numId w:val="0"/>
        </w:numPr>
        <w:tabs>
          <w:tab w:val="clear" w:pos="140"/>
        </w:tabs>
        <w:kinsoku/>
        <w:wordWrap/>
        <w:overflowPunct/>
        <w:topLinePunct w:val="0"/>
        <w:autoSpaceDE/>
        <w:autoSpaceDN/>
        <w:bidi w:val="0"/>
        <w:adjustRightInd/>
        <w:snapToGrid/>
        <w:spacing w:before="0" w:beforeLines="0" w:line="360" w:lineRule="auto"/>
        <w:ind w:firstLine="504"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（3）防雷、防静电</w:t>
      </w:r>
    </w:p>
    <w:p>
      <w:pPr>
        <w:pStyle w:val="337"/>
        <w:keepNext w:val="0"/>
        <w:keepLines w:val="0"/>
        <w:pageBreakBefore w:val="0"/>
        <w:widowControl w:val="0"/>
        <w:numPr>
          <w:ilvl w:val="0"/>
          <w:numId w:val="0"/>
        </w:numPr>
        <w:tabs>
          <w:tab w:val="clear" w:pos="140"/>
        </w:tabs>
        <w:kinsoku/>
        <w:wordWrap/>
        <w:overflowPunct/>
        <w:topLinePunct w:val="0"/>
        <w:autoSpaceDE/>
        <w:autoSpaceDN/>
        <w:bidi w:val="0"/>
        <w:adjustRightInd/>
        <w:snapToGrid/>
        <w:spacing w:before="0" w:beforeLines="0" w:line="360" w:lineRule="auto"/>
        <w:ind w:firstLine="504" w:firstLineChars="200"/>
        <w:outlineLvl w:val="9"/>
        <w:rPr>
          <w:rFonts w:hint="eastAsia" w:ascii="Times New Roman" w:hAnsi="Times New Roman" w:eastAsia="长城黑体" w:cs="Times New Roman"/>
          <w:color w:val="auto"/>
          <w:sz w:val="24"/>
          <w:szCs w:val="24"/>
          <w:lang w:eastAsia="zh-CN"/>
        </w:rPr>
      </w:pPr>
      <w:r>
        <w:rPr>
          <w:rFonts w:hint="default" w:ascii="Times New Roman" w:hAnsi="Times New Roman" w:cs="Times New Roman"/>
          <w:color w:val="auto"/>
          <w:sz w:val="24"/>
          <w:szCs w:val="24"/>
        </w:rPr>
        <w:t>①项目建构筑物均按二类工业建筑进行防雷设计</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项目工艺管道和设备均有静电接地装置</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工作人员穿棉织品或防静电工作服</w:t>
      </w:r>
      <w:r>
        <w:rPr>
          <w:rFonts w:hint="eastAsia" w:ascii="Times New Roman" w:hAnsi="Times New Roman" w:cs="宋体"/>
          <w:color w:val="auto"/>
          <w:sz w:val="24"/>
          <w:szCs w:val="24"/>
          <w:lang w:eastAsia="zh-CN"/>
        </w:rPr>
        <w:t>；</w:t>
      </w:r>
    </w:p>
    <w:p>
      <w:pPr>
        <w:pStyle w:val="337"/>
        <w:keepNext w:val="0"/>
        <w:keepLines w:val="0"/>
        <w:pageBreakBefore w:val="0"/>
        <w:widowControl w:val="0"/>
        <w:numPr>
          <w:ilvl w:val="0"/>
          <w:numId w:val="0"/>
        </w:numPr>
        <w:tabs>
          <w:tab w:val="clear" w:pos="140"/>
        </w:tabs>
        <w:kinsoku/>
        <w:wordWrap/>
        <w:overflowPunct/>
        <w:topLinePunct w:val="0"/>
        <w:autoSpaceDE/>
        <w:autoSpaceDN/>
        <w:bidi w:val="0"/>
        <w:adjustRightInd/>
        <w:snapToGrid/>
        <w:spacing w:before="0" w:beforeLines="0" w:line="360" w:lineRule="auto"/>
        <w:ind w:firstLine="504"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②对项目建筑物按防雷分类采取防雷措施</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对天然气管道、设备等采取消除静电和防雷措施</w:t>
      </w:r>
      <w:r>
        <w:rPr>
          <w:rFonts w:hint="eastAsia" w:ascii="Times New Roman" w:hAnsi="Times New Roman" w:cs="宋体"/>
          <w:color w:val="auto"/>
          <w:sz w:val="24"/>
          <w:szCs w:val="24"/>
          <w:lang w:eastAsia="zh-CN"/>
        </w:rPr>
        <w:t>；</w:t>
      </w:r>
      <w:r>
        <w:rPr>
          <w:rFonts w:hint="default" w:ascii="Times New Roman" w:hAnsi="Times New Roman" w:cs="Times New Roman"/>
          <w:color w:val="auto"/>
          <w:sz w:val="24"/>
          <w:szCs w:val="24"/>
        </w:rPr>
        <w:t>电缆进线、动力箱、配电柜及控制盘均做接地保护。</w:t>
      </w:r>
    </w:p>
    <w:p>
      <w:pPr>
        <w:pStyle w:val="5"/>
        <w:numPr>
          <w:ilvl w:val="2"/>
          <w:numId w:val="0"/>
        </w:numPr>
        <w:tabs>
          <w:tab w:val="left" w:pos="889"/>
        </w:tabs>
        <w:spacing w:before="122" w:after="0" w:line="360" w:lineRule="auto"/>
        <w:ind w:right="0" w:rightChars="0"/>
        <w:jc w:val="left"/>
        <w:rPr>
          <w:rFonts w:hint="eastAsia" w:ascii="宋体" w:hAnsi="宋体" w:eastAsia="宋体" w:cs="宋体"/>
          <w:b/>
          <w:bCs/>
          <w:color w:val="auto"/>
          <w:w w:val="100"/>
        </w:rPr>
      </w:pPr>
      <w:r>
        <w:rPr>
          <w:rFonts w:hint="eastAsia"/>
          <w:b/>
          <w:bCs/>
          <w:color w:val="auto"/>
          <w:w w:val="100"/>
          <w:lang w:val="en-US" w:eastAsia="zh-CN"/>
        </w:rPr>
        <w:t>7.4.3</w:t>
      </w:r>
      <w:r>
        <w:rPr>
          <w:rFonts w:hint="eastAsia" w:ascii="宋体" w:hAnsi="宋体" w:eastAsia="宋体" w:cs="宋体"/>
          <w:b/>
          <w:bCs/>
          <w:color w:val="auto"/>
          <w:w w:val="100"/>
        </w:rPr>
        <w:t>废水处理设施事故状态风险防范措施</w:t>
      </w:r>
    </w:p>
    <w:p>
      <w:pPr>
        <w:pStyle w:val="47"/>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textAlignment w:val="auto"/>
        <w:outlineLvl w:val="9"/>
        <w:rPr>
          <w:rFonts w:hint="default" w:ascii="Times New Roman" w:hAnsi="Times New Roman" w:eastAsia="宋体" w:cs="Times New Roman"/>
          <w:color w:val="auto"/>
          <w:w w:val="100"/>
          <w:sz w:val="24"/>
          <w:szCs w:val="24"/>
          <w:lang w:eastAsia="zh-CN"/>
        </w:rPr>
      </w:pPr>
      <w:r>
        <w:rPr>
          <w:rFonts w:hint="default" w:ascii="Times New Roman" w:hAnsi="Times New Roman" w:cs="Times New Roman"/>
          <w:color w:val="auto"/>
          <w:w w:val="100"/>
          <w:sz w:val="24"/>
          <w:szCs w:val="24"/>
        </w:rPr>
        <w:t>根据《医院污水处理工程技术规范》</w:t>
      </w:r>
      <w:r>
        <w:rPr>
          <w:rFonts w:hint="default" w:ascii="Times New Roman" w:hAnsi="Times New Roman" w:eastAsia="Times New Roman" w:cs="Times New Roman"/>
          <w:color w:val="auto"/>
          <w:w w:val="100"/>
          <w:sz w:val="24"/>
          <w:szCs w:val="24"/>
        </w:rPr>
        <w:t>(HJ2029-2013)</w:t>
      </w:r>
      <w:r>
        <w:rPr>
          <w:rFonts w:hint="default" w:ascii="Times New Roman" w:hAnsi="Times New Roman" w:cs="Times New Roman"/>
          <w:color w:val="auto"/>
          <w:w w:val="100"/>
          <w:sz w:val="24"/>
          <w:szCs w:val="24"/>
        </w:rPr>
        <w:t>中要求</w:t>
      </w:r>
      <w:r>
        <w:rPr>
          <w:rFonts w:hint="default" w:ascii="Times New Roman" w:hAnsi="Times New Roman" w:cs="Times New Roman"/>
          <w:color w:val="auto"/>
          <w:w w:val="100"/>
          <w:sz w:val="24"/>
          <w:szCs w:val="24"/>
          <w:lang w:eastAsia="zh-CN"/>
        </w:rPr>
        <w:t>“</w:t>
      </w:r>
      <w:r>
        <w:rPr>
          <w:rFonts w:hint="default" w:ascii="Times New Roman" w:hAnsi="Times New Roman" w:eastAsia="Times New Roman" w:cs="Times New Roman"/>
          <w:color w:val="auto"/>
          <w:w w:val="100"/>
          <w:sz w:val="24"/>
          <w:szCs w:val="24"/>
        </w:rPr>
        <w:t>12.4.1</w:t>
      </w:r>
      <w:r>
        <w:rPr>
          <w:rFonts w:hint="default" w:ascii="Times New Roman" w:hAnsi="Times New Roman" w:cs="Times New Roman"/>
          <w:color w:val="auto"/>
          <w:spacing w:val="1"/>
          <w:w w:val="100"/>
          <w:sz w:val="24"/>
          <w:szCs w:val="24"/>
        </w:rPr>
        <w:t>医院污水</w:t>
      </w:r>
      <w:r>
        <w:rPr>
          <w:rFonts w:hint="default" w:ascii="Times New Roman" w:hAnsi="Times New Roman" w:cs="Times New Roman"/>
          <w:color w:val="auto"/>
          <w:spacing w:val="-5"/>
          <w:w w:val="100"/>
          <w:sz w:val="24"/>
          <w:szCs w:val="24"/>
        </w:rPr>
        <w:t>处理工程应设应急事故池，以贮存处理系统事故或其他突发事件时医院污水。传染</w:t>
      </w:r>
      <w:r>
        <w:rPr>
          <w:rFonts w:hint="default" w:ascii="Times New Roman" w:hAnsi="Times New Roman" w:cs="Times New Roman"/>
          <w:color w:val="auto"/>
          <w:spacing w:val="-5"/>
          <w:w w:val="100"/>
          <w:sz w:val="24"/>
          <w:szCs w:val="24"/>
        </w:rPr>
        <w:t>病医院污水处理工程应急事故池容积不小于日排放量的 100%</w:t>
      </w:r>
      <w:r>
        <w:rPr>
          <w:rFonts w:hint="default" w:ascii="Times New Roman" w:hAnsi="Times New Roman" w:cs="Times New Roman"/>
          <w:color w:val="auto"/>
          <w:spacing w:val="-5"/>
          <w:w w:val="100"/>
          <w:sz w:val="24"/>
          <w:szCs w:val="24"/>
        </w:rPr>
        <w:t>，</w:t>
      </w:r>
      <w:r>
        <w:rPr>
          <w:rFonts w:hint="default" w:ascii="Times New Roman" w:hAnsi="Times New Roman" w:cs="Times New Roman"/>
          <w:color w:val="auto"/>
          <w:spacing w:val="-5"/>
          <w:w w:val="100"/>
          <w:sz w:val="24"/>
          <w:szCs w:val="24"/>
        </w:rPr>
        <w:t xml:space="preserve">非传染病医院污水处理工程应急事故池容积不小于日排放量的 30% </w:t>
      </w:r>
      <w:r>
        <w:rPr>
          <w:rFonts w:hint="default" w:ascii="Times New Roman" w:hAnsi="Times New Roman" w:cs="Times New Roman"/>
          <w:color w:val="auto"/>
          <w:w w:val="100"/>
          <w:sz w:val="24"/>
          <w:szCs w:val="24"/>
          <w:lang w:eastAsia="zh-CN"/>
        </w:rPr>
        <w:t>”</w:t>
      </w:r>
      <w:r>
        <w:rPr>
          <w:rFonts w:hint="default" w:ascii="Times New Roman" w:hAnsi="Times New Roman" w:cs="Times New Roman"/>
          <w:color w:val="auto"/>
          <w:w w:val="100"/>
          <w:sz w:val="24"/>
          <w:szCs w:val="24"/>
        </w:rPr>
        <w:t>。</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jc w:val="both"/>
        <w:textAlignment w:val="auto"/>
        <w:rPr>
          <w:rFonts w:hint="default" w:ascii="Times New Roman" w:hAnsi="Times New Roman" w:cs="Times New Roman"/>
          <w:color w:val="auto"/>
          <w:spacing w:val="-5"/>
          <w:w w:val="100"/>
          <w:sz w:val="24"/>
          <w:szCs w:val="24"/>
          <w:highlight w:val="none"/>
          <w:lang w:val="en-US" w:eastAsia="zh-CN"/>
        </w:rPr>
      </w:pPr>
      <w:r>
        <w:rPr>
          <w:rFonts w:hint="default" w:ascii="Times New Roman" w:hAnsi="Times New Roman" w:cs="Times New Roman"/>
          <w:color w:val="auto"/>
          <w:w w:val="100"/>
          <w:sz w:val="24"/>
          <w:szCs w:val="24"/>
          <w:highlight w:val="none"/>
          <w:lang w:val="en-US" w:eastAsia="zh-CN"/>
        </w:rPr>
        <w:t>本项目建成后全院传染性废水总计99.47</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val="en-US" w:eastAsia="zh-CN"/>
        </w:rPr>
        <w:t>/d，非传染性废水</w:t>
      </w:r>
      <w:r>
        <w:rPr>
          <w:rFonts w:hint="default" w:ascii="Times New Roman" w:hAnsi="Times New Roman" w:cs="Times New Roman"/>
          <w:color w:val="auto"/>
          <w:w w:val="100"/>
          <w:sz w:val="24"/>
          <w:szCs w:val="24"/>
          <w:highlight w:val="none"/>
          <w:lang w:val="en-US" w:eastAsia="zh-CN"/>
        </w:rPr>
        <w:t>总计1</w:t>
      </w:r>
      <w:r>
        <w:rPr>
          <w:rFonts w:hint="eastAsia" w:ascii="Times New Roman" w:hAnsi="Times New Roman" w:cs="Times New Roman"/>
          <w:color w:val="auto"/>
          <w:w w:val="100"/>
          <w:sz w:val="24"/>
          <w:szCs w:val="24"/>
          <w:highlight w:val="none"/>
          <w:lang w:val="en-US" w:eastAsia="zh-CN"/>
        </w:rPr>
        <w:t>718</w:t>
      </w:r>
      <w:r>
        <w:rPr>
          <w:rFonts w:hint="default" w:ascii="Times New Roman" w:hAnsi="Times New Roman" w:cs="Times New Roman"/>
          <w:color w:val="auto"/>
          <w:w w:val="100"/>
          <w:sz w:val="24"/>
          <w:szCs w:val="24"/>
          <w:highlight w:val="none"/>
          <w:lang w:val="en-US" w:eastAsia="zh-CN"/>
        </w:rPr>
        <w:t>.</w:t>
      </w:r>
      <w:r>
        <w:rPr>
          <w:rFonts w:hint="eastAsia" w:ascii="Times New Roman" w:hAnsi="Times New Roman" w:cs="Times New Roman"/>
          <w:color w:val="auto"/>
          <w:w w:val="100"/>
          <w:sz w:val="24"/>
          <w:szCs w:val="24"/>
          <w:highlight w:val="none"/>
          <w:lang w:val="en-US" w:eastAsia="zh-CN"/>
        </w:rPr>
        <w:t>33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w w:val="100"/>
          <w:sz w:val="24"/>
          <w:szCs w:val="24"/>
          <w:highlight w:val="none"/>
          <w:lang w:val="en-US" w:eastAsia="zh-CN"/>
        </w:rPr>
        <w:t>；计算可知医院</w:t>
      </w:r>
      <w:r>
        <w:rPr>
          <w:rFonts w:hint="default" w:ascii="Times New Roman" w:hAnsi="Times New Roman" w:cs="Times New Roman"/>
          <w:color w:val="auto"/>
          <w:spacing w:val="-5"/>
          <w:w w:val="100"/>
          <w:sz w:val="24"/>
          <w:szCs w:val="24"/>
          <w:highlight w:val="none"/>
        </w:rPr>
        <w:t>应急事故池容积</w:t>
      </w:r>
      <w:r>
        <w:rPr>
          <w:rFonts w:hint="default" w:ascii="Times New Roman" w:hAnsi="Times New Roman" w:cs="Times New Roman"/>
          <w:color w:val="auto"/>
          <w:spacing w:val="-5"/>
          <w:w w:val="100"/>
          <w:sz w:val="24"/>
          <w:szCs w:val="24"/>
          <w:highlight w:val="none"/>
          <w:lang w:val="en-US" w:eastAsia="zh-CN"/>
        </w:rPr>
        <w:t>须不小于6</w:t>
      </w:r>
      <w:r>
        <w:rPr>
          <w:rFonts w:hint="eastAsia" w:ascii="Times New Roman" w:hAnsi="Times New Roman" w:cs="Times New Roman"/>
          <w:color w:val="auto"/>
          <w:spacing w:val="-5"/>
          <w:w w:val="100"/>
          <w:sz w:val="24"/>
          <w:szCs w:val="24"/>
          <w:highlight w:val="none"/>
          <w:lang w:val="en-US" w:eastAsia="zh-CN"/>
        </w:rPr>
        <w:t>15</w:t>
      </w:r>
      <w:r>
        <w:rPr>
          <w:rFonts w:hint="default" w:ascii="Times New Roman" w:hAnsi="Times New Roman" w:cs="Times New Roman"/>
          <w:color w:val="auto"/>
          <w:spacing w:val="-5"/>
          <w:w w:val="100"/>
          <w:sz w:val="24"/>
          <w:szCs w:val="24"/>
          <w:highlight w:val="none"/>
          <w:lang w:val="en-US" w:eastAsia="zh-CN"/>
        </w:rPr>
        <w:t>m</w:t>
      </w:r>
      <w:r>
        <w:rPr>
          <w:rFonts w:hint="default" w:ascii="Times New Roman" w:hAnsi="Times New Roman" w:cs="Times New Roman"/>
          <w:color w:val="auto"/>
          <w:spacing w:val="-5"/>
          <w:w w:val="100"/>
          <w:sz w:val="24"/>
          <w:szCs w:val="24"/>
          <w:highlight w:val="none"/>
          <w:vertAlign w:val="superscript"/>
          <w:lang w:val="en-US" w:eastAsia="zh-CN"/>
        </w:rPr>
        <w:t>3</w:t>
      </w:r>
      <w:r>
        <w:rPr>
          <w:rFonts w:hint="default" w:ascii="Times New Roman" w:hAnsi="Times New Roman" w:cs="Times New Roman"/>
          <w:color w:val="auto"/>
          <w:spacing w:val="-5"/>
          <w:w w:val="100"/>
          <w:sz w:val="24"/>
          <w:szCs w:val="24"/>
          <w:highlight w:val="none"/>
          <w:lang w:val="en-US" w:eastAsia="zh-CN"/>
        </w:rPr>
        <w:t>。</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2" w:firstLineChars="200"/>
        <w:jc w:val="both"/>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感染楼</w:t>
      </w:r>
      <w:r>
        <w:rPr>
          <w:rFonts w:hint="eastAsia" w:cs="Times New Roman"/>
          <w:b/>
          <w:bCs/>
          <w:color w:val="auto"/>
          <w:sz w:val="24"/>
          <w:szCs w:val="24"/>
          <w:highlight w:val="none"/>
          <w:lang w:val="en-US" w:eastAsia="zh-CN"/>
        </w:rPr>
        <w:t>（特殊门诊楼）</w:t>
      </w:r>
      <w:r>
        <w:rPr>
          <w:rFonts w:hint="eastAsia" w:ascii="Times New Roman" w:hAnsi="Times New Roman" w:eastAsia="宋体" w:cs="Times New Roman"/>
          <w:b/>
          <w:bCs/>
          <w:color w:val="auto"/>
          <w:sz w:val="24"/>
          <w:szCs w:val="24"/>
          <w:highlight w:val="none"/>
          <w:lang w:val="en-US" w:eastAsia="zh-CN"/>
        </w:rPr>
        <w:t>废水与应急事故池的连通、切换</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本项目感染楼产生的传染性废水单独收集至感染楼下方的预消毒池，预消毒池设置有两路管线；一路为常用管线：正常状态下废水经管线连接至综合污水处理站，按照格栅</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调节</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水解酸化</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生物接触氧化</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沉淀</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消毒顺序处理达标后排放；另一路为备用管线：事故状态下关闭常用管线的阀门，打开事故废水阀门，消毒池废水直接排入应急事故池。</w:t>
      </w:r>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leftChars="0" w:right="0" w:rightChars="0"/>
        <w:textAlignment w:val="auto"/>
        <w:rPr>
          <w:rFonts w:hint="default" w:ascii="Times New Roman" w:hAnsi="Times New Roman" w:cs="Times New Roman"/>
          <w:color w:val="auto"/>
        </w:rPr>
      </w:pPr>
      <w:r>
        <w:rPr>
          <w:rFonts w:hint="eastAsia" w:cs="Times New Roman"/>
          <w:color w:val="auto"/>
          <w:lang w:val="en-US" w:eastAsia="zh-CN"/>
        </w:rPr>
        <w:t>7.4.4</w:t>
      </w:r>
      <w:r>
        <w:rPr>
          <w:rFonts w:hint="default" w:ascii="Times New Roman" w:hAnsi="Times New Roman" w:cs="Times New Roman"/>
          <w:color w:val="auto"/>
        </w:rPr>
        <w:t>固废处置风险防范措施</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本项目的主要危险废物主要为医疗废物，医疗废物必须经科学地分类收集、贮存运送后委托有资质单位处理。鉴于</w:t>
      </w:r>
      <w:r>
        <w:rPr>
          <w:rFonts w:hint="eastAsia" w:cs="Times New Roman"/>
          <w:color w:val="auto"/>
          <w:lang w:eastAsia="zh-CN"/>
        </w:rPr>
        <w:t>医疗废物</w:t>
      </w:r>
      <w:r>
        <w:rPr>
          <w:rFonts w:hint="default" w:ascii="Times New Roman" w:hAnsi="Times New Roman" w:cs="Times New Roman"/>
          <w:color w:val="auto"/>
        </w:rPr>
        <w:t>的极大危害性，该项目在收集、贮存、运送</w:t>
      </w:r>
      <w:r>
        <w:rPr>
          <w:rFonts w:hint="eastAsia" w:cs="Times New Roman"/>
          <w:color w:val="auto"/>
          <w:lang w:eastAsia="zh-CN"/>
        </w:rPr>
        <w:t>医疗废物</w:t>
      </w:r>
      <w:r>
        <w:rPr>
          <w:rFonts w:hint="default" w:ascii="Times New Roman" w:hAnsi="Times New Roman" w:cs="Times New Roman"/>
          <w:color w:val="auto"/>
        </w:rPr>
        <w:t>的过程中存在着一定的风险。为保证项目产生的</w:t>
      </w:r>
      <w:r>
        <w:rPr>
          <w:rFonts w:hint="eastAsia" w:cs="Times New Roman"/>
          <w:color w:val="auto"/>
          <w:lang w:eastAsia="zh-CN"/>
        </w:rPr>
        <w:t>医疗废物</w:t>
      </w:r>
      <w:r>
        <w:rPr>
          <w:rFonts w:hint="default" w:ascii="Times New Roman" w:hAnsi="Times New Roman" w:cs="Times New Roman"/>
          <w:color w:val="auto"/>
        </w:rPr>
        <w:t>得到有效处置，使其风险减少到最小程度，应具体采取如下的措施进行防范。</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eastAsia" w:cs="Times New Roman"/>
          <w:color w:val="auto"/>
          <w:lang w:val="en-US" w:eastAsia="zh-CN"/>
        </w:rPr>
        <w:t>A.</w:t>
      </w:r>
      <w:r>
        <w:rPr>
          <w:rFonts w:hint="default" w:ascii="Times New Roman" w:hAnsi="Times New Roman" w:cs="Times New Roman"/>
          <w:color w:val="auto"/>
        </w:rPr>
        <w:t>医疗废物收集</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1）本项目医疗废物要严格贯彻《医疗卫生机构医疗废物管理办法》，要采用专用容器，明确各类废物标识，分类包装，分类堆放，并本着及时、方便、安全、快捷的原则进行收集。感染性废物、病理性废物、损伤性废物、药物性废物及化学性废物不能混合收集，放入包装物或者容器内的感染性废物、病理性废物、损伤性废物不得取出。</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2）项目产生的医疗废物中病原体的培养基、标本和菌种、毒种保存液等高危险废物，由实验室等产生单位首先在产生地点进行压力蒸汽灭菌或者化学消毒处理，然后按感染性废物收集处理，化学性废物中批量的废化学试剂、废消毒剂应当由药剂科交由专门机构处置，批量的含有汞的体温计、血压计等医疗器具报废时，应当由设备科交由专门机构处置。</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3）对感染性废物必须采取安全、有效、经济的隔离和处理方法。操作感染性或任何有潜在危害的废物时，必须穿戴手套和防护服。对有多种成份混和的医学废料，应按危害等级较高者处理。感染性废物应分类丢入垃圾袋，还必须由专业人员严格区分感染性和非感染性废物，一旦分开后，感染性废物必须加以隔离。根据有关规定，所有收集感染性废物的容器都应有</w:t>
      </w:r>
      <w:r>
        <w:rPr>
          <w:rFonts w:hint="eastAsia" w:cs="宋体"/>
          <w:color w:val="auto"/>
          <w:lang w:eastAsia="zh-CN"/>
        </w:rPr>
        <w:t>“</w:t>
      </w:r>
      <w:r>
        <w:rPr>
          <w:rFonts w:hint="default" w:ascii="Times New Roman" w:hAnsi="Times New Roman" w:cs="Times New Roman"/>
          <w:color w:val="auto"/>
        </w:rPr>
        <w:t>生物危害</w:t>
      </w:r>
      <w:r>
        <w:rPr>
          <w:rFonts w:hint="eastAsia" w:cs="宋体"/>
          <w:color w:val="auto"/>
          <w:lang w:eastAsia="zh-CN"/>
        </w:rPr>
        <w:t>”</w:t>
      </w:r>
      <w:r>
        <w:rPr>
          <w:rFonts w:hint="default" w:ascii="Times New Roman" w:hAnsi="Times New Roman" w:cs="Times New Roman"/>
          <w:color w:val="auto"/>
        </w:rPr>
        <w:t>标志。有液体的感染性废料时，应确保容器无泄漏。</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（4）所有锐利物都必须单独存放，并统一按医学废物处理。收集锐利物包装容器必须使用硬质、防漏、防刺破材料。</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（5）对于医疗固体废物，禁止将其在非收集、暂时贮存地点倾倒、堆放禁止将医疗废物混入其它废物和生活垃圾，禁止在内部运送过程中丢弃医疗废物。</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ascii="Times New Roman" w:hAnsi="Times New Roman" w:eastAsia="宋体" w:cs="Times New Roman"/>
          <w:color w:val="auto"/>
          <w:lang w:eastAsia="zh-CN"/>
        </w:rPr>
      </w:pPr>
      <w:r>
        <w:rPr>
          <w:rFonts w:hint="eastAsia" w:cs="Times New Roman"/>
          <w:color w:val="auto"/>
          <w:lang w:val="en-US" w:eastAsia="zh-CN"/>
        </w:rPr>
        <w:t>B.</w:t>
      </w:r>
      <w:r>
        <w:rPr>
          <w:rFonts w:hint="default" w:ascii="Times New Roman" w:hAnsi="Times New Roman" w:cs="Times New Roman"/>
          <w:color w:val="auto"/>
        </w:rPr>
        <w:t>医疗废物的贮存和运送</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ascii="Times New Roman" w:hAnsi="Times New Roman" w:eastAsia="宋体" w:cs="Times New Roman"/>
          <w:color w:val="auto"/>
          <w:lang w:eastAsia="zh-CN"/>
        </w:rPr>
      </w:pPr>
      <w:r>
        <w:rPr>
          <w:rFonts w:hint="default" w:ascii="Times New Roman" w:hAnsi="Times New Roman" w:cs="Times New Roman"/>
          <w:color w:val="auto"/>
        </w:rPr>
        <w:t>（1）项目应当建立医疗废物暂时贮存设施、设备，不得露天存放医疗废物。</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（2）</w:t>
      </w:r>
      <w:r>
        <w:rPr>
          <w:rFonts w:hint="eastAsia" w:ascii="Times New Roman" w:hAnsi="Times New Roman" w:cs="Times New Roman"/>
          <w:color w:val="auto"/>
          <w:highlight w:val="none"/>
          <w:lang w:val="en-US" w:eastAsia="zh-CN"/>
        </w:rPr>
        <w:t>项目拟新建</w:t>
      </w:r>
      <w:r>
        <w:rPr>
          <w:rFonts w:hint="eastAsia" w:cs="Times New Roman"/>
          <w:color w:val="auto"/>
          <w:highlight w:val="none"/>
          <w:lang w:val="en-US" w:eastAsia="zh-CN"/>
        </w:rPr>
        <w:t>医疗废物暂存间若干</w:t>
      </w:r>
      <w:r>
        <w:rPr>
          <w:rFonts w:hint="eastAsia" w:cs="Times New Roman"/>
          <w:color w:val="auto"/>
          <w:highlight w:val="none"/>
          <w:lang w:eastAsia="zh-CN"/>
        </w:rPr>
        <w:t>位于医技综合楼和感染楼各层，</w:t>
      </w:r>
      <w:r>
        <w:rPr>
          <w:rFonts w:hint="eastAsia" w:ascii="Times New Roman" w:hAnsi="Times New Roman" w:cs="Times New Roman"/>
          <w:color w:val="auto"/>
          <w:highlight w:val="none"/>
          <w:lang w:val="en-US" w:eastAsia="zh-CN"/>
        </w:rPr>
        <w:t>建筑面积</w:t>
      </w:r>
      <w:r>
        <w:rPr>
          <w:rFonts w:hint="eastAsia" w:cs="Times New Roman"/>
          <w:color w:val="auto"/>
          <w:highlight w:val="none"/>
          <w:lang w:val="en-US" w:eastAsia="zh-CN"/>
        </w:rPr>
        <w:t>2~15</w:t>
      </w:r>
      <w:r>
        <w:rPr>
          <w:rFonts w:hint="eastAsia"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2</w:t>
      </w:r>
      <w:r>
        <w:rPr>
          <w:rFonts w:hint="eastAsia" w:cs="Times New Roman"/>
          <w:color w:val="auto"/>
          <w:highlight w:val="none"/>
          <w:lang w:val="en-US" w:eastAsia="zh-CN"/>
        </w:rPr>
        <w:t>不等</w:t>
      </w:r>
      <w:r>
        <w:rPr>
          <w:rFonts w:hint="eastAsia" w:ascii="Times New Roman" w:hAnsi="Times New Roman" w:cs="Times New Roman"/>
          <w:color w:val="auto"/>
          <w:lang w:val="en-US" w:eastAsia="zh-CN"/>
        </w:rPr>
        <w:t>。</w:t>
      </w:r>
      <w:r>
        <w:rPr>
          <w:rFonts w:hint="default" w:ascii="Times New Roman" w:hAnsi="Times New Roman" w:cs="Times New Roman"/>
          <w:color w:val="auto"/>
        </w:rPr>
        <w:t>各种危险废物暂存单元之间将设置防腐防渗围堰，确保各种危险废物不发生交叉混合，</w:t>
      </w:r>
      <w:r>
        <w:rPr>
          <w:rFonts w:hint="eastAsia" w:ascii="Times New Roman" w:hAnsi="Times New Roman" w:cs="Times New Roman"/>
          <w:color w:val="auto"/>
          <w:lang w:val="en-US" w:eastAsia="zh-CN"/>
        </w:rPr>
        <w:t>防止</w:t>
      </w:r>
      <w:r>
        <w:rPr>
          <w:rFonts w:hint="default" w:ascii="Times New Roman" w:hAnsi="Times New Roman" w:cs="Times New Roman"/>
          <w:color w:val="auto"/>
        </w:rPr>
        <w:t>不相容危险废物混合发生环境风险事故。</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（3）医疗废物暂存于</w:t>
      </w:r>
      <w:r>
        <w:rPr>
          <w:rFonts w:hint="eastAsia" w:cs="Times New Roman"/>
          <w:color w:val="auto"/>
          <w:lang w:eastAsia="zh-CN"/>
        </w:rPr>
        <w:t>医疗废物</w:t>
      </w:r>
      <w:r>
        <w:rPr>
          <w:rFonts w:hint="default" w:ascii="Times New Roman" w:hAnsi="Times New Roman" w:cs="Times New Roman"/>
          <w:color w:val="auto"/>
        </w:rPr>
        <w:t>暂存间</w:t>
      </w:r>
      <w:r>
        <w:rPr>
          <w:rFonts w:hint="default" w:ascii="Times New Roman" w:hAnsi="Times New Roman" w:cs="Times New Roman"/>
          <w:color w:val="auto"/>
        </w:rPr>
        <w:t>，每7天清运一次</w:t>
      </w:r>
      <w:r>
        <w:rPr>
          <w:rFonts w:hint="eastAsia" w:cs="Times New Roman"/>
          <w:color w:val="auto"/>
          <w:lang w:eastAsia="zh-CN"/>
        </w:rPr>
        <w:t>；污泥暂存</w:t>
      </w:r>
      <w:r>
        <w:rPr>
          <w:rFonts w:hint="eastAsia" w:cs="Times New Roman"/>
          <w:color w:val="auto"/>
          <w:lang w:eastAsia="zh-CN"/>
        </w:rPr>
        <w:t>于危险废物暂存间</w:t>
      </w:r>
      <w:r>
        <w:rPr>
          <w:rFonts w:hint="eastAsia" w:cs="Times New Roman"/>
          <w:color w:val="auto"/>
          <w:lang w:eastAsia="zh-CN"/>
        </w:rPr>
        <w:t>，分别每月、每半年</w:t>
      </w:r>
      <w:r>
        <w:rPr>
          <w:rFonts w:hint="default" w:ascii="Times New Roman" w:hAnsi="Times New Roman" w:cs="Times New Roman"/>
          <w:color w:val="auto"/>
        </w:rPr>
        <w:t>清运一次</w:t>
      </w:r>
      <w:r>
        <w:rPr>
          <w:rFonts w:hint="eastAsia" w:cs="Times New Roman"/>
          <w:color w:val="auto"/>
          <w:lang w:eastAsia="zh-CN"/>
        </w:rPr>
        <w:t>；项目危险废物</w:t>
      </w:r>
      <w:r>
        <w:rPr>
          <w:rFonts w:hint="default" w:ascii="Times New Roman" w:hAnsi="Times New Roman" w:cs="Times New Roman"/>
          <w:color w:val="auto"/>
        </w:rPr>
        <w:t>做到及时、有效地处理可满足要求。</w:t>
      </w:r>
    </w:p>
    <w:p>
      <w:pPr>
        <w:pStyle w:val="16"/>
        <w:spacing w:line="360" w:lineRule="auto"/>
        <w:rPr>
          <w:rFonts w:hint="default" w:ascii="Times New Roman" w:hAnsi="Times New Roman" w:cs="Times New Roman"/>
          <w:color w:val="auto"/>
        </w:rPr>
      </w:pPr>
      <w:r>
        <w:rPr>
          <w:rFonts w:hint="default" w:ascii="Times New Roman" w:hAnsi="Times New Roman" w:cs="Times New Roman"/>
          <w:color w:val="auto"/>
        </w:rPr>
        <w:t>（4）按照《危险废物贮存污染控制标准》（GB18597-2001）</w:t>
      </w:r>
      <w:r>
        <w:rPr>
          <w:rFonts w:hint="eastAsia"/>
          <w:color w:val="auto"/>
          <w:lang w:val="en-US" w:eastAsia="zh-CN"/>
        </w:rPr>
        <w:t>及2013年修改单</w:t>
      </w:r>
      <w:r>
        <w:rPr>
          <w:rFonts w:hint="default" w:ascii="Times New Roman" w:hAnsi="Times New Roman" w:cs="Times New Roman"/>
          <w:color w:val="auto"/>
        </w:rPr>
        <w:t>的要求，对危险废物暂存场所进行防渗处理。</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eastAsia" w:ascii="宋体" w:hAnsi="宋体" w:eastAsia="宋体" w:cs="宋体"/>
          <w:color w:val="auto"/>
        </w:rPr>
      </w:pPr>
      <w:r>
        <w:rPr>
          <w:rFonts w:hint="default" w:ascii="Times New Roman" w:hAnsi="Times New Roman" w:cs="Times New Roman"/>
          <w:color w:val="auto"/>
        </w:rPr>
        <w:t>（5）危废暂存</w:t>
      </w:r>
      <w:r>
        <w:rPr>
          <w:rFonts w:hint="eastAsia" w:cs="Times New Roman"/>
          <w:color w:val="auto"/>
          <w:lang w:eastAsia="zh-CN"/>
        </w:rPr>
        <w:t>场所</w:t>
      </w:r>
      <w:r>
        <w:rPr>
          <w:rFonts w:hint="default" w:ascii="Times New Roman" w:hAnsi="Times New Roman" w:cs="Times New Roman"/>
          <w:color w:val="auto"/>
        </w:rPr>
        <w:t>设置有严密的封闭措施，设专职人员管理，防止非工作人</w:t>
      </w:r>
      <w:r>
        <w:rPr>
          <w:rFonts w:hint="eastAsia" w:ascii="宋体" w:hAnsi="宋体" w:eastAsia="宋体" w:cs="宋体"/>
          <w:color w:val="auto"/>
        </w:rPr>
        <w:t>员接触医疗废物。</w:t>
      </w:r>
    </w:p>
    <w:p>
      <w:pPr>
        <w:pStyle w:val="5"/>
        <w:numPr>
          <w:ilvl w:val="0"/>
          <w:numId w:val="0"/>
        </w:numPr>
        <w:bidi w:val="0"/>
        <w:spacing w:line="360" w:lineRule="auto"/>
        <w:jc w:val="both"/>
        <w:rPr>
          <w:rFonts w:hint="eastAsia" w:ascii="Arial" w:hAnsi="Arial" w:eastAsia="宋体" w:cs="Times New Roman"/>
          <w:b/>
          <w:bCs/>
          <w:color w:val="auto"/>
          <w:kern w:val="2"/>
          <w:sz w:val="24"/>
          <w:szCs w:val="20"/>
          <w:lang w:val="en-US" w:eastAsia="zh-CN" w:bidi="ar-SA"/>
        </w:rPr>
      </w:pPr>
      <w:r>
        <w:rPr>
          <w:rFonts w:hint="eastAsia" w:ascii="Arial" w:hAnsi="Arial" w:cs="Times New Roman"/>
          <w:b/>
          <w:bCs/>
          <w:color w:val="auto"/>
          <w:kern w:val="2"/>
          <w:sz w:val="24"/>
          <w:szCs w:val="20"/>
          <w:lang w:val="en-US" w:eastAsia="zh-CN" w:bidi="ar-SA"/>
        </w:rPr>
        <w:t>7</w:t>
      </w:r>
      <w:r>
        <w:rPr>
          <w:rFonts w:hint="eastAsia" w:ascii="Arial" w:hAnsi="Arial" w:eastAsia="宋体" w:cs="Times New Roman"/>
          <w:b/>
          <w:bCs/>
          <w:color w:val="auto"/>
          <w:kern w:val="2"/>
          <w:sz w:val="24"/>
          <w:szCs w:val="20"/>
          <w:lang w:val="en-US" w:eastAsia="zh-CN" w:bidi="ar-SA"/>
        </w:rPr>
        <w:t>.4.5化学品库风险防范措施</w:t>
      </w:r>
    </w:p>
    <w:p>
      <w:pPr>
        <w:keepNext w:val="0"/>
        <w:keepLines w:val="0"/>
        <w:pageBreakBefore w:val="0"/>
        <w:widowControl w:val="0"/>
        <w:numPr>
          <w:ilvl w:val="0"/>
          <w:numId w:val="15"/>
        </w:numPr>
        <w:tabs>
          <w:tab w:val="left" w:pos="538"/>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购买、储存、运输、使用危险化学品</w:t>
      </w:r>
      <w:r>
        <w:rPr>
          <w:rFonts w:hint="eastAsia"/>
          <w:color w:val="auto"/>
          <w:sz w:val="24"/>
          <w:szCs w:val="24"/>
          <w:lang w:eastAsia="zh-CN"/>
        </w:rPr>
        <w:t>药剂</w:t>
      </w:r>
      <w:r>
        <w:rPr>
          <w:rFonts w:hint="eastAsia"/>
          <w:color w:val="auto"/>
          <w:sz w:val="24"/>
          <w:szCs w:val="24"/>
        </w:rPr>
        <w:t>应严格遵照相关的法律《化学危险品安全管理条例》、法规和行业规定，严格按照规定程序办理相关手续。</w:t>
      </w:r>
    </w:p>
    <w:p>
      <w:pPr>
        <w:keepNext w:val="0"/>
        <w:keepLines w:val="0"/>
        <w:pageBreakBefore w:val="0"/>
        <w:widowControl w:val="0"/>
        <w:numPr>
          <w:ilvl w:val="0"/>
          <w:numId w:val="15"/>
        </w:numPr>
        <w:tabs>
          <w:tab w:val="left" w:pos="543"/>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危险化学品</w:t>
      </w:r>
      <w:r>
        <w:rPr>
          <w:rFonts w:hint="eastAsia"/>
          <w:color w:val="auto"/>
          <w:sz w:val="24"/>
          <w:szCs w:val="24"/>
          <w:lang w:eastAsia="zh-CN"/>
        </w:rPr>
        <w:t>药剂</w:t>
      </w:r>
      <w:r>
        <w:rPr>
          <w:rFonts w:hint="eastAsia"/>
          <w:color w:val="auto"/>
          <w:sz w:val="24"/>
          <w:szCs w:val="24"/>
        </w:rPr>
        <w:t>管理使用严格遵守专人专管的原则，</w:t>
      </w:r>
      <w:r>
        <w:rPr>
          <w:rFonts w:hint="eastAsia"/>
          <w:color w:val="auto"/>
          <w:sz w:val="24"/>
          <w:szCs w:val="24"/>
          <w:lang w:eastAsia="zh-CN"/>
        </w:rPr>
        <w:t>医院</w:t>
      </w:r>
      <w:r>
        <w:rPr>
          <w:rFonts w:hint="eastAsia"/>
          <w:color w:val="auto"/>
          <w:sz w:val="24"/>
          <w:szCs w:val="24"/>
        </w:rPr>
        <w:t>授权</w:t>
      </w:r>
      <w:r>
        <w:rPr>
          <w:rFonts w:hint="eastAsia"/>
          <w:color w:val="auto"/>
          <w:sz w:val="24"/>
          <w:szCs w:val="24"/>
          <w:lang w:eastAsia="zh-CN"/>
        </w:rPr>
        <w:t>相关责任</w:t>
      </w:r>
      <w:r>
        <w:rPr>
          <w:rFonts w:hint="eastAsia"/>
          <w:color w:val="auto"/>
          <w:sz w:val="24"/>
          <w:szCs w:val="24"/>
        </w:rPr>
        <w:t>人保管化学危险品</w:t>
      </w:r>
      <w:r>
        <w:rPr>
          <w:rFonts w:hint="eastAsia"/>
          <w:color w:val="auto"/>
          <w:sz w:val="24"/>
          <w:szCs w:val="24"/>
          <w:lang w:eastAsia="zh-CN"/>
        </w:rPr>
        <w:t>药剂</w:t>
      </w:r>
      <w:r>
        <w:rPr>
          <w:rFonts w:hint="eastAsia"/>
          <w:color w:val="auto"/>
          <w:sz w:val="24"/>
          <w:szCs w:val="24"/>
        </w:rPr>
        <w:t>，落实专人对危险化学品</w:t>
      </w:r>
      <w:r>
        <w:rPr>
          <w:rFonts w:hint="eastAsia"/>
          <w:color w:val="auto"/>
          <w:sz w:val="24"/>
          <w:szCs w:val="24"/>
          <w:lang w:eastAsia="zh-CN"/>
        </w:rPr>
        <w:t>药剂</w:t>
      </w:r>
      <w:r>
        <w:rPr>
          <w:rFonts w:hint="eastAsia"/>
          <w:color w:val="auto"/>
          <w:sz w:val="24"/>
          <w:szCs w:val="24"/>
        </w:rPr>
        <w:t>进行帐目、使用和存放管理。</w:t>
      </w:r>
    </w:p>
    <w:p>
      <w:pPr>
        <w:keepNext w:val="0"/>
        <w:keepLines w:val="0"/>
        <w:pageBreakBefore w:val="0"/>
        <w:widowControl w:val="0"/>
        <w:numPr>
          <w:ilvl w:val="0"/>
          <w:numId w:val="15"/>
        </w:numPr>
        <w:tabs>
          <w:tab w:val="left" w:pos="543"/>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化学危险品</w:t>
      </w:r>
      <w:r>
        <w:rPr>
          <w:rFonts w:hint="eastAsia"/>
          <w:color w:val="auto"/>
          <w:sz w:val="24"/>
          <w:szCs w:val="24"/>
          <w:lang w:eastAsia="zh-CN"/>
        </w:rPr>
        <w:t>药剂</w:t>
      </w:r>
      <w:r>
        <w:rPr>
          <w:rFonts w:hint="eastAsia"/>
          <w:color w:val="auto"/>
          <w:sz w:val="24"/>
          <w:szCs w:val="24"/>
        </w:rPr>
        <w:t>应贮存于专用安全柜中，所有存储柜必须双人双锁，并符合危险品的保管要求。制定安全防范措施和应急处置预案。</w:t>
      </w:r>
    </w:p>
    <w:p>
      <w:pPr>
        <w:keepNext w:val="0"/>
        <w:keepLines w:val="0"/>
        <w:pageBreakBefore w:val="0"/>
        <w:widowControl w:val="0"/>
        <w:numPr>
          <w:ilvl w:val="0"/>
          <w:numId w:val="15"/>
        </w:numPr>
        <w:tabs>
          <w:tab w:val="left" w:pos="580"/>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库房应有危化品</w:t>
      </w:r>
      <w:r>
        <w:rPr>
          <w:rFonts w:hint="eastAsia"/>
          <w:color w:val="auto"/>
          <w:sz w:val="24"/>
          <w:szCs w:val="24"/>
          <w:lang w:eastAsia="zh-CN"/>
        </w:rPr>
        <w:t>药剂</w:t>
      </w:r>
      <w:r>
        <w:rPr>
          <w:rFonts w:hint="eastAsia"/>
          <w:color w:val="auto"/>
          <w:sz w:val="24"/>
          <w:szCs w:val="24"/>
        </w:rPr>
        <w:t>出入库及存留记录</w:t>
      </w:r>
      <w:r>
        <w:rPr>
          <w:rFonts w:hint="eastAsia"/>
          <w:color w:val="auto"/>
          <w:sz w:val="24"/>
          <w:szCs w:val="24"/>
          <w:lang w:eastAsia="zh-CN"/>
        </w:rPr>
        <w:t>，科室应有</w:t>
      </w:r>
      <w:r>
        <w:rPr>
          <w:rFonts w:hint="eastAsia"/>
          <w:color w:val="auto"/>
          <w:sz w:val="24"/>
          <w:szCs w:val="24"/>
        </w:rPr>
        <w:t>危化品</w:t>
      </w:r>
      <w:r>
        <w:rPr>
          <w:rFonts w:hint="eastAsia"/>
          <w:color w:val="auto"/>
          <w:sz w:val="24"/>
          <w:szCs w:val="24"/>
          <w:lang w:eastAsia="zh-CN"/>
        </w:rPr>
        <w:t>药剂领取及使用记录</w:t>
      </w:r>
      <w:r>
        <w:rPr>
          <w:rFonts w:hint="eastAsia"/>
          <w:color w:val="auto"/>
          <w:sz w:val="24"/>
          <w:szCs w:val="24"/>
        </w:rPr>
        <w:t>。</w:t>
      </w:r>
    </w:p>
    <w:p>
      <w:pPr>
        <w:keepNext w:val="0"/>
        <w:keepLines w:val="0"/>
        <w:pageBreakBefore w:val="0"/>
        <w:widowControl w:val="0"/>
        <w:numPr>
          <w:ilvl w:val="0"/>
          <w:numId w:val="15"/>
        </w:numPr>
        <w:tabs>
          <w:tab w:val="left" w:pos="543"/>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建立化学危险品清单和安全数据表。储存、使用危险化学品应根据不同危险物品的危险等级采取的防范措施，确保安全。</w:t>
      </w:r>
      <w:r>
        <w:rPr>
          <w:rFonts w:hint="eastAsia"/>
          <w:color w:val="auto"/>
          <w:sz w:val="24"/>
          <w:szCs w:val="24"/>
          <w:lang w:eastAsia="zh-CN"/>
        </w:rPr>
        <w:t>规范员工的操作方式，避免化学药剂拿取、转移过程发生磕碰破损，从而导致泄漏。</w:t>
      </w:r>
    </w:p>
    <w:p>
      <w:pPr>
        <w:keepNext w:val="0"/>
        <w:keepLines w:val="0"/>
        <w:pageBreakBefore w:val="0"/>
        <w:widowControl w:val="0"/>
        <w:numPr>
          <w:ilvl w:val="0"/>
          <w:numId w:val="15"/>
        </w:numPr>
        <w:tabs>
          <w:tab w:val="left" w:pos="545"/>
        </w:tabs>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rPr>
      </w:pPr>
      <w:r>
        <w:rPr>
          <w:rFonts w:hint="eastAsia"/>
          <w:color w:val="auto"/>
          <w:sz w:val="24"/>
          <w:szCs w:val="24"/>
        </w:rPr>
        <w:t>科室安全管理人应定期对库房</w:t>
      </w:r>
      <w:r>
        <w:rPr>
          <w:rFonts w:hint="eastAsia"/>
          <w:color w:val="auto"/>
          <w:sz w:val="24"/>
          <w:szCs w:val="24"/>
          <w:lang w:eastAsia="zh-CN"/>
        </w:rPr>
        <w:t>和科室</w:t>
      </w:r>
      <w:r>
        <w:rPr>
          <w:rFonts w:hint="eastAsia"/>
          <w:color w:val="auto"/>
          <w:sz w:val="24"/>
          <w:szCs w:val="24"/>
        </w:rPr>
        <w:t>储存、使用危险化学品</w:t>
      </w:r>
      <w:r>
        <w:rPr>
          <w:rFonts w:hint="eastAsia"/>
          <w:color w:val="auto"/>
          <w:sz w:val="24"/>
          <w:szCs w:val="24"/>
          <w:lang w:eastAsia="zh-CN"/>
        </w:rPr>
        <w:t>药剂</w:t>
      </w:r>
      <w:r>
        <w:rPr>
          <w:rFonts w:hint="eastAsia"/>
          <w:color w:val="auto"/>
          <w:sz w:val="24"/>
          <w:szCs w:val="24"/>
        </w:rPr>
        <w:t>情况进行检查，发现问题及时处理。</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2" w:firstLineChars="200"/>
        <w:textAlignment w:val="auto"/>
        <w:rPr>
          <w:rFonts w:hint="default" w:ascii="Times New Roman" w:hAnsi="Times New Roman" w:cs="Times New Roman"/>
          <w:color w:val="auto"/>
        </w:rPr>
      </w:pPr>
      <w:r>
        <w:rPr>
          <w:rFonts w:hint="eastAsia" w:cs="Times New Roman"/>
          <w:b/>
          <w:bCs/>
          <w:color w:val="auto"/>
          <w:lang w:eastAsia="zh-CN"/>
        </w:rPr>
        <w:t>其他风险</w:t>
      </w:r>
      <w:r>
        <w:rPr>
          <w:rFonts w:hint="default" w:ascii="Times New Roman" w:hAnsi="Times New Roman" w:cs="Times New Roman"/>
          <w:b/>
          <w:bCs/>
          <w:color w:val="auto"/>
        </w:rPr>
        <w:t>防范和管理</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项目一旦出现环境风险事故，将会对一定范围内的人员和环境产生较为严重的影响。在</w:t>
      </w:r>
      <w:r>
        <w:rPr>
          <w:rFonts w:hint="eastAsia" w:cs="Times New Roman"/>
          <w:color w:val="auto"/>
          <w:lang w:eastAsia="zh-CN"/>
        </w:rPr>
        <w:t>医院运营过程</w:t>
      </w:r>
      <w:r>
        <w:rPr>
          <w:rFonts w:hint="default" w:ascii="Times New Roman" w:hAnsi="Times New Roman" w:cs="Times New Roman"/>
          <w:color w:val="auto"/>
        </w:rPr>
        <w:t>中安全管理问题是十分重要的。</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1）强化管理是防范风险事故最有效途径。从发生事故原因来看，事故的发生多为违反操作规程，疏于管理所致。因此本项目建设及运行过程中，必须加强对员工的安全和技术的定期培训，在项目进行的各个环节均采取有效的安全监控措施，使出现事故的概率降至最低。</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（2）本项目应建全一套事故风险应急管理组织机构，制定安全规程、事故防范措施及应急预案。管理人员应职责、权限分明，清楚工艺技术和事故风险发生后果，具备解除事故和减缓事故的能力。</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3）严格执行设备的维护保养制度，定期对设备、管道、仪表、机泵等装置进行检查，及时处理不安全因素，将其消灭在萌芽状态。各项应急处理器材与设施（如提升泵、灭火器，防毒面具、呼吸器等）也必须经常保持处于完好状态。</w:t>
      </w:r>
    </w:p>
    <w:p>
      <w:pPr>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color w:val="auto"/>
        </w:rPr>
      </w:pPr>
      <w:r>
        <w:rPr>
          <w:rFonts w:hint="default" w:ascii="Times New Roman" w:hAnsi="Times New Roman" w:cs="Times New Roman"/>
          <w:color w:val="auto"/>
        </w:rPr>
        <w:t>（4）万一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outlineLvl w:val="9"/>
        <w:rPr>
          <w:rFonts w:hint="eastAsia"/>
          <w:color w:val="auto"/>
          <w:sz w:val="24"/>
          <w:szCs w:val="24"/>
        </w:rPr>
      </w:pPr>
      <w:r>
        <w:rPr>
          <w:rFonts w:hint="default" w:ascii="Times New Roman" w:hAnsi="Times New Roman" w:cs="Times New Roman"/>
          <w:color w:val="auto"/>
        </w:rPr>
        <w:t>（5）事故一旦得到控制，要对事故的原因进行详细分析，对涉及的各种因素的影响进行评价，并对今后消除和最大限度地减少这些因素提出建议。</w:t>
      </w:r>
    </w:p>
    <w:p>
      <w:pPr>
        <w:pStyle w:val="4"/>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b/>
          <w:bCs/>
          <w:color w:val="auto"/>
        </w:rPr>
      </w:pPr>
      <w:bookmarkStart w:id="105" w:name="_Toc13422"/>
      <w:r>
        <w:rPr>
          <w:rFonts w:hint="eastAsia"/>
          <w:b/>
          <w:bCs/>
          <w:color w:val="auto"/>
          <w:lang w:val="en-US" w:eastAsia="zh-CN"/>
        </w:rPr>
        <w:t>7.5</w:t>
      </w:r>
      <w:r>
        <w:rPr>
          <w:rFonts w:hint="eastAsia"/>
          <w:b/>
          <w:bCs/>
          <w:color w:val="auto"/>
        </w:rPr>
        <w:t>风险管理</w:t>
      </w:r>
      <w:bookmarkEnd w:id="105"/>
    </w:p>
    <w:p>
      <w:pPr>
        <w:pStyle w:val="5"/>
        <w:pageBreakBefore w:val="0"/>
        <w:widowControl w:val="0"/>
        <w:numPr>
          <w:ilvl w:val="0"/>
          <w:numId w:val="0"/>
        </w:numPr>
        <w:kinsoku/>
        <w:wordWrap/>
        <w:overflowPunct/>
        <w:topLinePunct w:val="0"/>
        <w:autoSpaceDE/>
        <w:autoSpaceDN/>
        <w:bidi w:val="0"/>
        <w:adjustRightInd/>
        <w:snapToGrid/>
        <w:spacing w:before="0" w:beforeLines="0" w:line="360" w:lineRule="auto"/>
        <w:ind w:right="0" w:rightChars="0"/>
        <w:textAlignment w:val="auto"/>
        <w:rPr>
          <w:color w:val="auto"/>
        </w:rPr>
      </w:pPr>
      <w:r>
        <w:rPr>
          <w:rFonts w:hint="eastAsia"/>
          <w:color w:val="auto"/>
          <w:lang w:val="en-US" w:eastAsia="zh-CN"/>
        </w:rPr>
        <w:t>7.5.1</w:t>
      </w:r>
      <w:r>
        <w:rPr>
          <w:rFonts w:hint="eastAsia"/>
          <w:color w:val="auto"/>
        </w:rPr>
        <w:t>环境风险管理防范措施</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为避免风险事故</w:t>
      </w:r>
      <w:r>
        <w:rPr>
          <w:rFonts w:hint="eastAsia" w:ascii="宋体" w:hAnsi="宋体" w:cs="宋体"/>
          <w:color w:val="auto"/>
        </w:rPr>
        <w:t>，尤其是避免风险事故发生后对环境造成严重的污染，建设</w:t>
      </w:r>
      <w:r>
        <w:rPr>
          <w:rFonts w:hint="eastAsia"/>
          <w:color w:val="auto"/>
        </w:rPr>
        <w:t>单位应树立并强化环境风险意识</w:t>
      </w:r>
      <w:r>
        <w:rPr>
          <w:rFonts w:hint="eastAsia" w:ascii="宋体" w:hAnsi="宋体" w:cs="宋体"/>
          <w:color w:val="auto"/>
        </w:rPr>
        <w:t>，增加对环境风险的防范措施，并使这些措施在</w:t>
      </w:r>
      <w:r>
        <w:rPr>
          <w:rFonts w:hint="eastAsia"/>
          <w:color w:val="auto"/>
        </w:rPr>
        <w:t>实际工作中得到落实。为进一步减少事故的发生</w:t>
      </w:r>
      <w:r>
        <w:rPr>
          <w:rFonts w:hint="eastAsia" w:ascii="宋体" w:hAnsi="宋体" w:cs="宋体"/>
          <w:color w:val="auto"/>
        </w:rPr>
        <w:t>，减缓该项目运营过程中对环境</w:t>
      </w:r>
      <w:r>
        <w:rPr>
          <w:rFonts w:hint="eastAsia"/>
          <w:color w:val="auto"/>
        </w:rPr>
        <w:t>的潜在威胁</w:t>
      </w:r>
      <w:r>
        <w:rPr>
          <w:rFonts w:hint="eastAsia" w:ascii="宋体" w:hAnsi="宋体" w:cs="宋体"/>
          <w:color w:val="auto"/>
        </w:rPr>
        <w:t>，建设单位采取综合防范措施，并从技术、管理等方面对以下</w:t>
      </w:r>
      <w:r>
        <w:rPr>
          <w:rFonts w:hint="eastAsia"/>
          <w:color w:val="auto"/>
        </w:rPr>
        <w:t>几方面予以重视</w:t>
      </w:r>
      <w:r>
        <w:rPr>
          <w:color w:val="auto"/>
        </w:rPr>
        <w:t>。</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1</w:t>
      </w:r>
      <w:r>
        <w:rPr>
          <w:rFonts w:hint="eastAsia" w:ascii="宋体" w:hAnsi="宋体" w:cs="宋体"/>
          <w:color w:val="auto"/>
        </w:rPr>
        <w:t>、树立环境风险意识</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rPr>
        <w:t>发生环境安全事故后</w:t>
      </w:r>
      <w:r>
        <w:rPr>
          <w:rFonts w:hint="eastAsia" w:ascii="宋体" w:hAnsi="宋体" w:cs="宋体"/>
          <w:color w:val="auto"/>
        </w:rPr>
        <w:t>，对周围环境有难以弥补的损害，所以在贯彻</w:t>
      </w:r>
      <w:r>
        <w:rPr>
          <w:rFonts w:hint="eastAsia" w:ascii="宋体" w:hAnsi="宋体" w:cs="宋体"/>
          <w:color w:val="auto"/>
          <w:lang w:eastAsia="zh-CN"/>
        </w:rPr>
        <w:t>“</w:t>
      </w:r>
      <w:r>
        <w:rPr>
          <w:rFonts w:hint="eastAsia" w:ascii="宋体" w:hAnsi="宋体" w:cs="宋体"/>
          <w:color w:val="auto"/>
        </w:rPr>
        <w:t>安全第一预防为主</w:t>
      </w:r>
      <w:r>
        <w:rPr>
          <w:rFonts w:hint="eastAsia" w:ascii="宋体" w:hAnsi="宋体" w:cs="宋体"/>
          <w:color w:val="auto"/>
          <w:lang w:eastAsia="zh-CN"/>
        </w:rPr>
        <w:t>”</w:t>
      </w:r>
      <w:r>
        <w:rPr>
          <w:rFonts w:hint="eastAsia" w:ascii="宋体" w:hAnsi="宋体" w:cs="宋体"/>
          <w:color w:val="auto"/>
        </w:rPr>
        <w:t>的方针同时，应树立环境风险意识，强化环境风险责任，体现出环境保护的内容。</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rPr>
        <w:t>2</w:t>
      </w:r>
      <w:r>
        <w:rPr>
          <w:rFonts w:hint="eastAsia" w:ascii="宋体" w:hAnsi="宋体" w:cs="宋体"/>
          <w:color w:val="auto"/>
        </w:rPr>
        <w:t>、实行全面环境安全管理制度</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rPr>
        <w:t>项目在医疗废物储运、污水处理设施运行等过程中均有可能发生各种事故，</w:t>
      </w:r>
      <w:r>
        <w:rPr>
          <w:rFonts w:hint="eastAsia" w:ascii="宋体" w:hAnsi="宋体" w:cs="宋体"/>
          <w:color w:val="auto"/>
        </w:rPr>
        <w:t>事故发生后均会对环境造成不同程度的污染，因此应该针对该项目</w:t>
      </w:r>
      <w:r>
        <w:rPr>
          <w:rFonts w:hint="eastAsia"/>
          <w:color w:val="auto"/>
        </w:rPr>
        <w:t>开展全面、全员、全过程的安全管理</w:t>
      </w:r>
      <w:r>
        <w:rPr>
          <w:rFonts w:hint="eastAsia" w:ascii="宋体" w:hAnsi="宋体" w:cs="宋体"/>
          <w:color w:val="auto"/>
        </w:rPr>
        <w:t>，把环境安全工作的重点放在消除系统的潜</w:t>
      </w:r>
      <w:r>
        <w:rPr>
          <w:rFonts w:hint="eastAsia"/>
          <w:color w:val="auto"/>
        </w:rPr>
        <w:t>在危险上</w:t>
      </w:r>
      <w:r>
        <w:rPr>
          <w:rFonts w:hint="eastAsia" w:ascii="宋体" w:hAnsi="宋体" w:cs="宋体"/>
          <w:color w:val="auto"/>
        </w:rPr>
        <w:t>，并从整体和全局上促进该项目各个环节的环境安全运作，并建立监察、</w:t>
      </w:r>
      <w:r>
        <w:rPr>
          <w:rFonts w:hint="eastAsia"/>
          <w:color w:val="auto"/>
        </w:rPr>
        <w:t>管理、检测、信息系统和科学决策体系</w:t>
      </w:r>
      <w:r>
        <w:rPr>
          <w:rFonts w:hint="eastAsia" w:ascii="宋体" w:hAnsi="宋体" w:cs="宋体"/>
          <w:color w:val="auto"/>
        </w:rPr>
        <w:t>，实行环境安全目标管理。</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eastAsia="宋体"/>
          <w:color w:val="auto"/>
          <w:lang w:eastAsia="zh-CN"/>
        </w:rPr>
      </w:pPr>
      <w:r>
        <w:rPr>
          <w:rFonts w:hint="eastAsia"/>
          <w:color w:val="auto"/>
        </w:rPr>
        <w:t>3</w:t>
      </w:r>
      <w:r>
        <w:rPr>
          <w:rFonts w:hint="eastAsia" w:ascii="宋体" w:hAnsi="宋体" w:cs="宋体"/>
          <w:color w:val="auto"/>
        </w:rPr>
        <w:t>、规范并强化医疗废物在运输、储存、处理过程中的环境风险预防措施</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rPr>
        <w:t>为预防安全事故的发生</w:t>
      </w:r>
      <w:r>
        <w:rPr>
          <w:rFonts w:hint="eastAsia" w:ascii="宋体" w:hAnsi="宋体" w:cs="宋体"/>
          <w:color w:val="auto"/>
        </w:rPr>
        <w:t>，建设单位必须制定比较完善的环境安全管理规章制</w:t>
      </w:r>
      <w:r>
        <w:rPr>
          <w:rFonts w:hint="eastAsia"/>
          <w:color w:val="auto"/>
        </w:rPr>
        <w:t>度</w:t>
      </w:r>
      <w:r>
        <w:rPr>
          <w:rFonts w:hint="eastAsia" w:ascii="宋体" w:hAnsi="宋体" w:cs="宋体"/>
          <w:color w:val="auto"/>
        </w:rPr>
        <w:t>，应从制度上对环境风险予以防范，尽管该项目的许多事故虽不一定导致环境</w:t>
      </w:r>
      <w:r>
        <w:rPr>
          <w:rFonts w:hint="eastAsia"/>
          <w:color w:val="auto"/>
        </w:rPr>
        <w:t>安全事故的发生</w:t>
      </w:r>
      <w:r>
        <w:rPr>
          <w:rFonts w:hint="eastAsia" w:ascii="宋体" w:hAnsi="宋体" w:cs="宋体"/>
          <w:color w:val="auto"/>
        </w:rPr>
        <w:t>，却会产生一定的环境污染事故后果。对于这类事故的预防仍然</w:t>
      </w:r>
      <w:r>
        <w:rPr>
          <w:rFonts w:hint="eastAsia"/>
          <w:color w:val="auto"/>
        </w:rPr>
        <w:t>需要制定相应的防范措施</w:t>
      </w:r>
      <w:r>
        <w:rPr>
          <w:rFonts w:hint="eastAsia" w:ascii="宋体" w:hAnsi="宋体" w:cs="宋体"/>
          <w:color w:val="auto"/>
        </w:rPr>
        <w:t>，从医疗废物运输、储存、处理等各个环节予以全面考虑</w:t>
      </w:r>
      <w:r>
        <w:rPr>
          <w:rFonts w:hint="eastAsia"/>
          <w:color w:val="auto"/>
        </w:rPr>
        <w:t>并力图做到规范且可操作性强。如</w:t>
      </w:r>
      <w:r>
        <w:rPr>
          <w:rFonts w:hint="eastAsia" w:ascii="宋体" w:hAnsi="宋体" w:cs="宋体"/>
          <w:color w:val="auto"/>
          <w:lang w:eastAsia="zh-CN"/>
        </w:rPr>
        <w:t>医疗废物</w:t>
      </w:r>
      <w:r>
        <w:rPr>
          <w:rFonts w:hint="eastAsia" w:ascii="宋体" w:hAnsi="宋体" w:cs="宋体"/>
          <w:color w:val="auto"/>
        </w:rPr>
        <w:t>在收集、预处理、运输过程中因意</w:t>
      </w:r>
      <w:r>
        <w:rPr>
          <w:rFonts w:hint="eastAsia"/>
          <w:color w:val="auto"/>
        </w:rPr>
        <w:t>外出现泄漏</w:t>
      </w:r>
      <w:r>
        <w:rPr>
          <w:rFonts w:hint="eastAsia" w:ascii="宋体" w:hAnsi="宋体" w:cs="宋体"/>
          <w:color w:val="auto"/>
        </w:rPr>
        <w:t>，应立即报告</w:t>
      </w:r>
      <w:r>
        <w:rPr>
          <w:rFonts w:hint="eastAsia"/>
          <w:color w:val="auto"/>
        </w:rPr>
        <w:t>保卫部门</w:t>
      </w:r>
      <w:r>
        <w:rPr>
          <w:rFonts w:hint="eastAsia" w:ascii="宋体" w:hAnsi="宋体" w:cs="宋体"/>
          <w:color w:val="auto"/>
        </w:rPr>
        <w:t>，封闭现场，进行清理。清理干净后</w:t>
      </w:r>
      <w:r>
        <w:rPr>
          <w:rFonts w:hint="eastAsia"/>
          <w:color w:val="auto"/>
        </w:rPr>
        <w:t>需要对现场进行严格消毒</w:t>
      </w:r>
      <w:r>
        <w:rPr>
          <w:rFonts w:hint="eastAsia" w:ascii="宋体" w:hAnsi="宋体" w:cs="宋体"/>
          <w:color w:val="auto"/>
        </w:rPr>
        <w:t>，对含有毒性强的</w:t>
      </w:r>
      <w:r>
        <w:rPr>
          <w:rFonts w:hint="eastAsia" w:ascii="宋体" w:hAnsi="宋体" w:cs="宋体"/>
          <w:color w:val="auto"/>
          <w:lang w:eastAsia="zh-CN"/>
        </w:rPr>
        <w:t>医疗废物</w:t>
      </w:r>
      <w:r>
        <w:rPr>
          <w:rFonts w:hint="eastAsia" w:ascii="宋体" w:hAnsi="宋体" w:cs="宋体"/>
          <w:color w:val="auto"/>
        </w:rPr>
        <w:t>和危险废物的泄漏，还应该</w:t>
      </w:r>
      <w:r>
        <w:rPr>
          <w:rFonts w:hint="eastAsia"/>
          <w:color w:val="auto"/>
        </w:rPr>
        <w:t>立即疏散周围人群</w:t>
      </w:r>
      <w:r>
        <w:rPr>
          <w:rFonts w:hint="eastAsia" w:ascii="宋体" w:hAnsi="宋体" w:cs="宋体"/>
          <w:color w:val="auto"/>
        </w:rPr>
        <w:t>，设置警示标志及距离，并在处理过程中穿防护服。</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4</w:t>
      </w:r>
      <w:r>
        <w:rPr>
          <w:rFonts w:hint="eastAsia" w:ascii="宋体" w:hAnsi="宋体" w:cs="宋体"/>
          <w:color w:val="auto"/>
        </w:rPr>
        <w:t>、加强运行对环境的污染控制</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lang w:eastAsia="zh-CN"/>
        </w:rPr>
        <w:t>医疗废物</w:t>
      </w:r>
      <w:r>
        <w:rPr>
          <w:rFonts w:hint="eastAsia"/>
          <w:color w:val="auto"/>
        </w:rPr>
        <w:t>在装卸、运输的</w:t>
      </w:r>
      <w:r>
        <w:rPr>
          <w:rFonts w:hint="eastAsia" w:cs="宋体"/>
          <w:color w:val="auto"/>
          <w:lang w:eastAsia="zh-CN"/>
        </w:rPr>
        <w:t>“</w:t>
      </w:r>
      <w:r>
        <w:rPr>
          <w:rFonts w:hint="eastAsia"/>
          <w:color w:val="auto"/>
        </w:rPr>
        <w:t>跑、冒、滴、漏</w:t>
      </w:r>
      <w:r>
        <w:rPr>
          <w:rFonts w:hint="eastAsia" w:cs="宋体"/>
          <w:color w:val="auto"/>
          <w:lang w:eastAsia="zh-CN"/>
        </w:rPr>
        <w:t>”</w:t>
      </w:r>
      <w:r>
        <w:rPr>
          <w:rFonts w:hint="eastAsia"/>
          <w:color w:val="auto"/>
        </w:rPr>
        <w:t>现象是风险来源之一</w:t>
      </w:r>
      <w:r>
        <w:rPr>
          <w:rFonts w:hint="eastAsia" w:ascii="宋体" w:hAnsi="宋体" w:cs="宋体"/>
          <w:color w:val="auto"/>
        </w:rPr>
        <w:t>，其后果在大多数情况下并不导致人员受伤或是设备受损，但外泄的危险废物对环境造成污</w:t>
      </w:r>
      <w:r>
        <w:rPr>
          <w:rFonts w:hint="eastAsia"/>
          <w:color w:val="auto"/>
        </w:rPr>
        <w:t>染。因此要加强巡回检查。医疗废物必须使用有盖的密闭暂存桶</w:t>
      </w:r>
      <w:r>
        <w:rPr>
          <w:rFonts w:hint="eastAsia" w:ascii="宋体" w:hAnsi="宋体" w:cs="宋体"/>
          <w:color w:val="auto"/>
        </w:rPr>
        <w:t>，暂存桶需放置在平稳、人员活动少的地方。每日的巡</w:t>
      </w:r>
      <w:r>
        <w:rPr>
          <w:rFonts w:hint="eastAsia"/>
          <w:color w:val="auto"/>
        </w:rPr>
        <w:t>回检查应做详细记录</w:t>
      </w:r>
      <w:r>
        <w:rPr>
          <w:rFonts w:hint="eastAsia" w:ascii="宋体" w:hAnsi="宋体" w:cs="宋体"/>
          <w:color w:val="auto"/>
        </w:rPr>
        <w:t>，发现问题应及时上报，并做到及时防范。</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rFonts w:hint="eastAsia"/>
          <w:color w:val="auto"/>
        </w:rPr>
        <w:t>5</w:t>
      </w:r>
      <w:r>
        <w:rPr>
          <w:rFonts w:hint="eastAsia" w:ascii="宋体" w:hAnsi="宋体" w:cs="宋体"/>
          <w:color w:val="auto"/>
        </w:rPr>
        <w:t>、建立事故的监测报警系统</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ascii="宋体" w:hAnsi="宋体" w:cs="宋体"/>
          <w:color w:val="auto"/>
        </w:rPr>
      </w:pPr>
      <w:r>
        <w:rPr>
          <w:rFonts w:hint="eastAsia"/>
          <w:color w:val="auto"/>
        </w:rPr>
        <w:t>建议建设单位在废水处理系统的进、出口</w:t>
      </w:r>
      <w:r>
        <w:rPr>
          <w:rFonts w:hint="eastAsia" w:ascii="宋体" w:hAnsi="宋体" w:cs="宋体"/>
          <w:color w:val="auto"/>
        </w:rPr>
        <w:t>建立事故的监测报警系统。对于</w:t>
      </w:r>
      <w:r>
        <w:rPr>
          <w:rFonts w:hint="eastAsia"/>
          <w:color w:val="auto"/>
        </w:rPr>
        <w:t>废水处理系统的进口</w:t>
      </w:r>
      <w:r>
        <w:rPr>
          <w:rFonts w:hint="eastAsia" w:ascii="宋体" w:hAnsi="宋体" w:cs="宋体"/>
          <w:color w:val="auto"/>
        </w:rPr>
        <w:t>，应予以特别的重视，监测系统应确保完善可靠。污水处理站是对项目污水处理的最后过程，为了保证其正常运行，防止环境风险的发生，需对污水处理站提供双路电源和应急电源，保证污水处理站用电不会停止，重要的设备需设有备用品，并备有应急的消毒剂。</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eastAsia="宋体"/>
          <w:color w:val="auto"/>
          <w:lang w:eastAsia="zh-CN"/>
        </w:rPr>
      </w:pPr>
      <w:r>
        <w:rPr>
          <w:color w:val="auto"/>
        </w:rPr>
        <w:t>6、加强资料的日常记录与管理</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color w:val="auto"/>
        </w:rPr>
      </w:pPr>
      <w:r>
        <w:rPr>
          <w:color w:val="auto"/>
        </w:rPr>
        <w:t>加强对废水处理系统的各项操作参数等资料的日常记录，建立良好的污染治理设施运行记录档案，及时发现问题并采取减缓危害的措施。</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eastAsia="宋体"/>
          <w:color w:val="auto"/>
          <w:lang w:eastAsia="zh-CN"/>
        </w:rPr>
      </w:pPr>
      <w:r>
        <w:rPr>
          <w:color w:val="auto"/>
        </w:rPr>
        <w:t>7、加强危险废物处理管理</w:t>
      </w:r>
    </w:p>
    <w:p>
      <w:pPr>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rPr>
      </w:pPr>
      <w:r>
        <w:rPr>
          <w:color w:val="auto"/>
        </w:rPr>
        <w:t>加</w:t>
      </w:r>
      <w:r>
        <w:rPr>
          <w:rFonts w:hint="eastAsia" w:ascii="宋体" w:hAnsi="宋体" w:cs="宋体"/>
          <w:color w:val="auto"/>
        </w:rPr>
        <w:t>强和完善危险废物的收集、暂存、交接等环节的管理，对危险废物的处理应设专人责任负责制，负责人在接管前应全面学习有关危险废物处理的有关法规和操作方法。做好危险废物有关资料的记录。</w:t>
      </w:r>
    </w:p>
    <w:p>
      <w:pPr>
        <w:pStyle w:val="5"/>
        <w:pageBreakBefore w:val="0"/>
        <w:widowControl w:val="0"/>
        <w:numPr>
          <w:ilvl w:val="0"/>
          <w:numId w:val="0"/>
        </w:numPr>
        <w:kinsoku/>
        <w:wordWrap/>
        <w:overflowPunct/>
        <w:topLinePunct w:val="0"/>
        <w:autoSpaceDE/>
        <w:autoSpaceDN/>
        <w:bidi w:val="0"/>
        <w:adjustRightInd/>
        <w:spacing w:before="120" w:line="360" w:lineRule="auto"/>
        <w:ind w:leftChars="0" w:right="0" w:rightChars="0"/>
        <w:textAlignment w:val="auto"/>
        <w:rPr>
          <w:color w:val="auto"/>
        </w:rPr>
      </w:pPr>
      <w:r>
        <w:rPr>
          <w:rFonts w:hint="eastAsia"/>
          <w:color w:val="auto"/>
          <w:lang w:val="en-US" w:eastAsia="zh-CN"/>
        </w:rPr>
        <w:t>7.5.2</w:t>
      </w:r>
      <w:r>
        <w:rPr>
          <w:rFonts w:hint="eastAsia"/>
          <w:color w:val="auto"/>
        </w:rPr>
        <w:t>环境风险应急预案</w:t>
      </w:r>
    </w:p>
    <w:p>
      <w:pPr>
        <w:pageBreakBefore w:val="0"/>
        <w:widowControl w:val="0"/>
        <w:tabs>
          <w:tab w:val="left" w:pos="20520"/>
        </w:tabs>
        <w:kinsoku/>
        <w:wordWrap/>
        <w:overflowPunct/>
        <w:topLinePunct w:val="0"/>
        <w:autoSpaceDE/>
        <w:autoSpaceDN/>
        <w:bidi w:val="0"/>
        <w:adjustRightInd/>
        <w:snapToGrid w:val="0"/>
        <w:spacing w:line="360" w:lineRule="auto"/>
        <w:ind w:right="0" w:rightChars="0" w:firstLine="480"/>
        <w:textAlignment w:val="auto"/>
        <w:rPr>
          <w:rFonts w:hAnsi="宋体"/>
          <w:b/>
          <w:color w:val="auto"/>
          <w:sz w:val="21"/>
          <w:szCs w:val="21"/>
        </w:rPr>
      </w:pPr>
      <w:r>
        <w:rPr>
          <w:rFonts w:hint="eastAsia"/>
          <w:bCs/>
          <w:color w:val="auto"/>
        </w:rPr>
        <w:t>根据国家相关规定的要求</w:t>
      </w:r>
      <w:r>
        <w:rPr>
          <w:rFonts w:hint="eastAsia" w:ascii="宋体" w:hAnsi="宋体" w:cs="宋体"/>
          <w:bCs/>
          <w:color w:val="auto"/>
        </w:rPr>
        <w:t>，</w:t>
      </w:r>
      <w:r>
        <w:rPr>
          <w:rFonts w:hint="eastAsia" w:ascii="宋体" w:hAnsi="宋体" w:eastAsia="宋体" w:cs="宋体"/>
          <w:bCs/>
          <w:color w:val="auto"/>
          <w:lang w:eastAsia="zh-CN"/>
        </w:rPr>
        <w:t>建设单位</w:t>
      </w:r>
      <w:r>
        <w:rPr>
          <w:rFonts w:hint="eastAsia" w:ascii="宋体" w:hAnsi="宋体" w:cs="宋体"/>
          <w:bCs/>
          <w:color w:val="auto"/>
        </w:rPr>
        <w:t>应制定环境风险应急预案，能够以最快速</w:t>
      </w:r>
      <w:r>
        <w:rPr>
          <w:rFonts w:hint="eastAsia"/>
          <w:bCs/>
          <w:color w:val="auto"/>
        </w:rPr>
        <w:t>度发挥最大的能效</w:t>
      </w:r>
      <w:r>
        <w:rPr>
          <w:rFonts w:hint="eastAsia" w:ascii="宋体" w:hAnsi="宋体" w:cs="宋体"/>
          <w:bCs/>
          <w:color w:val="auto"/>
        </w:rPr>
        <w:t>，有序的实施救援，尽快控制事态的发展，降低事故造成的危</w:t>
      </w:r>
      <w:r>
        <w:rPr>
          <w:rFonts w:hint="eastAsia"/>
          <w:bCs/>
          <w:color w:val="auto"/>
        </w:rPr>
        <w:t>害</w:t>
      </w:r>
      <w:r>
        <w:rPr>
          <w:rFonts w:hint="eastAsia" w:ascii="宋体" w:hAnsi="宋体" w:cs="宋体"/>
          <w:bCs/>
          <w:color w:val="auto"/>
        </w:rPr>
        <w:t>，减少事故造成的损失。应急预案应以</w:t>
      </w:r>
      <w:r>
        <w:rPr>
          <w:rFonts w:hint="eastAsia" w:ascii="宋体" w:hAnsi="宋体" w:cs="宋体"/>
          <w:bCs/>
          <w:color w:val="auto"/>
          <w:lang w:eastAsia="zh-CN"/>
        </w:rPr>
        <w:t>“</w:t>
      </w:r>
      <w:r>
        <w:rPr>
          <w:rFonts w:hint="eastAsia" w:ascii="宋体" w:hAnsi="宋体" w:cs="宋体"/>
          <w:bCs/>
          <w:color w:val="auto"/>
        </w:rPr>
        <w:t>预防为主，防救结合</w:t>
      </w:r>
      <w:r>
        <w:rPr>
          <w:rFonts w:hint="eastAsia" w:ascii="宋体" w:hAnsi="宋体" w:cs="宋体"/>
          <w:bCs/>
          <w:color w:val="auto"/>
          <w:lang w:eastAsia="zh-CN"/>
        </w:rPr>
        <w:t>”</w:t>
      </w:r>
      <w:r>
        <w:rPr>
          <w:rFonts w:hint="eastAsia" w:ascii="宋体" w:hAnsi="宋体" w:cs="宋体"/>
          <w:bCs/>
          <w:color w:val="auto"/>
        </w:rPr>
        <w:t>为原则。根据本</w:t>
      </w:r>
      <w:r>
        <w:rPr>
          <w:rFonts w:hint="eastAsia"/>
          <w:bCs/>
          <w:color w:val="auto"/>
        </w:rPr>
        <w:t>次工程可能发生的风险事故提出相应的应急预案。应急预案的主要内容可参考表</w:t>
      </w:r>
      <w:r>
        <w:rPr>
          <w:rFonts w:hint="eastAsia"/>
          <w:bCs/>
          <w:color w:val="auto"/>
          <w:lang w:val="en-US" w:eastAsia="zh-CN"/>
        </w:rPr>
        <w:t>8.5</w:t>
      </w:r>
      <w:r>
        <w:rPr>
          <w:rFonts w:hint="eastAsia"/>
          <w:bCs/>
          <w:color w:val="auto"/>
        </w:rPr>
        <w:t>-1</w:t>
      </w:r>
      <w:r>
        <w:rPr>
          <w:bCs/>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color w:val="auto"/>
          <w:sz w:val="21"/>
          <w:szCs w:val="21"/>
        </w:rPr>
      </w:pPr>
      <w:r>
        <w:rPr>
          <w:rFonts w:hAnsi="宋体"/>
          <w:b/>
          <w:color w:val="auto"/>
          <w:sz w:val="21"/>
          <w:szCs w:val="21"/>
        </w:rPr>
        <w:t>表</w:t>
      </w:r>
      <w:r>
        <w:rPr>
          <w:rFonts w:hint="eastAsia" w:hAnsi="宋体" w:eastAsia="宋体"/>
          <w:b/>
          <w:color w:val="auto"/>
          <w:sz w:val="21"/>
          <w:szCs w:val="21"/>
          <w:lang w:val="en-US" w:eastAsia="zh-CN"/>
        </w:rPr>
        <w:t>8.5</w:t>
      </w:r>
      <w:r>
        <w:rPr>
          <w:rFonts w:hint="eastAsia" w:hAnsi="宋体"/>
          <w:b/>
          <w:color w:val="auto"/>
          <w:sz w:val="21"/>
          <w:szCs w:val="21"/>
        </w:rPr>
        <w:t>-1应急预案内容</w:t>
      </w:r>
    </w:p>
    <w:tbl>
      <w:tblPr>
        <w:tblStyle w:val="4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15"/>
        <w:gridCol w:w="2502"/>
        <w:gridCol w:w="54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序号</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项目</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内容及要求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总则</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涉及物料性质及可能发生的突发事故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2</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危险源概况</w:t>
            </w:r>
          </w:p>
        </w:tc>
        <w:tc>
          <w:tcPr>
            <w:tcW w:w="3171" w:type="pct"/>
            <w:tcBorders>
              <w:tl2br w:val="nil"/>
              <w:tr2bl w:val="nil"/>
            </w:tcBorders>
            <w:noWrap w:val="0"/>
            <w:vAlign w:val="center"/>
          </w:tcPr>
          <w:p>
            <w:pPr>
              <w:spacing w:line="240" w:lineRule="auto"/>
              <w:ind w:left="-120" w:leftChars="-50" w:right="-120" w:rightChars="-50" w:firstLine="0" w:firstLineChars="0"/>
              <w:jc w:val="center"/>
              <w:rPr>
                <w:rFonts w:hint="eastAsia" w:eastAsia="宋体"/>
                <w:color w:val="auto"/>
                <w:sz w:val="21"/>
                <w:szCs w:val="21"/>
                <w:lang w:eastAsia="zh-CN"/>
              </w:rPr>
            </w:pPr>
            <w:r>
              <w:rPr>
                <w:rFonts w:hint="eastAsia"/>
                <w:color w:val="auto"/>
                <w:sz w:val="21"/>
                <w:szCs w:val="21"/>
              </w:rPr>
              <w:t>柴油、污水、危险废物</w:t>
            </w:r>
            <w:r>
              <w:rPr>
                <w:rFonts w:hint="eastAsia"/>
                <w:color w:val="auto"/>
                <w:sz w:val="21"/>
                <w:szCs w:val="21"/>
                <w:lang w:eastAsia="zh-CN"/>
              </w:rPr>
              <w:t>、化学品试剂、天然气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3</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应急计划区</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柴油储存点、污水处理站、</w:t>
            </w:r>
            <w:r>
              <w:rPr>
                <w:rFonts w:hint="eastAsia"/>
                <w:color w:val="auto"/>
                <w:sz w:val="21"/>
                <w:szCs w:val="21"/>
                <w:lang w:eastAsia="zh-CN"/>
              </w:rPr>
              <w:t>医疗废物</w:t>
            </w:r>
            <w:r>
              <w:rPr>
                <w:rFonts w:hint="eastAsia"/>
                <w:color w:val="auto"/>
                <w:sz w:val="21"/>
                <w:szCs w:val="21"/>
              </w:rPr>
              <w:t>暂存间、</w:t>
            </w:r>
            <w:r>
              <w:rPr>
                <w:rFonts w:hint="eastAsia"/>
                <w:color w:val="auto"/>
                <w:sz w:val="21"/>
                <w:szCs w:val="21"/>
                <w:lang w:eastAsia="zh-CN"/>
              </w:rPr>
              <w:t>化学品库、天然气管道、</w:t>
            </w:r>
            <w:r>
              <w:rPr>
                <w:rFonts w:hint="eastAsia"/>
                <w:color w:val="auto"/>
                <w:sz w:val="21"/>
                <w:szCs w:val="21"/>
              </w:rPr>
              <w:t>环保目标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4</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应急组织</w:t>
            </w:r>
            <w:r>
              <w:rPr>
                <w:rFonts w:hint="eastAsia"/>
                <w:color w:val="auto"/>
                <w:sz w:val="21"/>
                <w:szCs w:val="21"/>
              </w:rPr>
              <w:t>、人员</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建设单位、地区应急组织机构、人员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5</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应急状态分类及应急相应程序</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规定事故的级别及相应的应急分类相应程序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6</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应急设施设备与材料</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防泄漏事故应急设施、设备与材料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7</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应急通讯、通知和交通</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规定应急状态下通讯方式、通知方式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8</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应急环境监测</w:t>
            </w:r>
          </w:p>
          <w:p>
            <w:pPr>
              <w:spacing w:line="240" w:lineRule="auto"/>
              <w:ind w:left="-120" w:leftChars="-50" w:right="-120" w:rightChars="-50" w:firstLine="0" w:firstLineChars="0"/>
              <w:jc w:val="center"/>
              <w:rPr>
                <w:color w:val="auto"/>
                <w:sz w:val="21"/>
                <w:szCs w:val="21"/>
              </w:rPr>
            </w:pPr>
            <w:r>
              <w:rPr>
                <w:color w:val="auto"/>
                <w:sz w:val="21"/>
                <w:szCs w:val="21"/>
              </w:rPr>
              <w:t>及事故后评估</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由专业队伍负责对事故现场进行侦察监测，对事故性质、参数与后果进行评估，为指挥部门提供决策依据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9</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应急防护措施、消除泄漏措施方法和器材</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事故现场：控制事故，防止扩大、蔓延及连锁反应。清除现场泄漏物，降低危害，相应的设施器材配备</w:t>
            </w:r>
          </w:p>
          <w:p>
            <w:pPr>
              <w:spacing w:line="240" w:lineRule="auto"/>
              <w:ind w:left="-120" w:leftChars="-50" w:right="-120" w:rightChars="-50" w:firstLine="0" w:firstLineChars="0"/>
              <w:jc w:val="center"/>
              <w:rPr>
                <w:color w:val="auto"/>
                <w:sz w:val="21"/>
                <w:szCs w:val="21"/>
              </w:rPr>
            </w:pPr>
            <w:r>
              <w:rPr>
                <w:color w:val="auto"/>
                <w:sz w:val="21"/>
                <w:szCs w:val="21"/>
              </w:rPr>
              <w:t>邻近区域：控制防扩散区域，控制和清除污染措施及相应设备配备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10</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应急剂量控制、撤离组织计划、医疗救护与公众健康</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事故现场：事故处理人员对毒物的应急剂量控制规定，现场及邻近装置，人员撤离组织计划及救护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11</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应急状态终止与恢复措施</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规定应急状态终止程序</w:t>
            </w:r>
          </w:p>
          <w:p>
            <w:pPr>
              <w:spacing w:line="240" w:lineRule="auto"/>
              <w:ind w:left="-120" w:leftChars="-50" w:right="-120" w:rightChars="-50" w:firstLine="0" w:firstLineChars="0"/>
              <w:jc w:val="center"/>
              <w:rPr>
                <w:color w:val="auto"/>
                <w:sz w:val="21"/>
                <w:szCs w:val="21"/>
              </w:rPr>
            </w:pPr>
            <w:r>
              <w:rPr>
                <w:color w:val="auto"/>
                <w:sz w:val="21"/>
                <w:szCs w:val="21"/>
              </w:rPr>
              <w:t>事故现场善后处理，恢复措施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12</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人员培训与演练</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应急计划制定后，平时安排人员培训和演练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13</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公众教育和信息</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对</w:t>
            </w:r>
            <w:r>
              <w:rPr>
                <w:rFonts w:hint="eastAsia"/>
                <w:color w:val="auto"/>
                <w:sz w:val="21"/>
                <w:szCs w:val="21"/>
                <w:lang w:eastAsia="zh-CN"/>
              </w:rPr>
              <w:t>院区</w:t>
            </w:r>
            <w:r>
              <w:rPr>
                <w:color w:val="auto"/>
                <w:sz w:val="21"/>
                <w:szCs w:val="21"/>
              </w:rPr>
              <w:t>邻近地区开展公众教育、培训和发布相关信息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14</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记录和报告</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设置应急事故专门记录，建立档案和专门报告制度，设专门部门负责管理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6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15</w:t>
            </w:r>
          </w:p>
        </w:tc>
        <w:tc>
          <w:tcPr>
            <w:tcW w:w="1467"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附件</w:t>
            </w:r>
          </w:p>
        </w:tc>
        <w:tc>
          <w:tcPr>
            <w:tcW w:w="3171" w:type="pct"/>
            <w:tcBorders>
              <w:tl2br w:val="nil"/>
              <w:tr2bl w:val="nil"/>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与应急事故有关的多种附件材料的准备和形成</w:t>
            </w:r>
          </w:p>
        </w:tc>
      </w:tr>
    </w:tbl>
    <w:p>
      <w:pPr>
        <w:pStyle w:val="4"/>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color w:val="auto"/>
        </w:rPr>
      </w:pPr>
      <w:bookmarkStart w:id="106" w:name="_Toc10506"/>
      <w:r>
        <w:rPr>
          <w:rFonts w:hint="eastAsia"/>
          <w:color w:val="auto"/>
          <w:lang w:val="en-US" w:eastAsia="zh-CN"/>
        </w:rPr>
        <w:t>7.6</w:t>
      </w:r>
      <w:r>
        <w:rPr>
          <w:rFonts w:hint="eastAsia"/>
          <w:color w:val="auto"/>
        </w:rPr>
        <w:t>结论</w:t>
      </w:r>
      <w:bookmarkEnd w:id="106"/>
    </w:p>
    <w:p>
      <w:pPr>
        <w:pageBreakBefore w:val="0"/>
        <w:widowControl w:val="0"/>
        <w:tabs>
          <w:tab w:val="left" w:pos="20520"/>
        </w:tabs>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rPr>
      </w:pPr>
      <w:r>
        <w:rPr>
          <w:rFonts w:hint="eastAsia"/>
          <w:bCs/>
          <w:color w:val="auto"/>
        </w:rPr>
        <w:t>项目</w:t>
      </w:r>
      <w:r>
        <w:rPr>
          <w:rFonts w:hint="eastAsia"/>
          <w:bCs/>
          <w:color w:val="auto"/>
          <w:lang w:val="en-US" w:eastAsia="zh-CN"/>
        </w:rPr>
        <w:t>环境风险评价等级为简单分析。通过</w:t>
      </w:r>
      <w:r>
        <w:rPr>
          <w:rFonts w:hint="eastAsia" w:ascii="宋体" w:hAnsi="宋体" w:cs="宋体"/>
          <w:bCs/>
          <w:color w:val="auto"/>
        </w:rPr>
        <w:t>采取一系列技术和管理措施，控制其使用风</w:t>
      </w:r>
      <w:r>
        <w:rPr>
          <w:rFonts w:hint="eastAsia"/>
          <w:bCs/>
          <w:color w:val="auto"/>
        </w:rPr>
        <w:t>险</w:t>
      </w:r>
      <w:r>
        <w:rPr>
          <w:rFonts w:hint="eastAsia" w:ascii="宋体" w:hAnsi="宋体" w:cs="宋体"/>
          <w:bCs/>
          <w:color w:val="auto"/>
        </w:rPr>
        <w:t>，项目发生风险的类型和</w:t>
      </w:r>
      <w:r>
        <w:rPr>
          <w:rFonts w:hint="eastAsia" w:ascii="宋体" w:hAnsi="宋体" w:cs="宋体"/>
          <w:bCs/>
          <w:color w:val="auto"/>
          <w:lang w:val="en-US" w:eastAsia="zh-CN"/>
        </w:rPr>
        <w:t>几率</w:t>
      </w:r>
      <w:r>
        <w:rPr>
          <w:rFonts w:hint="eastAsia" w:ascii="宋体" w:hAnsi="宋体" w:cs="宋体"/>
          <w:bCs/>
          <w:color w:val="auto"/>
        </w:rPr>
        <w:t>都很</w:t>
      </w:r>
      <w:r>
        <w:rPr>
          <w:rFonts w:hint="eastAsia"/>
          <w:bCs/>
          <w:color w:val="auto"/>
        </w:rPr>
        <w:t>小</w:t>
      </w:r>
      <w:r>
        <w:rPr>
          <w:rFonts w:hint="eastAsia" w:ascii="宋体" w:hAnsi="宋体" w:cs="宋体"/>
          <w:bCs/>
          <w:color w:val="auto"/>
        </w:rPr>
        <w:t>，通过加强管理、严格遵守各项安全操作规程、制度和落实风险评价要求的防</w:t>
      </w:r>
      <w:r>
        <w:rPr>
          <w:rFonts w:hint="eastAsia"/>
          <w:bCs/>
          <w:color w:val="auto"/>
        </w:rPr>
        <w:t>范措施</w:t>
      </w:r>
      <w:r>
        <w:rPr>
          <w:rFonts w:hint="eastAsia" w:ascii="宋体" w:hAnsi="宋体" w:cs="宋体"/>
          <w:bCs/>
          <w:color w:val="auto"/>
        </w:rPr>
        <w:t>，加强对全体员工防范事故风险能力的培训，健全环保规章制度</w:t>
      </w:r>
      <w:r>
        <w:rPr>
          <w:rFonts w:hint="eastAsia"/>
          <w:bCs/>
          <w:color w:val="auto"/>
        </w:rPr>
        <w:t>制定事故应急预案等，</w:t>
      </w:r>
      <w:r>
        <w:rPr>
          <w:rFonts w:hint="eastAsia" w:ascii="宋体" w:hAnsi="宋体" w:cs="宋体"/>
          <w:bCs/>
          <w:color w:val="auto"/>
        </w:rPr>
        <w:t>本项目发生的潜在风险事故可以避免和控制，环境风险可</w:t>
      </w:r>
      <w:r>
        <w:rPr>
          <w:rFonts w:hint="eastAsia"/>
          <w:bCs/>
          <w:color w:val="auto"/>
        </w:rPr>
        <w:t>以</w:t>
      </w:r>
      <w:r>
        <w:rPr>
          <w:rFonts w:hint="eastAsia"/>
          <w:bCs/>
          <w:color w:val="auto"/>
          <w:lang w:val="en-US" w:eastAsia="zh-CN"/>
        </w:rPr>
        <w:t>接受</w:t>
      </w:r>
      <w:r>
        <w:rPr>
          <w:rFonts w:hint="eastAsia"/>
          <w:bCs/>
          <w:color w:val="auto"/>
        </w:rPr>
        <w:t>。</w:t>
      </w:r>
    </w:p>
    <w:p>
      <w:pPr>
        <w:pStyle w:val="19"/>
        <w:keepNext w:val="0"/>
        <w:keepLines w:val="0"/>
        <w:pageBreakBefore w:val="0"/>
        <w:widowControl w:val="0"/>
        <w:kinsoku/>
        <w:wordWrap/>
        <w:overflowPunct/>
        <w:topLinePunct w:val="0"/>
        <w:autoSpaceDE/>
        <w:autoSpaceDN/>
        <w:bidi w:val="0"/>
        <w:adjustRightInd/>
        <w:snapToGrid/>
        <w:spacing w:after="0" w:line="240" w:lineRule="auto"/>
        <w:ind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8</w:t>
      </w:r>
      <w:r>
        <w:rPr>
          <w:rFonts w:hint="default" w:ascii="Times New Roman" w:hAnsi="Times New Roman" w:eastAsia="宋体" w:cs="Times New Roman"/>
          <w:b/>
          <w:bCs/>
          <w:color w:val="auto"/>
          <w:sz w:val="21"/>
          <w:szCs w:val="21"/>
          <w:lang w:val="en-US" w:eastAsia="zh-CN"/>
        </w:rPr>
        <w:t>.6-1</w:t>
      </w:r>
      <w:r>
        <w:rPr>
          <w:rFonts w:hint="default" w:ascii="Times New Roman" w:hAnsi="Times New Roman" w:eastAsia="宋体" w:cs="Times New Roman"/>
          <w:b/>
          <w:bCs/>
          <w:color w:val="auto"/>
          <w:sz w:val="21"/>
          <w:szCs w:val="21"/>
        </w:rPr>
        <w:t>建设项目环境风险简单分析内容表</w:t>
      </w:r>
    </w:p>
    <w:tbl>
      <w:tblPr>
        <w:tblStyle w:val="4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15" w:type="dxa"/>
          <w:left w:w="15" w:type="dxa"/>
          <w:bottom w:w="15" w:type="dxa"/>
          <w:right w:w="15" w:type="dxa"/>
        </w:tblCellMar>
      </w:tblPr>
      <w:tblGrid>
        <w:gridCol w:w="1877"/>
        <w:gridCol w:w="64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建设项目名称</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lang w:val="en-US"/>
              </w:rPr>
            </w:pPr>
            <w:r>
              <w:rPr>
                <w:rFonts w:hint="eastAsia" w:ascii="宋体" w:hAnsi="宋体" w:cs="宋体"/>
                <w:i w:val="0"/>
                <w:color w:val="auto"/>
                <w:kern w:val="0"/>
                <w:sz w:val="21"/>
                <w:szCs w:val="21"/>
                <w:u w:val="none"/>
                <w:lang w:val="en-US" w:eastAsia="zh-CN" w:bidi="ar"/>
              </w:rPr>
              <w:t>安徽省立医院（中国科大附一院）滨湖院区项目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建设地点</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eastAsia" w:ascii="Times New Roman" w:hAnsi="Times New Roman" w:eastAsia="宋体" w:cs="Times New Roman"/>
                <w:i w:val="0"/>
                <w:color w:val="auto"/>
                <w:sz w:val="21"/>
                <w:szCs w:val="21"/>
                <w:u w:val="none"/>
                <w:lang w:eastAsia="zh-CN"/>
              </w:rPr>
            </w:pPr>
            <w:r>
              <w:rPr>
                <w:rFonts w:hint="eastAsia" w:cs="Times New Roman"/>
                <w:i w:val="0"/>
                <w:color w:val="auto"/>
                <w:sz w:val="21"/>
                <w:szCs w:val="21"/>
                <w:u w:val="none"/>
                <w:lang w:eastAsia="zh-CN"/>
              </w:rPr>
              <w:t>合肥市滨湖新区锦绣大道与江苏路交口西南侧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地理坐标</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lang w:val="en-US"/>
              </w:rPr>
            </w:pPr>
            <w:r>
              <w:rPr>
                <w:rFonts w:hint="eastAsia" w:ascii="宋体" w:hAnsi="宋体" w:eastAsia="宋体" w:cs="宋体"/>
                <w:i w:val="0"/>
                <w:color w:val="auto"/>
                <w:kern w:val="0"/>
                <w:sz w:val="21"/>
                <w:szCs w:val="21"/>
                <w:u w:val="none"/>
                <w:lang w:val="en-US" w:eastAsia="zh-CN" w:bidi="ar"/>
              </w:rPr>
              <w:t>经度</w:t>
            </w:r>
            <w:r>
              <w:rPr>
                <w:rFonts w:hint="default" w:ascii="Times New Roman" w:hAnsi="Times New Roman" w:eastAsia="宋体" w:cs="Times New Roman"/>
                <w:i w:val="0"/>
                <w:color w:val="auto"/>
                <w:kern w:val="0"/>
                <w:sz w:val="21"/>
                <w:szCs w:val="21"/>
                <w:u w:val="none"/>
                <w:lang w:val="en-US" w:eastAsia="zh-CN" w:bidi="ar"/>
              </w:rPr>
              <w:t>11</w:t>
            </w:r>
            <w:r>
              <w:rPr>
                <w:rFonts w:hint="eastAsia" w:cs="Times New Roman"/>
                <w:i w:val="0"/>
                <w:color w:val="auto"/>
                <w:kern w:val="0"/>
                <w:sz w:val="21"/>
                <w:szCs w:val="21"/>
                <w:u w:val="none"/>
                <w:lang w:val="en-US" w:eastAsia="zh-CN" w:bidi="ar"/>
              </w:rPr>
              <w:t>7.321476</w:t>
            </w:r>
            <w:r>
              <w:rPr>
                <w:rFonts w:hint="eastAsia" w:ascii="Times New Roman" w:hAnsi="Times New Roman" w:eastAsia="宋体" w:cs="Times New Roman"/>
                <w:i w:val="0"/>
                <w:color w:val="auto"/>
                <w:kern w:val="0"/>
                <w:sz w:val="21"/>
                <w:szCs w:val="21"/>
                <w:u w:val="none"/>
                <w:lang w:val="en-US" w:eastAsia="zh-CN" w:bidi="ar"/>
              </w:rPr>
              <w:t>，</w:t>
            </w:r>
            <w:r>
              <w:rPr>
                <w:rFonts w:hint="eastAsia" w:ascii="宋体" w:hAnsi="宋体" w:eastAsia="宋体" w:cs="宋体"/>
                <w:i w:val="0"/>
                <w:color w:val="auto"/>
                <w:kern w:val="0"/>
                <w:sz w:val="21"/>
                <w:szCs w:val="21"/>
                <w:u w:val="none"/>
                <w:lang w:val="en-US" w:eastAsia="zh-CN" w:bidi="ar"/>
              </w:rPr>
              <w:t>纬度</w:t>
            </w:r>
            <w:r>
              <w:rPr>
                <w:rFonts w:hint="default" w:ascii="Times New Roman" w:hAnsi="Times New Roman" w:eastAsia="宋体" w:cs="Times New Roman"/>
                <w:i w:val="0"/>
                <w:color w:val="auto"/>
                <w:kern w:val="0"/>
                <w:sz w:val="21"/>
                <w:szCs w:val="21"/>
                <w:u w:val="none"/>
                <w:lang w:val="en-US" w:eastAsia="zh-CN" w:bidi="ar"/>
              </w:rPr>
              <w:t>3</w:t>
            </w:r>
            <w:r>
              <w:rPr>
                <w:rFonts w:hint="eastAsia" w:cs="Times New Roman"/>
                <w:i w:val="0"/>
                <w:color w:val="auto"/>
                <w:kern w:val="0"/>
                <w:sz w:val="21"/>
                <w:szCs w:val="21"/>
                <w:u w:val="none"/>
                <w:lang w:val="en-US" w:eastAsia="zh-CN" w:bidi="ar"/>
              </w:rPr>
              <w:t>1.756378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highlight w:val="none"/>
                <w:u w:val="none"/>
              </w:rPr>
            </w:pPr>
            <w:r>
              <w:rPr>
                <w:rFonts w:hint="eastAsia" w:ascii="宋体" w:hAnsi="宋体" w:eastAsia="宋体" w:cs="宋体"/>
                <w:i w:val="0"/>
                <w:color w:val="auto"/>
                <w:kern w:val="0"/>
                <w:sz w:val="21"/>
                <w:szCs w:val="21"/>
                <w:highlight w:val="none"/>
                <w:u w:val="none"/>
                <w:lang w:val="en-US" w:eastAsia="zh-CN" w:bidi="ar"/>
              </w:rPr>
              <w:t>主要危险物质及分布</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both"/>
              <w:textAlignment w:val="center"/>
              <w:outlineLvl w:val="9"/>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w:t>
            </w:r>
            <w:r>
              <w:rPr>
                <w:rFonts w:hint="eastAsia" w:ascii="宋体" w:hAnsi="宋体" w:eastAsia="宋体" w:cs="宋体"/>
                <w:i w:val="0"/>
                <w:color w:val="auto"/>
                <w:kern w:val="0"/>
                <w:sz w:val="21"/>
                <w:szCs w:val="21"/>
                <w:highlight w:val="none"/>
                <w:u w:val="none"/>
                <w:lang w:val="en-US" w:eastAsia="zh-CN" w:bidi="ar"/>
              </w:rPr>
              <w:t>、医疗废水主要位于</w:t>
            </w:r>
            <w:r>
              <w:rPr>
                <w:rFonts w:hint="eastAsia" w:ascii="宋体" w:hAnsi="宋体" w:cs="宋体"/>
                <w:i w:val="0"/>
                <w:color w:val="auto"/>
                <w:kern w:val="0"/>
                <w:sz w:val="21"/>
                <w:szCs w:val="21"/>
                <w:highlight w:val="none"/>
                <w:u w:val="none"/>
                <w:lang w:val="en-US" w:eastAsia="zh-CN" w:bidi="ar"/>
              </w:rPr>
              <w:t>项目区东北侧</w:t>
            </w:r>
            <w:r>
              <w:rPr>
                <w:rFonts w:hint="eastAsia" w:ascii="宋体" w:hAnsi="宋体" w:eastAsia="宋体" w:cs="宋体"/>
                <w:i w:val="0"/>
                <w:color w:val="auto"/>
                <w:kern w:val="0"/>
                <w:sz w:val="21"/>
                <w:szCs w:val="21"/>
                <w:highlight w:val="none"/>
                <w:u w:val="none"/>
                <w:lang w:val="en-US" w:eastAsia="zh-CN" w:bidi="ar"/>
              </w:rPr>
              <w:t>的地下污水处理站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highlight w:val="none"/>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2、医疗废物贮存于</w:t>
            </w:r>
            <w:r>
              <w:rPr>
                <w:rFonts w:hint="eastAsia" w:cs="Times New Roman"/>
                <w:i w:val="0"/>
                <w:color w:val="auto"/>
                <w:kern w:val="0"/>
                <w:sz w:val="21"/>
                <w:szCs w:val="21"/>
                <w:highlight w:val="none"/>
                <w:u w:val="none"/>
                <w:lang w:val="en-US" w:eastAsia="zh-CN" w:bidi="ar"/>
              </w:rPr>
              <w:t>医疗废物</w:t>
            </w:r>
            <w:r>
              <w:rPr>
                <w:rFonts w:hint="default" w:ascii="Times New Roman" w:hAnsi="Times New Roman" w:eastAsia="宋体" w:cs="Times New Roman"/>
                <w:i w:val="0"/>
                <w:color w:val="auto"/>
                <w:kern w:val="0"/>
                <w:sz w:val="21"/>
                <w:szCs w:val="21"/>
                <w:highlight w:val="none"/>
                <w:u w:val="none"/>
                <w:lang w:val="en-US" w:eastAsia="zh-CN" w:bidi="ar"/>
              </w:rPr>
              <w:t>临时贮存间</w:t>
            </w:r>
            <w:r>
              <w:rPr>
                <w:rFonts w:hint="eastAsia" w:cs="Times New Roman"/>
                <w:i w:val="0"/>
                <w:color w:val="auto"/>
                <w:kern w:val="0"/>
                <w:sz w:val="21"/>
                <w:szCs w:val="21"/>
                <w:highlight w:val="none"/>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highlight w:val="none"/>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3、1m</w:t>
            </w:r>
            <w:r>
              <w:rPr>
                <w:rFonts w:hint="default" w:ascii="Times New Roman" w:hAnsi="Times New Roman" w:eastAsia="宋体" w:cs="Times New Roman"/>
                <w:i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柴油箱</w:t>
            </w:r>
            <w:r>
              <w:rPr>
                <w:rFonts w:hint="eastAsia" w:cs="Times New Roman"/>
                <w:i w:val="0"/>
                <w:color w:val="auto"/>
                <w:kern w:val="0"/>
                <w:sz w:val="21"/>
                <w:szCs w:val="21"/>
                <w:highlight w:val="none"/>
                <w:u w:val="none"/>
                <w:lang w:val="en-US" w:eastAsia="zh-CN" w:bidi="ar"/>
              </w:rPr>
              <w:t>（共4个）</w:t>
            </w:r>
            <w:r>
              <w:rPr>
                <w:rFonts w:hint="default" w:ascii="Times New Roman" w:hAnsi="Times New Roman" w:eastAsia="宋体" w:cs="Times New Roman"/>
                <w:i w:val="0"/>
                <w:color w:val="auto"/>
                <w:kern w:val="0"/>
                <w:sz w:val="21"/>
                <w:szCs w:val="21"/>
                <w:highlight w:val="none"/>
                <w:u w:val="none"/>
                <w:lang w:val="en-US" w:eastAsia="zh-CN" w:bidi="ar"/>
              </w:rPr>
              <w:t>储存在柴油发电机房内侧储油间内（</w:t>
            </w:r>
            <w:r>
              <w:rPr>
                <w:rFonts w:hint="eastAsia" w:ascii="Times New Roman" w:hAnsi="Times New Roman" w:eastAsia="宋体" w:cs="Times New Roman"/>
                <w:i w:val="0"/>
                <w:color w:val="auto"/>
                <w:kern w:val="0"/>
                <w:sz w:val="21"/>
                <w:szCs w:val="21"/>
                <w:highlight w:val="none"/>
                <w:u w:val="none"/>
                <w:lang w:val="en-US" w:eastAsia="zh-CN" w:bidi="ar"/>
              </w:rPr>
              <w:t>位于</w:t>
            </w:r>
            <w:r>
              <w:rPr>
                <w:rFonts w:hint="default" w:ascii="Times New Roman" w:hAnsi="Times New Roman" w:eastAsia="宋体" w:cs="Times New Roman"/>
                <w:i w:val="0"/>
                <w:color w:val="auto"/>
                <w:kern w:val="0"/>
                <w:sz w:val="21"/>
                <w:szCs w:val="21"/>
                <w:highlight w:val="none"/>
                <w:u w:val="none"/>
                <w:lang w:val="en-US" w:eastAsia="zh-CN" w:bidi="ar"/>
              </w:rPr>
              <w:t>地</w:t>
            </w:r>
            <w:r>
              <w:rPr>
                <w:rFonts w:hint="eastAsia" w:cs="Times New Roman"/>
                <w:i w:val="0"/>
                <w:color w:val="auto"/>
                <w:kern w:val="0"/>
                <w:sz w:val="21"/>
                <w:szCs w:val="21"/>
                <w:highlight w:val="none"/>
                <w:u w:val="none"/>
                <w:lang w:val="en-US" w:eastAsia="zh-CN" w:bidi="ar"/>
              </w:rPr>
              <w:t>下一层</w:t>
            </w:r>
            <w:r>
              <w:rPr>
                <w:rFonts w:hint="default" w:ascii="Times New Roman" w:hAnsi="Times New Roman" w:eastAsia="宋体" w:cs="Times New Roman"/>
                <w:i w:val="0"/>
                <w:color w:val="auto"/>
                <w:kern w:val="0"/>
                <w:sz w:val="21"/>
                <w:szCs w:val="21"/>
                <w:highlight w:val="none"/>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highlight w:val="none"/>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4、化学药剂贮存于门急诊医技楼化学品库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highlight w:val="none"/>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5、天然气位于院区天然气输送管道内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环境影响途径及危害后果（大气、地表水、地下水等）</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w:t>
            </w:r>
            <w:r>
              <w:rPr>
                <w:rFonts w:hint="eastAsia" w:ascii="宋体" w:hAnsi="宋体" w:eastAsia="宋体" w:cs="宋体"/>
                <w:i w:val="0"/>
                <w:color w:val="auto"/>
                <w:kern w:val="0"/>
                <w:sz w:val="21"/>
                <w:szCs w:val="21"/>
                <w:u w:val="none"/>
                <w:lang w:val="en-US" w:eastAsia="zh-CN" w:bidi="ar"/>
              </w:rPr>
              <w:t>、医疗废水泄漏影响地表水、地下水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Fonts w:hint="eastAsia" w:ascii="宋体" w:hAnsi="宋体" w:eastAsia="宋体" w:cs="宋体"/>
                <w:i w:val="0"/>
                <w:color w:val="auto"/>
                <w:kern w:val="0"/>
                <w:sz w:val="21"/>
                <w:szCs w:val="21"/>
                <w:u w:val="none"/>
                <w:lang w:val="en-US" w:eastAsia="zh-CN" w:bidi="ar"/>
              </w:rPr>
              <w:t>、柴油泄漏影响地下水，引发火灾会影响大气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w:t>
            </w:r>
            <w:r>
              <w:rPr>
                <w:rFonts w:hint="eastAsia" w:ascii="宋体" w:hAnsi="宋体" w:eastAsia="宋体" w:cs="宋体"/>
                <w:i w:val="0"/>
                <w:color w:val="auto"/>
                <w:kern w:val="0"/>
                <w:sz w:val="21"/>
                <w:szCs w:val="21"/>
                <w:u w:val="none"/>
                <w:lang w:val="en-US" w:eastAsia="zh-CN" w:bidi="ar"/>
              </w:rPr>
              <w:t>、危险废物在暂存或转运中，由于管理疏忽，造成危险废物未能得到安全处置导致环境污染（主要是土壤、地下水和大气）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4、化学药剂在使用过程中由于人员操作不当发生泄露，危害人体健康，污染周边环境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lang w:val="en-US" w:eastAsia="zh-CN"/>
              </w:rPr>
            </w:pPr>
            <w:r>
              <w:rPr>
                <w:rFonts w:hint="eastAsia" w:cs="Times New Roman"/>
                <w:i w:val="0"/>
                <w:color w:val="auto"/>
                <w:sz w:val="21"/>
                <w:szCs w:val="21"/>
                <w:u w:val="none"/>
                <w:lang w:val="en-US" w:eastAsia="zh-CN"/>
              </w:rPr>
              <w:t>5、天然气泄露遇到明火或者电击引发火灾和爆炸，</w:t>
            </w:r>
            <w:r>
              <w:rPr>
                <w:rFonts w:hint="eastAsia" w:ascii="宋体" w:hAnsi="宋体" w:eastAsia="宋体" w:cs="宋体"/>
                <w:i w:val="0"/>
                <w:color w:val="auto"/>
                <w:kern w:val="0"/>
                <w:sz w:val="21"/>
                <w:szCs w:val="21"/>
                <w:u w:val="none"/>
                <w:lang w:val="en-US" w:eastAsia="zh-CN" w:bidi="ar"/>
              </w:rPr>
              <w:t>影响大气环境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outlineLvl w:val="9"/>
              <w:rPr>
                <w:rFonts w:hint="default" w:ascii="Times New Roman" w:hAnsi="Times New Roman" w:eastAsia="宋体" w:cs="Times New Roman"/>
                <w:i w:val="0"/>
                <w:color w:val="auto"/>
                <w:sz w:val="21"/>
                <w:szCs w:val="21"/>
                <w:u w:val="none"/>
              </w:rPr>
            </w:pPr>
            <w:r>
              <w:rPr>
                <w:rFonts w:hint="eastAsia" w:ascii="宋体" w:hAnsi="宋体" w:eastAsia="宋体" w:cs="宋体"/>
                <w:i w:val="0"/>
                <w:color w:val="auto"/>
                <w:kern w:val="0"/>
                <w:sz w:val="21"/>
                <w:szCs w:val="21"/>
                <w:u w:val="none"/>
                <w:lang w:val="en-US" w:eastAsia="zh-CN" w:bidi="ar"/>
              </w:rPr>
              <w:t>风险防范措施要求</w:t>
            </w: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w:t>
            </w:r>
            <w:r>
              <w:rPr>
                <w:rFonts w:hint="eastAsia" w:ascii="宋体" w:hAnsi="宋体" w:eastAsia="宋体" w:cs="宋体"/>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储油间</w:t>
            </w:r>
            <w:r>
              <w:rPr>
                <w:rFonts w:hint="eastAsia" w:ascii="宋体" w:hAnsi="宋体" w:eastAsia="宋体" w:cs="宋体"/>
                <w:i w:val="0"/>
                <w:color w:val="auto"/>
                <w:kern w:val="0"/>
                <w:sz w:val="21"/>
                <w:szCs w:val="21"/>
                <w:u w:val="none"/>
                <w:lang w:val="en-US" w:eastAsia="zh-CN" w:bidi="ar"/>
              </w:rPr>
              <w:t>、</w:t>
            </w:r>
            <w:r>
              <w:rPr>
                <w:rFonts w:hint="eastAsia" w:ascii="宋体" w:hAnsi="宋体" w:cs="宋体"/>
                <w:i w:val="0"/>
                <w:color w:val="auto"/>
                <w:kern w:val="0"/>
                <w:sz w:val="21"/>
                <w:szCs w:val="21"/>
                <w:u w:val="none"/>
                <w:lang w:val="en-US" w:eastAsia="zh-CN" w:bidi="ar"/>
              </w:rPr>
              <w:t>医疗废物</w:t>
            </w:r>
            <w:r>
              <w:rPr>
                <w:rFonts w:hint="eastAsia" w:ascii="宋体" w:hAnsi="宋体" w:eastAsia="宋体" w:cs="宋体"/>
                <w:i w:val="0"/>
                <w:color w:val="auto"/>
                <w:kern w:val="0"/>
                <w:sz w:val="21"/>
                <w:szCs w:val="21"/>
                <w:u w:val="none"/>
                <w:lang w:val="en-US" w:eastAsia="zh-CN" w:bidi="ar"/>
              </w:rPr>
              <w:t>临时贮存间、</w:t>
            </w:r>
            <w:r>
              <w:rPr>
                <w:rFonts w:hint="eastAsia" w:ascii="Times New Roman" w:hAnsi="Times New Roman" w:eastAsia="宋体" w:cs="Times New Roman"/>
                <w:i w:val="0"/>
                <w:color w:val="auto"/>
                <w:kern w:val="0"/>
                <w:sz w:val="21"/>
                <w:szCs w:val="21"/>
                <w:highlight w:val="none"/>
                <w:u w:val="none"/>
                <w:lang w:val="en-US" w:eastAsia="zh-CN" w:bidi="ar"/>
              </w:rPr>
              <w:t>危废暂存间、</w:t>
            </w:r>
            <w:r>
              <w:rPr>
                <w:rFonts w:hint="eastAsia" w:ascii="宋体" w:hAnsi="宋体" w:eastAsia="宋体" w:cs="宋体"/>
                <w:i w:val="0"/>
                <w:color w:val="auto"/>
                <w:kern w:val="0"/>
                <w:sz w:val="21"/>
                <w:szCs w:val="21"/>
                <w:u w:val="none"/>
                <w:lang w:val="en-US" w:eastAsia="zh-CN" w:bidi="ar"/>
              </w:rPr>
              <w:t>污水处理站</w:t>
            </w:r>
            <w:r>
              <w:rPr>
                <w:rFonts w:hint="eastAsia" w:ascii="宋体" w:hAnsi="宋体" w:cs="宋体"/>
                <w:i w:val="0"/>
                <w:color w:val="auto"/>
                <w:kern w:val="0"/>
                <w:sz w:val="21"/>
                <w:szCs w:val="21"/>
                <w:u w:val="none"/>
                <w:lang w:val="en-US" w:eastAsia="zh-CN" w:bidi="ar"/>
              </w:rPr>
              <w:t>、化学品库等区域</w:t>
            </w:r>
            <w:r>
              <w:rPr>
                <w:rFonts w:hint="eastAsia" w:ascii="宋体" w:hAnsi="宋体" w:eastAsia="宋体" w:cs="宋体"/>
                <w:i w:val="0"/>
                <w:color w:val="auto"/>
                <w:kern w:val="0"/>
                <w:sz w:val="21"/>
                <w:szCs w:val="21"/>
                <w:u w:val="none"/>
                <w:lang w:val="en-US" w:eastAsia="zh-CN" w:bidi="ar"/>
              </w:rPr>
              <w:t>做重点防渗处理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Fonts w:hint="eastAsia" w:ascii="宋体" w:hAnsi="宋体" w:eastAsia="宋体" w:cs="宋体"/>
                <w:i w:val="0"/>
                <w:color w:val="auto"/>
                <w:kern w:val="0"/>
                <w:sz w:val="21"/>
                <w:szCs w:val="21"/>
                <w:u w:val="none"/>
                <w:lang w:val="en-US" w:eastAsia="zh-CN" w:bidi="ar"/>
              </w:rPr>
              <w:t>危险废物</w:t>
            </w:r>
            <w:r>
              <w:rPr>
                <w:rFonts w:hint="default" w:ascii="Times New Roman" w:hAnsi="Times New Roman" w:eastAsia="宋体" w:cs="Times New Roman"/>
                <w:i w:val="0"/>
                <w:color w:val="auto"/>
                <w:kern w:val="0"/>
                <w:sz w:val="21"/>
                <w:szCs w:val="21"/>
                <w:u w:val="none"/>
                <w:lang w:val="en-US" w:eastAsia="zh-CN" w:bidi="ar"/>
              </w:rPr>
              <w:t>规范的收集、贮存、处置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3、柴油发电机房设置消防器材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r>
              <w:rPr>
                <w:rFonts w:hint="eastAsia" w:ascii="Times New Roman" w:hAnsi="Times New Roman" w:eastAsia="宋体" w:cs="Times New Roman"/>
                <w:i w:val="0"/>
                <w:color w:val="auto"/>
                <w:kern w:val="0"/>
                <w:sz w:val="21"/>
                <w:szCs w:val="21"/>
                <w:u w:val="none"/>
                <w:lang w:val="en-US" w:eastAsia="zh-CN" w:bidi="ar"/>
              </w:rPr>
              <w:t>制定完善的管理制度，规范人员操作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5、对管道、阀门、设备等定期维护保养，并加强检查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7" w:hRule="atLeast"/>
        </w:trPr>
        <w:tc>
          <w:tcPr>
            <w:tcW w:w="1125"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snapToGrid/>
              <w:spacing w:line="240" w:lineRule="auto"/>
              <w:ind w:firstLine="0" w:firstLineChars="0"/>
              <w:jc w:val="center"/>
              <w:outlineLvl w:val="9"/>
              <w:rPr>
                <w:rFonts w:hint="default" w:ascii="Times New Roman" w:hAnsi="Times New Roman" w:eastAsia="宋体" w:cs="Times New Roman"/>
                <w:i w:val="0"/>
                <w:color w:val="auto"/>
                <w:sz w:val="21"/>
                <w:szCs w:val="21"/>
                <w:u w:val="none"/>
              </w:rPr>
            </w:pPr>
          </w:p>
        </w:tc>
        <w:tc>
          <w:tcPr>
            <w:tcW w:w="38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bidi w:val="0"/>
              <w:snapToGrid/>
              <w:spacing w:line="240" w:lineRule="auto"/>
              <w:ind w:firstLine="0" w:firstLineChars="0"/>
              <w:jc w:val="left"/>
              <w:textAlignment w:val="center"/>
              <w:outlineLvl w:val="9"/>
              <w:rPr>
                <w:rFonts w:hint="default" w:ascii="Times New Roman" w:hAnsi="Times New Roman" w:eastAsia="宋体" w:cs="Times New Roman"/>
                <w:i w:val="0"/>
                <w:color w:val="auto"/>
                <w:sz w:val="21"/>
                <w:szCs w:val="21"/>
                <w:u w:val="none"/>
              </w:rPr>
            </w:pPr>
            <w:r>
              <w:rPr>
                <w:rFonts w:hint="eastAsia" w:cs="Times New Roman"/>
                <w:i w:val="0"/>
                <w:color w:val="auto"/>
                <w:kern w:val="0"/>
                <w:sz w:val="21"/>
                <w:szCs w:val="21"/>
                <w:u w:val="none"/>
                <w:lang w:val="en-US" w:eastAsia="zh-CN" w:bidi="ar"/>
              </w:rPr>
              <w:t>6</w:t>
            </w:r>
            <w:r>
              <w:rPr>
                <w:rFonts w:hint="default" w:ascii="Times New Roman" w:hAnsi="Times New Roman" w:eastAsia="宋体" w:cs="Times New Roman"/>
                <w:i w:val="0"/>
                <w:color w:val="auto"/>
                <w:kern w:val="0"/>
                <w:sz w:val="21"/>
                <w:szCs w:val="21"/>
                <w:u w:val="none"/>
                <w:lang w:val="en-US" w:eastAsia="zh-CN" w:bidi="ar"/>
              </w:rPr>
              <w:t>、完善应急处理措施等等</w:t>
            </w:r>
          </w:p>
        </w:tc>
      </w:tr>
    </w:tbl>
    <w:p>
      <w:pPr>
        <w:tabs>
          <w:tab w:val="left" w:pos="20520"/>
        </w:tabs>
        <w:snapToGrid w:val="0"/>
        <w:spacing w:line="470" w:lineRule="exact"/>
        <w:ind w:firstLine="480"/>
        <w:rPr>
          <w:rFonts w:hint="eastAsia"/>
          <w:bCs/>
          <w:color w:val="auto"/>
        </w:rPr>
      </w:pPr>
    </w:p>
    <w:p>
      <w:pPr>
        <w:tabs>
          <w:tab w:val="left" w:pos="20520"/>
        </w:tabs>
        <w:snapToGrid w:val="0"/>
        <w:spacing w:line="470" w:lineRule="exact"/>
        <w:ind w:firstLine="480"/>
        <w:rPr>
          <w:rFonts w:hint="eastAsia"/>
          <w:bCs/>
          <w:color w:val="auto"/>
        </w:rPr>
      </w:pPr>
    </w:p>
    <w:p>
      <w:pPr>
        <w:tabs>
          <w:tab w:val="left" w:pos="20520"/>
        </w:tabs>
        <w:snapToGrid w:val="0"/>
        <w:spacing w:line="470" w:lineRule="exact"/>
        <w:ind w:firstLine="0" w:firstLineChars="0"/>
        <w:rPr>
          <w:rFonts w:hint="eastAsia"/>
          <w:bCs/>
          <w:color w:val="auto"/>
        </w:rPr>
      </w:pPr>
    </w:p>
    <w:p>
      <w:pPr>
        <w:pStyle w:val="3"/>
        <w:keepNext/>
        <w:keepLines/>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color w:val="auto"/>
        </w:rPr>
      </w:pPr>
      <w:r>
        <w:rPr>
          <w:rFonts w:hint="eastAsia"/>
          <w:color w:val="auto"/>
        </w:rPr>
        <w:br w:type="page"/>
      </w:r>
      <w:bookmarkStart w:id="107" w:name="_Toc19708"/>
      <w:r>
        <w:rPr>
          <w:rFonts w:hint="eastAsia"/>
          <w:color w:val="auto"/>
          <w:lang w:val="en-US" w:eastAsia="zh-CN"/>
        </w:rPr>
        <w:t>8</w:t>
      </w:r>
      <w:r>
        <w:rPr>
          <w:rFonts w:hint="eastAsia"/>
          <w:color w:val="auto"/>
        </w:rPr>
        <w:t>环境经济损益分析</w:t>
      </w:r>
      <w:bookmarkEnd w:id="107"/>
    </w:p>
    <w:p>
      <w:pPr>
        <w:pStyle w:val="4"/>
        <w:keepNext/>
        <w:keepLines/>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color w:val="auto"/>
        </w:rPr>
      </w:pPr>
      <w:bookmarkStart w:id="108" w:name="_Toc5573"/>
      <w:r>
        <w:rPr>
          <w:rFonts w:hint="eastAsia"/>
          <w:color w:val="auto"/>
          <w:lang w:val="en-US" w:eastAsia="zh-CN"/>
        </w:rPr>
        <w:t>8.1</w:t>
      </w:r>
      <w:r>
        <w:rPr>
          <w:rFonts w:hint="eastAsia"/>
          <w:color w:val="auto"/>
        </w:rPr>
        <w:t>社会效益分析</w:t>
      </w:r>
      <w:bookmarkEnd w:id="108"/>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ascii="宋体" w:hAnsi="宋体" w:eastAsia="宋体" w:cs="宋体"/>
          <w:color w:val="auto"/>
          <w:kern w:val="0"/>
          <w:sz w:val="24"/>
          <w:szCs w:val="24"/>
          <w:lang w:val="en-US" w:eastAsia="zh-CN" w:bidi="ar"/>
        </w:rPr>
        <w:t>本项目是社会福利事业项目，是为社会生产和公共生活服务的，是以创造社会效益为主的、非生产性建设项目。本项目的建设符合国家</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预防为主，防治结合，重点干预，广泛覆盖，依法管理</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的有关精神，项目的实施能</w:t>
      </w:r>
      <w:r>
        <w:rPr>
          <w:rFonts w:hint="eastAsia" w:ascii="宋体" w:hAnsi="宋体" w:cs="宋体"/>
          <w:color w:val="auto"/>
          <w:kern w:val="0"/>
          <w:sz w:val="24"/>
          <w:szCs w:val="24"/>
          <w:lang w:val="en-US" w:eastAsia="zh-CN" w:bidi="ar"/>
        </w:rPr>
        <w:t>进一步</w:t>
      </w:r>
      <w:r>
        <w:rPr>
          <w:rFonts w:hint="eastAsia" w:ascii="宋体" w:hAnsi="宋体" w:eastAsia="宋体" w:cs="宋体"/>
          <w:color w:val="auto"/>
          <w:kern w:val="0"/>
          <w:sz w:val="24"/>
          <w:szCs w:val="24"/>
          <w:lang w:val="en-US" w:eastAsia="zh-CN" w:bidi="ar"/>
        </w:rPr>
        <w:t>满足阜阳市人民群众</w:t>
      </w:r>
      <w:r>
        <w:rPr>
          <w:rFonts w:hint="eastAsia" w:ascii="宋体" w:hAnsi="宋体" w:cs="宋体"/>
          <w:color w:val="auto"/>
          <w:kern w:val="0"/>
          <w:sz w:val="24"/>
          <w:szCs w:val="24"/>
          <w:lang w:val="en-US" w:eastAsia="zh-CN" w:bidi="ar"/>
        </w:rPr>
        <w:t>医疗</w:t>
      </w:r>
      <w:r>
        <w:rPr>
          <w:rFonts w:hint="eastAsia" w:ascii="宋体" w:hAnsi="宋体" w:eastAsia="宋体" w:cs="宋体"/>
          <w:color w:val="auto"/>
          <w:kern w:val="0"/>
          <w:sz w:val="24"/>
          <w:szCs w:val="24"/>
          <w:lang w:val="en-US" w:eastAsia="zh-CN" w:bidi="ar"/>
        </w:rPr>
        <w:t>卫生服务需求，适应国民经济和社会发展的需要。</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ascii="宋体" w:hAnsi="宋体" w:eastAsia="宋体" w:cs="宋体"/>
          <w:color w:val="auto"/>
          <w:kern w:val="0"/>
          <w:sz w:val="24"/>
          <w:szCs w:val="24"/>
          <w:lang w:val="en-US" w:eastAsia="zh-CN" w:bidi="ar"/>
        </w:rPr>
        <w:t>本项目建设完成后，将</w:t>
      </w:r>
      <w:r>
        <w:rPr>
          <w:rFonts w:hint="eastAsia" w:ascii="宋体" w:hAnsi="宋体" w:cs="宋体"/>
          <w:color w:val="auto"/>
          <w:kern w:val="0"/>
          <w:sz w:val="24"/>
          <w:szCs w:val="24"/>
          <w:lang w:val="en-US" w:eastAsia="zh-CN" w:bidi="ar"/>
        </w:rPr>
        <w:t>推进</w:t>
      </w:r>
      <w:r>
        <w:rPr>
          <w:rFonts w:hint="eastAsia" w:ascii="宋体" w:hAnsi="宋体" w:eastAsia="宋体" w:cs="宋体"/>
          <w:color w:val="auto"/>
          <w:kern w:val="0"/>
          <w:sz w:val="24"/>
          <w:szCs w:val="24"/>
          <w:lang w:val="en-US" w:eastAsia="zh-CN" w:bidi="ar"/>
        </w:rPr>
        <w:t>医院整体综合能力的提升。</w:t>
      </w:r>
      <w:r>
        <w:rPr>
          <w:rFonts w:hint="eastAsia" w:ascii="宋体" w:hAnsi="宋体" w:cs="宋体"/>
          <w:color w:val="auto"/>
          <w:kern w:val="0"/>
          <w:sz w:val="24"/>
          <w:szCs w:val="24"/>
          <w:lang w:val="en-US" w:eastAsia="zh-CN" w:bidi="ar"/>
        </w:rPr>
        <w:t>同时，</w:t>
      </w:r>
      <w:r>
        <w:rPr>
          <w:rFonts w:hint="eastAsia" w:ascii="宋体" w:hAnsi="宋体" w:eastAsia="宋体" w:cs="宋体"/>
          <w:color w:val="auto"/>
          <w:kern w:val="0"/>
          <w:sz w:val="24"/>
          <w:szCs w:val="24"/>
          <w:lang w:val="en-US" w:eastAsia="zh-CN" w:bidi="ar"/>
        </w:rPr>
        <w:t>医院加强医疗基础设施建设，引进新设备，扩大医疗队伍，</w:t>
      </w:r>
      <w:r>
        <w:rPr>
          <w:rFonts w:hint="eastAsia" w:ascii="宋体" w:hAnsi="宋体" w:cs="宋体"/>
          <w:color w:val="auto"/>
          <w:kern w:val="0"/>
          <w:sz w:val="24"/>
          <w:szCs w:val="24"/>
          <w:lang w:val="en-US" w:eastAsia="zh-CN" w:bidi="ar"/>
        </w:rPr>
        <w:t>可</w:t>
      </w:r>
      <w:r>
        <w:rPr>
          <w:rFonts w:hint="eastAsia" w:ascii="宋体" w:hAnsi="宋体" w:eastAsia="宋体" w:cs="宋体"/>
          <w:color w:val="auto"/>
          <w:kern w:val="0"/>
          <w:sz w:val="24"/>
          <w:szCs w:val="24"/>
          <w:lang w:val="en-US" w:eastAsia="zh-CN" w:bidi="ar"/>
        </w:rPr>
        <w:t>改善群众就医环境</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使本地区的</w:t>
      </w:r>
      <w:r>
        <w:rPr>
          <w:rFonts w:hint="eastAsia" w:ascii="宋体" w:hAnsi="宋体" w:cs="宋体"/>
          <w:color w:val="auto"/>
          <w:kern w:val="0"/>
          <w:sz w:val="24"/>
          <w:szCs w:val="24"/>
          <w:lang w:val="en-US" w:eastAsia="zh-CN" w:bidi="ar"/>
        </w:rPr>
        <w:t>医疗</w:t>
      </w:r>
      <w:r>
        <w:rPr>
          <w:rFonts w:hint="eastAsia" w:ascii="宋体" w:hAnsi="宋体" w:eastAsia="宋体" w:cs="宋体"/>
          <w:color w:val="auto"/>
          <w:kern w:val="0"/>
          <w:sz w:val="24"/>
          <w:szCs w:val="24"/>
          <w:lang w:val="en-US" w:eastAsia="zh-CN" w:bidi="ar"/>
        </w:rPr>
        <w:t>卫生事业整体布局发展</w:t>
      </w:r>
      <w:r>
        <w:rPr>
          <w:rFonts w:hint="eastAsia" w:ascii="宋体" w:hAnsi="宋体" w:cs="宋体"/>
          <w:color w:val="auto"/>
          <w:kern w:val="0"/>
          <w:sz w:val="24"/>
          <w:szCs w:val="24"/>
          <w:lang w:val="en-US" w:eastAsia="zh-CN" w:bidi="ar"/>
        </w:rPr>
        <w:t>更加</w:t>
      </w:r>
      <w:r>
        <w:rPr>
          <w:rFonts w:hint="eastAsia" w:ascii="宋体" w:hAnsi="宋体" w:eastAsia="宋体" w:cs="宋体"/>
          <w:color w:val="auto"/>
          <w:kern w:val="0"/>
          <w:sz w:val="24"/>
          <w:szCs w:val="24"/>
          <w:lang w:val="en-US" w:eastAsia="zh-CN" w:bidi="ar"/>
        </w:rPr>
        <w:t>合理</w:t>
      </w:r>
      <w:r>
        <w:rPr>
          <w:rFonts w:hint="eastAsia" w:ascii="宋体" w:hAnsi="宋体" w:cs="宋体"/>
          <w:color w:val="auto"/>
          <w:kern w:val="0"/>
          <w:sz w:val="24"/>
          <w:szCs w:val="24"/>
          <w:lang w:val="en-US" w:eastAsia="zh-CN" w:bidi="ar"/>
        </w:rPr>
        <w:t>。本项目感染楼的建设</w:t>
      </w:r>
      <w:r>
        <w:rPr>
          <w:rFonts w:hint="eastAsia" w:ascii="宋体" w:hAnsi="宋体" w:eastAsia="宋体" w:cs="宋体"/>
          <w:color w:val="auto"/>
          <w:kern w:val="0"/>
          <w:sz w:val="24"/>
          <w:szCs w:val="24"/>
          <w:lang w:val="en-US" w:eastAsia="zh-CN" w:bidi="ar"/>
        </w:rPr>
        <w:t>提升</w:t>
      </w:r>
      <w:r>
        <w:rPr>
          <w:rFonts w:hint="eastAsia" w:ascii="宋体" w:hAnsi="宋体" w:cs="宋体"/>
          <w:color w:val="auto"/>
          <w:kern w:val="0"/>
          <w:sz w:val="24"/>
          <w:szCs w:val="24"/>
          <w:lang w:val="en-US" w:eastAsia="zh-CN" w:bidi="ar"/>
        </w:rPr>
        <w:t>了区域</w:t>
      </w:r>
      <w:r>
        <w:rPr>
          <w:rFonts w:hint="eastAsia" w:ascii="宋体" w:hAnsi="宋体" w:eastAsia="宋体" w:cs="宋体"/>
          <w:color w:val="auto"/>
          <w:kern w:val="0"/>
          <w:sz w:val="24"/>
          <w:szCs w:val="24"/>
          <w:lang w:val="en-US" w:eastAsia="zh-CN" w:bidi="ar"/>
        </w:rPr>
        <w:t>突发急性传染病防治服务功能，优化</w:t>
      </w:r>
      <w:r>
        <w:rPr>
          <w:rFonts w:hint="eastAsia" w:ascii="宋体" w:hAnsi="宋体" w:cs="宋体"/>
          <w:color w:val="auto"/>
          <w:kern w:val="0"/>
          <w:sz w:val="24"/>
          <w:szCs w:val="24"/>
          <w:lang w:val="en-US" w:eastAsia="zh-CN" w:bidi="ar"/>
        </w:rPr>
        <w:t>了</w:t>
      </w:r>
      <w:r>
        <w:rPr>
          <w:rFonts w:hint="eastAsia" w:ascii="宋体" w:hAnsi="宋体" w:eastAsia="宋体" w:cs="宋体"/>
          <w:color w:val="auto"/>
          <w:kern w:val="0"/>
          <w:sz w:val="24"/>
          <w:szCs w:val="24"/>
          <w:lang w:val="en-US" w:eastAsia="zh-CN" w:bidi="ar"/>
        </w:rPr>
        <w:t>社会资源，改善</w:t>
      </w:r>
      <w:r>
        <w:rPr>
          <w:rFonts w:hint="eastAsia" w:ascii="宋体" w:hAnsi="宋体" w:cs="宋体"/>
          <w:color w:val="auto"/>
          <w:kern w:val="0"/>
          <w:sz w:val="24"/>
          <w:szCs w:val="24"/>
          <w:lang w:val="en-US" w:eastAsia="zh-CN" w:bidi="ar"/>
        </w:rPr>
        <w:t>了传染病</w:t>
      </w:r>
      <w:r>
        <w:rPr>
          <w:rFonts w:hint="eastAsia" w:ascii="宋体" w:hAnsi="宋体" w:eastAsia="宋体" w:cs="宋体"/>
          <w:color w:val="auto"/>
          <w:kern w:val="0"/>
          <w:sz w:val="24"/>
          <w:szCs w:val="24"/>
          <w:lang w:val="en-US" w:eastAsia="zh-CN" w:bidi="ar"/>
        </w:rPr>
        <w:t>患者收治环境，将进一步提高阜阳地区综合医疗服务能力。</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ascii="宋体" w:hAnsi="宋体" w:eastAsia="宋体" w:cs="宋体"/>
          <w:color w:val="auto"/>
          <w:kern w:val="0"/>
          <w:sz w:val="24"/>
          <w:szCs w:val="24"/>
          <w:lang w:val="en-US" w:eastAsia="zh-CN" w:bidi="ar"/>
        </w:rPr>
        <w:t>本项目的建设，高度重视防疫工作，</w:t>
      </w:r>
      <w:r>
        <w:rPr>
          <w:rFonts w:hint="eastAsia" w:ascii="宋体" w:hAnsi="宋体" w:cs="宋体"/>
          <w:color w:val="auto"/>
          <w:kern w:val="0"/>
          <w:sz w:val="24"/>
          <w:szCs w:val="24"/>
          <w:lang w:val="en-US" w:eastAsia="zh-CN" w:bidi="ar"/>
        </w:rPr>
        <w:t>响</w:t>
      </w:r>
      <w:r>
        <w:rPr>
          <w:rFonts w:hint="eastAsia" w:ascii="宋体" w:hAnsi="宋体" w:eastAsia="宋体" w:cs="宋体"/>
          <w:color w:val="auto"/>
          <w:kern w:val="0"/>
          <w:sz w:val="24"/>
          <w:szCs w:val="24"/>
          <w:lang w:val="en-US" w:eastAsia="zh-CN" w:bidi="ar"/>
        </w:rPr>
        <w:t>应党中央号召，发展医疗资源储备，适应城市建设。</w:t>
      </w:r>
      <w:r>
        <w:rPr>
          <w:rFonts w:hint="eastAsia" w:ascii="宋体" w:hAnsi="宋体" w:cs="宋体"/>
          <w:color w:val="auto"/>
          <w:kern w:val="0"/>
          <w:sz w:val="24"/>
          <w:szCs w:val="24"/>
          <w:lang w:val="en-US" w:eastAsia="zh-CN" w:bidi="ar"/>
        </w:rPr>
        <w:t>安徽省立医院（中国科大附一院）滨湖院区项目</w:t>
      </w:r>
      <w:r>
        <w:rPr>
          <w:rFonts w:hint="eastAsia" w:ascii="宋体" w:hAnsi="宋体" w:eastAsia="宋体" w:cs="宋体"/>
          <w:color w:val="auto"/>
          <w:kern w:val="0"/>
          <w:sz w:val="24"/>
          <w:szCs w:val="24"/>
          <w:lang w:val="en-US" w:eastAsia="zh-CN" w:bidi="ar"/>
        </w:rPr>
        <w:t>建设是为了响应党中央号召并缓解阜阳市本次疫情形势，同时也为今后医院发展继续提高医疗资源、储备，使整体布局及社会服务更全面、更趋合理。在服务功能上得到提升，优化社会资源，弥补医院未来传染隔离观察床位不足的情况，将进一步满足阜阳市及皖北地区广大人民群众的社会需求，直接受惠于老百姓，为患者感染上传染性疾病后提供良好的医疗条件。</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ascii="宋体" w:hAnsi="宋体" w:eastAsia="宋体" w:cs="宋体"/>
          <w:color w:val="auto"/>
          <w:kern w:val="0"/>
          <w:sz w:val="24"/>
          <w:szCs w:val="24"/>
          <w:lang w:val="en-US" w:eastAsia="zh-CN" w:bidi="ar"/>
        </w:rPr>
        <w:t>本项目的建设，将创造更多社会就业与再就业的机会。随着阜阳市经济社会的不断发展，人民就医的环境需求也日益增加。该项目的实施有力地拉动建筑业、建材业、交通运输业等相关产业的发展，为调整产业结构、解决社会就业与再就业做出积极的贡献，降低以此引发的社会矛盾，是促进区域经济社会和谐发展的重要措施，必将得到广大人民群众的支持和欢迎。</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ascii="宋体" w:hAnsi="宋体" w:eastAsia="宋体" w:cs="宋体"/>
          <w:color w:val="auto"/>
          <w:kern w:val="0"/>
          <w:sz w:val="24"/>
          <w:szCs w:val="24"/>
          <w:lang w:val="en-US" w:eastAsia="zh-CN" w:bidi="ar"/>
        </w:rPr>
        <w:t>综合分析，本项目建设完成后，将有效提高危害人民健康和重大传染病的预防控制能力，并使传染病患者得到及时、良好的治疗，完善了</w:t>
      </w:r>
      <w:r>
        <w:rPr>
          <w:rFonts w:hint="eastAsia" w:ascii="宋体" w:hAnsi="宋体" w:cs="宋体"/>
          <w:color w:val="auto"/>
          <w:kern w:val="0"/>
          <w:sz w:val="24"/>
          <w:szCs w:val="24"/>
          <w:lang w:val="en-US" w:eastAsia="zh-CN" w:bidi="ar"/>
        </w:rPr>
        <w:t>阜阳市医疗</w:t>
      </w:r>
      <w:r>
        <w:rPr>
          <w:rFonts w:hint="eastAsia" w:ascii="宋体" w:hAnsi="宋体" w:eastAsia="宋体" w:cs="宋体"/>
          <w:color w:val="auto"/>
          <w:kern w:val="0"/>
          <w:sz w:val="24"/>
          <w:szCs w:val="24"/>
          <w:lang w:val="en-US" w:eastAsia="zh-CN" w:bidi="ar"/>
        </w:rPr>
        <w:t>卫生服务体系。</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4"/>
          <w:szCs w:val="24"/>
          <w:highlight w:val="yellow"/>
        </w:rPr>
      </w:pPr>
      <w:r>
        <w:rPr>
          <w:rFonts w:hint="eastAsia" w:ascii="宋体" w:hAnsi="宋体" w:eastAsia="宋体" w:cs="宋体"/>
          <w:color w:val="auto"/>
          <w:kern w:val="0"/>
          <w:sz w:val="24"/>
          <w:szCs w:val="24"/>
          <w:lang w:val="en-US" w:eastAsia="zh-CN" w:bidi="ar"/>
        </w:rPr>
        <w:t>综上所述，本项目的建设，对于完善阜阳市乃至皖北地区突发急性传染病防治体系建设，提高突发急性传染病防治能力将起到积极有益的推动作用。</w:t>
      </w:r>
    </w:p>
    <w:p>
      <w:pPr>
        <w:pStyle w:val="4"/>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109" w:name="_Toc12223"/>
      <w:r>
        <w:rPr>
          <w:rFonts w:hint="eastAsia"/>
          <w:color w:val="auto"/>
          <w:lang w:val="en-US" w:eastAsia="zh-CN"/>
        </w:rPr>
        <w:t>8.2</w:t>
      </w:r>
      <w:r>
        <w:rPr>
          <w:rFonts w:hint="eastAsia"/>
          <w:color w:val="auto"/>
        </w:rPr>
        <w:t>经济效益分析</w:t>
      </w:r>
      <w:bookmarkEnd w:id="109"/>
    </w:p>
    <w:p>
      <w:pPr>
        <w:pageBreakBefore w:val="0"/>
        <w:widowControl w:val="0"/>
        <w:kinsoku/>
        <w:wordWrap/>
        <w:overflowPunct/>
        <w:topLinePunct w:val="0"/>
        <w:autoSpaceDE/>
        <w:autoSpaceDN/>
        <w:bidi w:val="0"/>
        <w:adjustRightInd/>
        <w:snapToGrid/>
        <w:spacing w:line="360" w:lineRule="auto"/>
        <w:ind w:firstLine="480"/>
        <w:textAlignment w:val="auto"/>
        <w:rPr>
          <w:rFonts w:hint="eastAsia"/>
          <w:bCs/>
          <w:color w:val="auto"/>
        </w:rPr>
      </w:pPr>
      <w:r>
        <w:rPr>
          <w:rFonts w:hint="eastAsia"/>
          <w:bCs/>
          <w:color w:val="auto"/>
        </w:rPr>
        <w:t>项目建成后</w:t>
      </w:r>
      <w:r>
        <w:rPr>
          <w:rFonts w:hint="eastAsia" w:ascii="宋体" w:hAnsi="宋体" w:cs="宋体"/>
          <w:bCs/>
          <w:color w:val="auto"/>
        </w:rPr>
        <w:t>，将带动区域周边第三产业的发展，拉动区域</w:t>
      </w:r>
      <w:r>
        <w:rPr>
          <w:rFonts w:hint="eastAsia"/>
          <w:bCs/>
          <w:color w:val="auto"/>
        </w:rPr>
        <w:t>GDP增长</w:t>
      </w:r>
      <w:r>
        <w:rPr>
          <w:rFonts w:hint="eastAsia" w:ascii="宋体" w:hAnsi="宋体" w:cs="宋体"/>
          <w:bCs/>
          <w:color w:val="auto"/>
        </w:rPr>
        <w:t>，增</w:t>
      </w:r>
      <w:r>
        <w:rPr>
          <w:rFonts w:hint="eastAsia"/>
          <w:bCs/>
          <w:color w:val="auto"/>
        </w:rPr>
        <w:t>加地方和国家财政收入</w:t>
      </w:r>
      <w:r>
        <w:rPr>
          <w:rFonts w:hint="eastAsia" w:ascii="宋体" w:hAnsi="宋体" w:cs="宋体"/>
          <w:bCs/>
          <w:color w:val="auto"/>
        </w:rPr>
        <w:t>，促进地方经济发展。</w:t>
      </w:r>
    </w:p>
    <w:p>
      <w:pPr>
        <w:pStyle w:val="4"/>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eastAsia"/>
          <w:color w:val="auto"/>
        </w:rPr>
      </w:pPr>
      <w:bookmarkStart w:id="110" w:name="_Toc3653"/>
      <w:bookmarkStart w:id="111" w:name="_Toc252874126"/>
      <w:r>
        <w:rPr>
          <w:rFonts w:hint="eastAsia"/>
          <w:color w:val="auto"/>
          <w:lang w:val="en-US" w:eastAsia="zh-CN"/>
        </w:rPr>
        <w:t>8.3</w:t>
      </w:r>
      <w:r>
        <w:rPr>
          <w:rFonts w:hint="eastAsia"/>
          <w:color w:val="auto"/>
        </w:rPr>
        <w:t>环境效益分析</w:t>
      </w:r>
      <w:bookmarkEnd w:id="110"/>
    </w:p>
    <w:bookmarkEnd w:id="111"/>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rPr>
      </w:pPr>
      <w:r>
        <w:rPr>
          <w:rFonts w:hint="eastAsia"/>
          <w:color w:val="auto"/>
          <w:sz w:val="24"/>
          <w:szCs w:val="24"/>
          <w:highlight w:val="none"/>
        </w:rPr>
        <w:t>本项目总投资</w:t>
      </w:r>
      <w:r>
        <w:rPr>
          <w:rFonts w:hint="eastAsia"/>
          <w:color w:val="auto"/>
          <w:sz w:val="24"/>
          <w:szCs w:val="24"/>
          <w:highlight w:val="none"/>
          <w:lang w:val="en-US" w:eastAsia="zh-CN"/>
        </w:rPr>
        <w:t>70</w:t>
      </w:r>
      <w:r>
        <w:rPr>
          <w:rFonts w:hint="eastAsia"/>
          <w:color w:val="auto"/>
          <w:sz w:val="24"/>
          <w:szCs w:val="24"/>
          <w:highlight w:val="none"/>
        </w:rPr>
        <w:t>000万元</w:t>
      </w:r>
      <w:r>
        <w:rPr>
          <w:rFonts w:hint="eastAsia"/>
          <w:color w:val="auto"/>
          <w:sz w:val="24"/>
          <w:szCs w:val="24"/>
          <w:highlight w:val="none"/>
          <w:lang w:eastAsia="zh-CN"/>
        </w:rPr>
        <w:t>，</w:t>
      </w:r>
      <w:r>
        <w:rPr>
          <w:rFonts w:hint="eastAsia" w:ascii="宋体" w:hAnsi="宋体" w:cs="宋体"/>
          <w:color w:val="auto"/>
          <w:sz w:val="24"/>
          <w:szCs w:val="24"/>
          <w:highlight w:val="none"/>
        </w:rPr>
        <w:t>其中环保投资</w:t>
      </w:r>
      <w:r>
        <w:rPr>
          <w:rFonts w:hint="eastAsia"/>
          <w:color w:val="auto"/>
          <w:sz w:val="24"/>
          <w:szCs w:val="24"/>
          <w:highlight w:val="none"/>
          <w:lang w:val="en-US" w:eastAsia="zh-CN"/>
        </w:rPr>
        <w:t>1673</w:t>
      </w:r>
      <w:r>
        <w:rPr>
          <w:rFonts w:hint="eastAsia"/>
          <w:color w:val="auto"/>
          <w:sz w:val="24"/>
          <w:szCs w:val="24"/>
          <w:highlight w:val="none"/>
        </w:rPr>
        <w:t>万元</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占总投资的</w:t>
      </w:r>
      <w:r>
        <w:rPr>
          <w:rFonts w:hint="eastAsia"/>
          <w:color w:val="auto"/>
          <w:sz w:val="24"/>
          <w:szCs w:val="24"/>
          <w:highlight w:val="none"/>
          <w:lang w:val="en-US" w:eastAsia="zh-CN"/>
        </w:rPr>
        <w:t>2.39</w:t>
      </w:r>
      <w:r>
        <w:rPr>
          <w:rFonts w:hint="eastAsia"/>
          <w:color w:val="auto"/>
          <w:sz w:val="24"/>
          <w:szCs w:val="24"/>
          <w:highlight w:val="none"/>
        </w:rPr>
        <w:t>%。项目建成后</w:t>
      </w:r>
      <w:r>
        <w:rPr>
          <w:rFonts w:hint="eastAsia" w:ascii="宋体" w:hAnsi="宋体" w:cs="宋体"/>
          <w:color w:val="auto"/>
          <w:sz w:val="24"/>
          <w:szCs w:val="24"/>
          <w:highlight w:val="none"/>
        </w:rPr>
        <w:t>，项目产生的危险废物由于实施</w:t>
      </w:r>
      <w:r>
        <w:rPr>
          <w:rFonts w:hint="eastAsia"/>
          <w:color w:val="auto"/>
          <w:sz w:val="24"/>
          <w:szCs w:val="24"/>
          <w:highlight w:val="none"/>
        </w:rPr>
        <w:t>各种严格的管理措施</w:t>
      </w:r>
      <w:r>
        <w:rPr>
          <w:rFonts w:hint="eastAsia" w:ascii="宋体" w:hAnsi="宋体" w:cs="宋体"/>
          <w:color w:val="auto"/>
          <w:sz w:val="24"/>
          <w:szCs w:val="24"/>
          <w:highlight w:val="none"/>
        </w:rPr>
        <w:t>，分别进行</w:t>
      </w:r>
      <w:r>
        <w:rPr>
          <w:rFonts w:hint="eastAsia"/>
          <w:color w:val="auto"/>
          <w:sz w:val="24"/>
          <w:szCs w:val="24"/>
          <w:highlight w:val="none"/>
        </w:rPr>
        <w:t>分类收集</w:t>
      </w:r>
      <w:r>
        <w:rPr>
          <w:rFonts w:hint="eastAsia" w:ascii="宋体" w:hAnsi="宋体" w:cs="宋体"/>
          <w:color w:val="auto"/>
          <w:sz w:val="24"/>
          <w:szCs w:val="24"/>
          <w:highlight w:val="none"/>
        </w:rPr>
        <w:t>，将危险废物</w:t>
      </w:r>
      <w:r>
        <w:rPr>
          <w:rFonts w:hint="eastAsia" w:ascii="宋体" w:hAnsi="宋体" w:cs="宋体"/>
          <w:color w:val="auto"/>
          <w:sz w:val="24"/>
          <w:szCs w:val="24"/>
          <w:highlight w:val="none"/>
          <w:lang w:eastAsia="zh-CN"/>
        </w:rPr>
        <w:t>、一般固废</w:t>
      </w:r>
      <w:r>
        <w:rPr>
          <w:rFonts w:hint="eastAsia" w:ascii="宋体" w:hAnsi="宋体" w:cs="宋体"/>
          <w:color w:val="auto"/>
          <w:sz w:val="24"/>
          <w:szCs w:val="24"/>
          <w:highlight w:val="none"/>
        </w:rPr>
        <w:t>与生活垃圾分类收集，生活垃圾由环卫部门定期统一清运</w:t>
      </w:r>
      <w:r>
        <w:rPr>
          <w:rFonts w:hint="eastAsia" w:ascii="宋体" w:hAnsi="宋体" w:cs="宋体"/>
          <w:color w:val="auto"/>
          <w:sz w:val="24"/>
          <w:szCs w:val="24"/>
          <w:highlight w:val="none"/>
          <w:lang w:eastAsia="zh-CN"/>
        </w:rPr>
        <w:t>；一般固废</w:t>
      </w:r>
      <w:r>
        <w:rPr>
          <w:rFonts w:hint="eastAsia"/>
          <w:color w:val="auto"/>
          <w:sz w:val="24"/>
          <w:lang w:val="en-US" w:eastAsia="zh-CN"/>
        </w:rPr>
        <w:t>废离子交换树脂、废空气过滤器每次更换后由设备厂商带走，</w:t>
      </w:r>
      <w:r>
        <w:rPr>
          <w:rFonts w:hint="eastAsia"/>
          <w:color w:val="auto"/>
          <w:lang w:val="en-US" w:eastAsia="zh-CN"/>
        </w:rPr>
        <w:t>未被污染的输液瓶（袋）委托</w:t>
      </w:r>
      <w:r>
        <w:rPr>
          <w:rFonts w:hint="eastAsia"/>
          <w:color w:val="auto"/>
          <w:sz w:val="24"/>
          <w:lang w:val="en-US" w:eastAsia="zh-CN"/>
        </w:rPr>
        <w:t>安其他单位回收处理</w:t>
      </w:r>
      <w:r>
        <w:rPr>
          <w:rFonts w:hint="eastAsia" w:cs="宋体"/>
          <w:color w:val="auto"/>
          <w:sz w:val="24"/>
          <w:lang w:val="en-US" w:eastAsia="zh-CN"/>
        </w:rPr>
        <w:t>；</w:t>
      </w:r>
      <w:r>
        <w:rPr>
          <w:rFonts w:hint="eastAsia" w:ascii="宋体" w:hAnsi="宋体" w:cs="宋体"/>
          <w:color w:val="auto"/>
          <w:sz w:val="24"/>
          <w:szCs w:val="24"/>
          <w:highlight w:val="none"/>
        </w:rPr>
        <w:t>危险废物按规定收集、贮存后由交由有资质的单位处</w:t>
      </w:r>
      <w:r>
        <w:rPr>
          <w:rFonts w:hint="eastAsia"/>
          <w:color w:val="auto"/>
          <w:sz w:val="24"/>
          <w:szCs w:val="24"/>
          <w:highlight w:val="none"/>
        </w:rPr>
        <w:t>理</w:t>
      </w:r>
      <w:r>
        <w:rPr>
          <w:rFonts w:hint="eastAsia" w:ascii="宋体" w:hAnsi="宋体" w:cs="宋体"/>
          <w:color w:val="auto"/>
          <w:sz w:val="24"/>
          <w:szCs w:val="24"/>
          <w:highlight w:val="none"/>
        </w:rPr>
        <w:t>，避免了二次污染、交叉感染，得到妥善处理。</w:t>
      </w:r>
    </w:p>
    <w:p>
      <w:pPr>
        <w:spacing w:line="360" w:lineRule="auto"/>
        <w:ind w:firstLine="480"/>
        <w:rPr>
          <w:rFonts w:hint="eastAsia"/>
          <w:color w:val="auto"/>
        </w:rPr>
      </w:pPr>
      <w:r>
        <w:rPr>
          <w:rFonts w:hint="eastAsia"/>
          <w:color w:val="auto"/>
        </w:rPr>
        <w:t>项目建成后通过</w:t>
      </w:r>
      <w:r>
        <w:rPr>
          <w:rFonts w:hint="eastAsia"/>
          <w:color w:val="auto"/>
          <w:lang w:val="en-US" w:eastAsia="zh-CN"/>
        </w:rPr>
        <w:t>预处理、</w:t>
      </w:r>
      <w:r>
        <w:rPr>
          <w:rFonts w:hint="eastAsia"/>
          <w:color w:val="auto"/>
        </w:rPr>
        <w:t>污水处理站</w:t>
      </w:r>
      <w:r>
        <w:rPr>
          <w:rFonts w:hint="eastAsia" w:ascii="宋体" w:hAnsi="宋体" w:cs="宋体"/>
          <w:color w:val="auto"/>
        </w:rPr>
        <w:t>，废水经分类处理达标后排放</w:t>
      </w:r>
      <w:r>
        <w:rPr>
          <w:rFonts w:hint="eastAsia" w:ascii="宋体" w:hAnsi="宋体" w:cs="宋体"/>
          <w:color w:val="auto"/>
          <w:lang w:eastAsia="zh-CN"/>
        </w:rPr>
        <w:t>至</w:t>
      </w:r>
      <w:r>
        <w:rPr>
          <w:rFonts w:hint="eastAsia"/>
          <w:color w:val="auto"/>
          <w:lang w:eastAsia="zh-CN"/>
        </w:rPr>
        <w:t>十五里河污水处理厂</w:t>
      </w:r>
      <w:r>
        <w:rPr>
          <w:rFonts w:hint="eastAsia"/>
          <w:color w:val="auto"/>
        </w:rPr>
        <w:t>，</w:t>
      </w:r>
      <w:r>
        <w:rPr>
          <w:rFonts w:hint="eastAsia"/>
          <w:color w:val="auto"/>
          <w:lang w:val="en-US" w:eastAsia="zh-CN"/>
        </w:rPr>
        <w:t>深度处理达标后排入十五里河，</w:t>
      </w:r>
      <w:r>
        <w:rPr>
          <w:rFonts w:hint="eastAsia" w:ascii="宋体" w:hAnsi="宋体" w:cs="宋体"/>
          <w:color w:val="auto"/>
        </w:rPr>
        <w:t>项</w:t>
      </w:r>
      <w:r>
        <w:rPr>
          <w:rFonts w:hint="eastAsia"/>
          <w:color w:val="auto"/>
        </w:rPr>
        <w:t>目产生的废水对地表水的影响将大大降低。</w:t>
      </w:r>
    </w:p>
    <w:p>
      <w:pPr>
        <w:spacing w:line="360" w:lineRule="auto"/>
        <w:ind w:firstLine="480"/>
        <w:rPr>
          <w:rFonts w:hint="eastAsia"/>
          <w:color w:val="auto"/>
        </w:rPr>
      </w:pPr>
      <w:r>
        <w:rPr>
          <w:rFonts w:hint="eastAsia"/>
          <w:color w:val="auto"/>
        </w:rPr>
        <w:t>随着项目的建成</w:t>
      </w:r>
      <w:r>
        <w:rPr>
          <w:rFonts w:hint="eastAsia" w:ascii="宋体" w:hAnsi="宋体" w:cs="宋体"/>
          <w:color w:val="auto"/>
        </w:rPr>
        <w:t>，各建筑掩映在</w:t>
      </w:r>
      <w:r>
        <w:rPr>
          <w:rFonts w:hint="eastAsia"/>
          <w:color w:val="auto"/>
        </w:rPr>
        <w:t>绿树、鲜花、芳草、绿地之中</w:t>
      </w:r>
      <w:r>
        <w:rPr>
          <w:rFonts w:hint="eastAsia" w:ascii="宋体" w:hAnsi="宋体" w:cs="宋体"/>
          <w:color w:val="auto"/>
        </w:rPr>
        <w:t>，形成安静优美的办公环境，并达到建筑与绿化的和谐</w:t>
      </w:r>
      <w:r>
        <w:rPr>
          <w:rFonts w:hint="eastAsia"/>
          <w:color w:val="auto"/>
        </w:rPr>
        <w:t>统一</w:t>
      </w:r>
      <w:r>
        <w:rPr>
          <w:rFonts w:hint="eastAsia" w:ascii="宋体" w:hAnsi="宋体" w:cs="宋体"/>
          <w:color w:val="auto"/>
        </w:rPr>
        <w:t>，大大的改善了城市景观，项目绿地稳定地发挥生态效益，改善了区域内的</w:t>
      </w:r>
      <w:r>
        <w:rPr>
          <w:rFonts w:hint="eastAsia"/>
          <w:color w:val="auto"/>
        </w:rPr>
        <w:t>绿化环境</w:t>
      </w:r>
      <w:r>
        <w:rPr>
          <w:color w:val="auto"/>
        </w:rPr>
        <w:t>。</w:t>
      </w:r>
    </w:p>
    <w:p>
      <w:pPr>
        <w:pStyle w:val="243"/>
        <w:adjustRightInd/>
        <w:snapToGrid/>
        <w:spacing w:line="360" w:lineRule="auto"/>
        <w:rPr>
          <w:rFonts w:hint="eastAsia"/>
          <w:color w:val="auto"/>
        </w:rPr>
      </w:pPr>
      <w:r>
        <w:rPr>
          <w:rFonts w:hint="eastAsia"/>
          <w:color w:val="auto"/>
          <w:lang w:val="en-US"/>
        </w:rPr>
        <w:t>综上所述</w:t>
      </w:r>
      <w:r>
        <w:rPr>
          <w:rFonts w:hint="eastAsia" w:ascii="宋体" w:hAnsi="宋体" w:cs="宋体"/>
          <w:color w:val="auto"/>
          <w:lang w:val="en-US"/>
        </w:rPr>
        <w:t>，项目具有良好的社会效益、经济效益和</w:t>
      </w:r>
      <w:r>
        <w:rPr>
          <w:rFonts w:hint="eastAsia"/>
          <w:color w:val="auto"/>
          <w:lang w:val="en-US"/>
        </w:rPr>
        <w:t>环境效益。项目营运过程中使用清洁能源</w:t>
      </w:r>
      <w:r>
        <w:rPr>
          <w:rFonts w:hint="eastAsia" w:ascii="宋体" w:hAnsi="宋体" w:cs="宋体"/>
          <w:color w:val="auto"/>
          <w:lang w:val="en-US"/>
        </w:rPr>
        <w:t>，通过采取相应积极有效的污染防治，可</w:t>
      </w:r>
      <w:r>
        <w:rPr>
          <w:rFonts w:hint="eastAsia"/>
          <w:color w:val="auto"/>
          <w:lang w:val="en-US"/>
        </w:rPr>
        <w:t>有效控制项目建设产生的环境影响</w:t>
      </w:r>
      <w:r>
        <w:rPr>
          <w:rFonts w:hint="eastAsia" w:ascii="宋体" w:hAnsi="宋体" w:cs="宋体"/>
          <w:color w:val="auto"/>
          <w:lang w:val="en-US"/>
        </w:rPr>
        <w:t>，项目建设将产生良好的社会效益、经济效益</w:t>
      </w:r>
      <w:r>
        <w:rPr>
          <w:rFonts w:hint="eastAsia"/>
          <w:color w:val="auto"/>
          <w:lang w:val="en-US"/>
        </w:rPr>
        <w:t>及环境效益。因此</w:t>
      </w:r>
      <w:r>
        <w:rPr>
          <w:rFonts w:hint="eastAsia" w:ascii="宋体" w:hAnsi="宋体" w:cs="宋体"/>
          <w:color w:val="auto"/>
          <w:lang w:val="en-US"/>
        </w:rPr>
        <w:t>从环保措施的经济损益效果来看，该项目是可行的</w:t>
      </w:r>
      <w:r>
        <w:rPr>
          <w:rFonts w:hint="eastAsia"/>
          <w:color w:val="auto"/>
        </w:rPr>
        <w:t>。</w:t>
      </w:r>
    </w:p>
    <w:p>
      <w:pPr>
        <w:pStyle w:val="3"/>
        <w:pageBreakBefore w:val="0"/>
        <w:widowControl w:val="0"/>
        <w:numPr>
          <w:ilvl w:val="0"/>
          <w:numId w:val="0"/>
        </w:numPr>
        <w:kinsoku/>
        <w:wordWrap/>
        <w:overflowPunct/>
        <w:topLinePunct w:val="0"/>
        <w:autoSpaceDE/>
        <w:autoSpaceDN/>
        <w:bidi w:val="0"/>
        <w:adjustRightInd/>
        <w:snapToGrid w:val="0"/>
        <w:spacing w:line="240" w:lineRule="auto"/>
        <w:ind w:leftChars="0"/>
        <w:jc w:val="center"/>
        <w:textAlignment w:val="auto"/>
        <w:rPr>
          <w:rFonts w:hint="eastAsia"/>
          <w:color w:val="auto"/>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pStyle w:val="3"/>
        <w:pageBreakBefore w:val="0"/>
        <w:widowControl w:val="0"/>
        <w:numPr>
          <w:ilvl w:val="0"/>
          <w:numId w:val="0"/>
        </w:numPr>
        <w:kinsoku/>
        <w:wordWrap/>
        <w:overflowPunct/>
        <w:topLinePunct w:val="0"/>
        <w:autoSpaceDE/>
        <w:autoSpaceDN/>
        <w:bidi w:val="0"/>
        <w:adjustRightInd/>
        <w:snapToGrid w:val="0"/>
        <w:spacing w:line="240" w:lineRule="auto"/>
        <w:ind w:leftChars="0"/>
        <w:jc w:val="center"/>
        <w:textAlignment w:val="auto"/>
        <w:rPr>
          <w:rFonts w:hint="eastAsia"/>
          <w:color w:val="auto"/>
        </w:rPr>
      </w:pPr>
      <w:bookmarkStart w:id="112" w:name="_Toc4355"/>
      <w:r>
        <w:rPr>
          <w:rFonts w:hint="eastAsia"/>
          <w:color w:val="auto"/>
          <w:lang w:val="en-US" w:eastAsia="zh-CN"/>
        </w:rPr>
        <w:t>9</w:t>
      </w:r>
      <w:r>
        <w:rPr>
          <w:rFonts w:hint="eastAsia"/>
          <w:color w:val="auto"/>
        </w:rPr>
        <w:t>环境管理与监测计划</w:t>
      </w:r>
      <w:bookmarkEnd w:id="112"/>
    </w:p>
    <w:p>
      <w:pPr>
        <w:pStyle w:val="19"/>
        <w:pageBreakBefore w:val="0"/>
        <w:widowControl w:val="0"/>
        <w:kinsoku/>
        <w:wordWrap/>
        <w:overflowPunct/>
        <w:topLinePunct w:val="0"/>
        <w:autoSpaceDE/>
        <w:autoSpaceDN/>
        <w:bidi w:val="0"/>
        <w:adjustRightInd/>
        <w:snapToGrid/>
        <w:spacing w:after="0" w:line="360" w:lineRule="auto"/>
        <w:ind w:left="0" w:leftChars="0" w:right="0" w:firstLine="480" w:firstLineChars="200"/>
        <w:jc w:val="both"/>
        <w:textAlignment w:val="auto"/>
        <w:rPr>
          <w:color w:val="auto"/>
          <w:spacing w:val="0"/>
        </w:rPr>
      </w:pPr>
      <w:r>
        <w:rPr>
          <w:color w:val="auto"/>
          <w:spacing w:val="0"/>
        </w:rPr>
        <w:t>环境管理和环境监测计划是环境影响评价中的一个重要部分，其目的是说明企业及时发现环保措施的运行效果和不足，进行必要的修正和改进，使环境影响控制在期望值内，是减缓项目建设期和营运期环境影响的有效手段之一。加强项目建设与运行期间的环境管理，制定和执行环境监测计划，是企业落实环保措施</w:t>
      </w:r>
      <w:r>
        <w:rPr>
          <w:color w:val="auto"/>
          <w:spacing w:val="0"/>
          <w:w w:val="100"/>
        </w:rPr>
        <w:t>的保证，也是企业更好地进行生产、并得以良性发展的重要基础。</w:t>
      </w:r>
    </w:p>
    <w:p>
      <w:pPr>
        <w:pStyle w:val="4"/>
        <w:pageBreakBefore w:val="0"/>
        <w:widowControl w:val="0"/>
        <w:numPr>
          <w:ilvl w:val="1"/>
          <w:numId w:val="0"/>
        </w:numPr>
        <w:kinsoku/>
        <w:wordWrap/>
        <w:overflowPunct/>
        <w:topLinePunct w:val="0"/>
        <w:autoSpaceDE/>
        <w:autoSpaceDN/>
        <w:bidi w:val="0"/>
        <w:adjustRightInd/>
        <w:snapToGrid/>
        <w:spacing w:before="0" w:after="0"/>
        <w:ind w:leftChars="0" w:right="0"/>
        <w:textAlignment w:val="auto"/>
        <w:rPr>
          <w:rFonts w:hint="eastAsia"/>
          <w:color w:val="auto"/>
          <w:lang w:val="en-US" w:eastAsia="zh-CN"/>
        </w:rPr>
      </w:pPr>
      <w:bookmarkStart w:id="113" w:name="_Toc711"/>
      <w:r>
        <w:rPr>
          <w:rFonts w:hint="eastAsia"/>
          <w:color w:val="auto"/>
          <w:lang w:val="en-US" w:eastAsia="zh-CN"/>
        </w:rPr>
        <w:t>9.1环境管理</w:t>
      </w:r>
      <w:bookmarkEnd w:id="113"/>
      <w:bookmarkStart w:id="114" w:name="_Toc239127679"/>
    </w:p>
    <w:p>
      <w:pPr>
        <w:pStyle w:val="5"/>
        <w:pageBreakBefore w:val="0"/>
        <w:widowControl w:val="0"/>
        <w:numPr>
          <w:ilvl w:val="2"/>
          <w:numId w:val="0"/>
        </w:numPr>
        <w:kinsoku/>
        <w:wordWrap/>
        <w:overflowPunct/>
        <w:topLinePunct w:val="0"/>
        <w:autoSpaceDE/>
        <w:autoSpaceDN/>
        <w:bidi w:val="0"/>
        <w:adjustRightInd/>
        <w:snapToGrid/>
        <w:spacing w:before="0" w:beforeLines="0"/>
        <w:ind w:right="0"/>
        <w:textAlignment w:val="auto"/>
        <w:rPr>
          <w:rFonts w:hint="eastAsia"/>
          <w:color w:val="auto"/>
        </w:rPr>
      </w:pPr>
      <w:r>
        <w:rPr>
          <w:rFonts w:hint="eastAsia"/>
          <w:color w:val="auto"/>
          <w:lang w:val="en-US" w:eastAsia="zh-CN"/>
        </w:rPr>
        <w:t>9.1.1</w:t>
      </w:r>
      <w:r>
        <w:rPr>
          <w:color w:val="auto"/>
        </w:rPr>
        <w:t>环境</w:t>
      </w:r>
      <w:bookmarkEnd w:id="114"/>
      <w:r>
        <w:rPr>
          <w:rFonts w:hint="eastAsia"/>
          <w:color w:val="auto"/>
        </w:rPr>
        <w:t>管理机构设置及主要职责</w:t>
      </w:r>
    </w:p>
    <w:p>
      <w:pPr>
        <w:pStyle w:val="19"/>
        <w:pageBreakBefore w:val="0"/>
        <w:widowControl w:val="0"/>
        <w:kinsoku/>
        <w:wordWrap/>
        <w:overflowPunct/>
        <w:topLinePunct w:val="0"/>
        <w:autoSpaceDE/>
        <w:autoSpaceDN/>
        <w:bidi w:val="0"/>
        <w:adjustRightInd/>
        <w:snapToGrid/>
        <w:spacing w:after="0" w:line="360" w:lineRule="auto"/>
        <w:ind w:left="0" w:leftChars="0" w:right="0" w:firstLine="480" w:firstLineChars="200"/>
        <w:jc w:val="both"/>
        <w:textAlignment w:val="auto"/>
        <w:rPr>
          <w:color w:val="auto"/>
          <w:spacing w:val="0"/>
          <w:w w:val="100"/>
        </w:rPr>
      </w:pPr>
      <w:r>
        <w:rPr>
          <w:color w:val="auto"/>
          <w:spacing w:val="0"/>
          <w:w w:val="100"/>
        </w:rPr>
        <w:t>建设单位应</w:t>
      </w:r>
      <w:r>
        <w:rPr>
          <w:rFonts w:hint="eastAsia"/>
          <w:color w:val="auto"/>
          <w:spacing w:val="0"/>
          <w:w w:val="100"/>
          <w:lang w:val="en-US" w:eastAsia="zh-CN"/>
        </w:rPr>
        <w:t>设立</w:t>
      </w:r>
      <w:r>
        <w:rPr>
          <w:color w:val="auto"/>
          <w:spacing w:val="0"/>
          <w:w w:val="100"/>
        </w:rPr>
        <w:t>环境管理机构，由医院分管环境保护的领导担任环境管理机构负责人，并设置专门人员承担全院的环境管理工作。环境管理机构应覆盖废气、废水、噪声、固体废物等各项污染治理和处置设施。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hAnsi="宋体"/>
          <w:b w:val="0"/>
          <w:bCs/>
          <w:color w:val="auto"/>
        </w:rPr>
      </w:pPr>
      <w:r>
        <w:rPr>
          <w:rFonts w:hint="eastAsia" w:hAnsi="宋体"/>
          <w:b w:val="0"/>
          <w:bCs/>
          <w:color w:val="auto"/>
        </w:rPr>
        <w:t>环境管理机构及人员主要职责如下：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宋体" w:hAnsi="宋体" w:cs="宋体"/>
          <w:color w:val="auto"/>
        </w:rPr>
      </w:pPr>
      <w:r>
        <w:rPr>
          <w:rFonts w:hint="eastAsia"/>
          <w:color w:val="auto"/>
        </w:rPr>
        <w:t>1</w:t>
      </w:r>
      <w:r>
        <w:rPr>
          <w:rFonts w:hint="eastAsia" w:ascii="宋体" w:hAnsi="宋体" w:cs="宋体"/>
          <w:color w:val="auto"/>
        </w:rPr>
        <w:t>、贯彻执行国家和地方相关的环境保护法律、法规、条例和标准。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宋体" w:hAnsi="宋体" w:cs="宋体"/>
          <w:color w:val="auto"/>
        </w:rPr>
      </w:pPr>
      <w:r>
        <w:rPr>
          <w:rFonts w:hint="eastAsia"/>
          <w:color w:val="auto"/>
        </w:rPr>
        <w:t>2</w:t>
      </w:r>
      <w:r>
        <w:rPr>
          <w:rFonts w:hint="eastAsia" w:ascii="宋体" w:hAnsi="宋体" w:cs="宋体"/>
          <w:color w:val="auto"/>
        </w:rPr>
        <w:t>、制定并组织实施企业环境保护计划，填报排污申报表和环境统计报表</w:t>
      </w:r>
      <w:r>
        <w:rPr>
          <w:rFonts w:hint="eastAsia"/>
          <w:color w:val="auto"/>
        </w:rPr>
        <w:t>等。3</w:t>
      </w:r>
      <w:r>
        <w:rPr>
          <w:rFonts w:hint="eastAsia" w:ascii="宋体" w:hAnsi="宋体" w:cs="宋体"/>
          <w:color w:val="auto"/>
        </w:rPr>
        <w:t>、监督和检查环保设施运行状况。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宋体" w:hAnsi="宋体" w:cs="宋体"/>
          <w:color w:val="auto"/>
        </w:rPr>
      </w:pPr>
      <w:r>
        <w:rPr>
          <w:rFonts w:hint="eastAsia"/>
          <w:color w:val="auto"/>
        </w:rPr>
        <w:t>4</w:t>
      </w:r>
      <w:r>
        <w:rPr>
          <w:rFonts w:hint="eastAsia" w:ascii="宋体" w:hAnsi="宋体" w:cs="宋体"/>
          <w:color w:val="auto"/>
        </w:rPr>
        <w:t>、负责编制环境风险应急预案，组织协调环境事故的处理。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color w:val="auto"/>
        </w:rPr>
      </w:pPr>
      <w:r>
        <w:rPr>
          <w:rFonts w:hint="eastAsia"/>
          <w:color w:val="auto"/>
        </w:rPr>
        <w:t>5</w:t>
      </w:r>
      <w:r>
        <w:rPr>
          <w:rFonts w:hint="eastAsia" w:ascii="宋体" w:hAnsi="宋体" w:cs="宋体"/>
          <w:color w:val="auto"/>
        </w:rPr>
        <w:t>、组织制定环境保护管理的规章制度和主要污染岗位的操作规范，并监</w:t>
      </w:r>
      <w:r>
        <w:rPr>
          <w:rFonts w:hint="eastAsia"/>
          <w:color w:val="auto"/>
        </w:rPr>
        <w:t>督执行。</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宋体" w:hAnsi="宋体" w:cs="宋体"/>
          <w:color w:val="auto"/>
        </w:rPr>
      </w:pPr>
      <w:r>
        <w:rPr>
          <w:rFonts w:hint="eastAsia"/>
          <w:color w:val="auto"/>
        </w:rPr>
        <w:t>6、</w:t>
      </w:r>
      <w:r>
        <w:rPr>
          <w:rFonts w:hint="eastAsia" w:ascii="宋体" w:hAnsi="宋体" w:cs="宋体"/>
          <w:color w:val="auto"/>
        </w:rPr>
        <w:t>对项目所有职工进行经常性的环境保护知识教育和宣传提高职工环保</w:t>
      </w:r>
      <w:r>
        <w:rPr>
          <w:rFonts w:hint="eastAsia"/>
          <w:color w:val="auto"/>
        </w:rPr>
        <w:t>意识</w:t>
      </w:r>
      <w:r>
        <w:rPr>
          <w:rFonts w:hint="eastAsia" w:ascii="宋体" w:hAnsi="宋体" w:cs="宋体"/>
          <w:color w:val="auto"/>
        </w:rPr>
        <w:t>，增加职工自觉履行保护环境的义务。</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宋体" w:hAnsi="宋体" w:cs="宋体"/>
          <w:color w:val="auto"/>
        </w:rPr>
      </w:pPr>
      <w:r>
        <w:rPr>
          <w:rFonts w:hint="eastAsia"/>
          <w:color w:val="auto"/>
        </w:rPr>
        <w:t>7、</w:t>
      </w:r>
      <w:r>
        <w:rPr>
          <w:rFonts w:hint="eastAsia" w:ascii="宋体" w:hAnsi="宋体" w:cs="宋体"/>
          <w:color w:val="auto"/>
        </w:rPr>
        <w:t>领导和组织本单位的环境监测工作。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8、推广应用环境保护的先进技术和经验。</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rPr>
        <w:t>9、除完成项目区内有关环境保护工作外，还应接受当地政府环保部门的检查监督</w:t>
      </w:r>
      <w:r>
        <w:rPr>
          <w:rFonts w:hint="default" w:ascii="Times New Roman" w:hAnsi="Times New Roman" w:cs="Times New Roman"/>
          <w:color w:val="auto"/>
          <w:sz w:val="24"/>
          <w:szCs w:val="24"/>
        </w:rPr>
        <w:t>，并按要求上报相应的环境管理工作执行情况。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宋体" w:hAnsi="宋体" w:eastAsia="宋体" w:cs="宋体"/>
          <w:color w:val="auto"/>
          <w:sz w:val="24"/>
          <w:szCs w:val="24"/>
          <w:lang w:val="en-US" w:eastAsia="zh-CN"/>
        </w:rPr>
      </w:pPr>
      <w:r>
        <w:rPr>
          <w:rFonts w:hint="default" w:ascii="Times New Roman" w:hAnsi="Times New Roman" w:cs="Times New Roman"/>
          <w:color w:val="auto"/>
          <w:sz w:val="24"/>
          <w:szCs w:val="24"/>
          <w:lang w:val="en-US" w:eastAsia="zh-CN"/>
        </w:rPr>
        <w:t>10、保管好企业各项环保相关资料，建立企业环保档案</w:t>
      </w:r>
      <w:r>
        <w:rPr>
          <w:rFonts w:hint="eastAsia" w:ascii="宋体" w:hAnsi="宋体" w:cs="宋体"/>
          <w:color w:val="auto"/>
          <w:sz w:val="24"/>
          <w:szCs w:val="24"/>
          <w:lang w:val="en-US" w:eastAsia="zh-CN"/>
        </w:rPr>
        <w:t>。</w:t>
      </w:r>
    </w:p>
    <w:p>
      <w:pPr>
        <w:pStyle w:val="5"/>
        <w:numPr>
          <w:ilvl w:val="2"/>
          <w:numId w:val="0"/>
        </w:numPr>
        <w:bidi w:val="0"/>
        <w:rPr>
          <w:color w:val="auto"/>
        </w:rPr>
      </w:pPr>
      <w:r>
        <w:rPr>
          <w:rFonts w:hint="eastAsia"/>
          <w:color w:val="auto"/>
          <w:lang w:val="en-US" w:eastAsia="zh-CN"/>
        </w:rPr>
        <w:t>9.1.2</w:t>
      </w:r>
      <w:r>
        <w:rPr>
          <w:color w:val="auto"/>
        </w:rPr>
        <w:t>环境管理内容</w:t>
      </w:r>
    </w:p>
    <w:p>
      <w:pPr>
        <w:keepNext w:val="0"/>
        <w:keepLines w:val="0"/>
        <w:pageBreakBefore w:val="0"/>
        <w:kinsoku/>
        <w:wordWrap/>
        <w:bidi w:val="0"/>
        <w:adjustRightInd/>
        <w:snapToGrid/>
        <w:spacing w:line="360" w:lineRule="auto"/>
        <w:ind w:right="0" w:firstLine="480" w:firstLineChars="200"/>
        <w:rPr>
          <w:color w:val="auto"/>
        </w:rPr>
      </w:pPr>
      <w:r>
        <w:rPr>
          <w:color w:val="auto"/>
        </w:rPr>
        <w:t>1、施工期环境管理</w:t>
      </w:r>
    </w:p>
    <w:p>
      <w:pPr>
        <w:keepNext w:val="0"/>
        <w:keepLines w:val="0"/>
        <w:pageBreakBefore w:val="0"/>
        <w:kinsoku/>
        <w:wordWrap/>
        <w:bidi w:val="0"/>
        <w:adjustRightInd/>
        <w:snapToGrid/>
        <w:spacing w:line="360" w:lineRule="auto"/>
        <w:ind w:right="0" w:firstLine="480" w:firstLineChars="200"/>
        <w:rPr>
          <w:color w:val="auto"/>
          <w:sz w:val="24"/>
          <w:szCs w:val="24"/>
        </w:rPr>
      </w:pPr>
      <w:r>
        <w:rPr>
          <w:rFonts w:hAnsi="宋体"/>
          <w:color w:val="auto"/>
          <w:sz w:val="24"/>
          <w:szCs w:val="24"/>
        </w:rPr>
        <w:t>为了有效地保护项目所在区域的环境质量，减轻施工期的环境影响，在施工期间，建设单位应建立和健全环境监测制度和环境管理综合能力。应设专职负责人负责施工期间的环境保护管理和环境监测工作。</w:t>
      </w:r>
    </w:p>
    <w:p>
      <w:pPr>
        <w:pStyle w:val="190"/>
        <w:keepNext w:val="0"/>
        <w:keepLines w:val="0"/>
        <w:pageBreakBefore w:val="0"/>
        <w:kinsoku/>
        <w:wordWrap/>
        <w:bidi w:val="0"/>
        <w:adjustRightInd/>
        <w:snapToGrid/>
        <w:spacing w:after="0" w:line="360" w:lineRule="auto"/>
        <w:ind w:right="0" w:firstLine="480" w:firstLineChars="200"/>
        <w:rPr>
          <w:rFonts w:eastAsia="宋体"/>
          <w:color w:val="auto"/>
        </w:rPr>
      </w:pPr>
      <w:r>
        <w:rPr>
          <w:rFonts w:hAnsi="宋体" w:eastAsia="宋体"/>
          <w:color w:val="auto"/>
        </w:rPr>
        <w:t>（</w:t>
      </w:r>
      <w:r>
        <w:rPr>
          <w:rFonts w:eastAsia="宋体"/>
          <w:color w:val="auto"/>
        </w:rPr>
        <w:t>1</w:t>
      </w:r>
      <w:r>
        <w:rPr>
          <w:rFonts w:hAnsi="宋体" w:eastAsia="宋体"/>
          <w:color w:val="auto"/>
        </w:rPr>
        <w:t>）建设单位应与本项目施工单位协调，将施工期环境保护措施列入合同文本，要求施工单位严格执行，并实行奖惩制度。</w:t>
      </w:r>
    </w:p>
    <w:p>
      <w:pPr>
        <w:pStyle w:val="190"/>
        <w:keepNext w:val="0"/>
        <w:keepLines w:val="0"/>
        <w:pageBreakBefore w:val="0"/>
        <w:kinsoku/>
        <w:wordWrap/>
        <w:bidi w:val="0"/>
        <w:adjustRightInd/>
        <w:snapToGrid/>
        <w:spacing w:after="0" w:line="360" w:lineRule="auto"/>
        <w:ind w:right="0" w:firstLine="480" w:firstLineChars="200"/>
        <w:rPr>
          <w:rFonts w:eastAsia="宋体"/>
          <w:color w:val="auto"/>
        </w:rPr>
      </w:pPr>
      <w:r>
        <w:rPr>
          <w:rFonts w:hAnsi="宋体" w:eastAsia="宋体"/>
          <w:color w:val="auto"/>
        </w:rPr>
        <w:t>（</w:t>
      </w:r>
      <w:r>
        <w:rPr>
          <w:rFonts w:eastAsia="宋体"/>
          <w:color w:val="auto"/>
        </w:rPr>
        <w:t>2</w:t>
      </w:r>
      <w:r>
        <w:rPr>
          <w:rFonts w:hAnsi="宋体" w:eastAsia="宋体"/>
          <w:color w:val="auto"/>
        </w:rPr>
        <w:t>）施工单位应按照工程合同的要求，并遵照国家和地方环境保护行政主管部门制定的各项环保法规组织施工，切实落实本报告</w:t>
      </w:r>
      <w:r>
        <w:rPr>
          <w:rFonts w:hint="eastAsia" w:hAnsi="宋体" w:eastAsia="宋体"/>
          <w:color w:val="auto"/>
          <w:lang w:val="en-US" w:eastAsia="zh-CN"/>
        </w:rPr>
        <w:t>要求</w:t>
      </w:r>
      <w:r>
        <w:rPr>
          <w:rFonts w:hAnsi="宋体" w:eastAsia="宋体"/>
          <w:color w:val="auto"/>
        </w:rPr>
        <w:t>的各项环境保护措施，真正做到文明施工。</w:t>
      </w:r>
    </w:p>
    <w:p>
      <w:pPr>
        <w:pStyle w:val="190"/>
        <w:keepNext w:val="0"/>
        <w:keepLines w:val="0"/>
        <w:pageBreakBefore w:val="0"/>
        <w:kinsoku/>
        <w:wordWrap/>
        <w:bidi w:val="0"/>
        <w:adjustRightInd/>
        <w:snapToGrid/>
        <w:spacing w:after="0" w:line="360" w:lineRule="auto"/>
        <w:ind w:right="0" w:firstLine="480" w:firstLineChars="200"/>
        <w:rPr>
          <w:rFonts w:eastAsia="宋体"/>
          <w:color w:val="auto"/>
        </w:rPr>
      </w:pPr>
      <w:r>
        <w:rPr>
          <w:rFonts w:hAnsi="宋体" w:eastAsia="宋体"/>
          <w:color w:val="auto"/>
        </w:rPr>
        <w:t>（</w:t>
      </w:r>
      <w:r>
        <w:rPr>
          <w:rFonts w:eastAsia="宋体"/>
          <w:color w:val="auto"/>
        </w:rPr>
        <w:t>3</w:t>
      </w:r>
      <w:r>
        <w:rPr>
          <w:rFonts w:hAnsi="宋体" w:eastAsia="宋体"/>
          <w:color w:val="auto"/>
        </w:rPr>
        <w:t>）施工单位应在施工场地配置环境管理人员，负责施工现场各类污染源控制与管理，尤其对高噪声、高振动施工设备应严格控制其施工时段和时间，并采取必要的防治措施。</w:t>
      </w:r>
    </w:p>
    <w:p>
      <w:pPr>
        <w:pStyle w:val="190"/>
        <w:keepNext w:val="0"/>
        <w:keepLines w:val="0"/>
        <w:pageBreakBefore w:val="0"/>
        <w:kinsoku/>
        <w:wordWrap/>
        <w:bidi w:val="0"/>
        <w:adjustRightInd/>
        <w:snapToGrid/>
        <w:spacing w:after="0" w:line="360" w:lineRule="auto"/>
        <w:ind w:right="0" w:firstLine="480" w:firstLineChars="200"/>
        <w:rPr>
          <w:rFonts w:eastAsia="宋体"/>
          <w:color w:val="auto"/>
        </w:rPr>
      </w:pPr>
      <w:r>
        <w:rPr>
          <w:rFonts w:hAnsi="宋体" w:eastAsia="宋体"/>
          <w:color w:val="auto"/>
        </w:rPr>
        <w:t>（</w:t>
      </w:r>
      <w:r>
        <w:rPr>
          <w:rFonts w:eastAsia="宋体"/>
          <w:color w:val="auto"/>
        </w:rPr>
        <w:t>4</w:t>
      </w:r>
      <w:r>
        <w:rPr>
          <w:rFonts w:hAnsi="宋体" w:eastAsia="宋体"/>
          <w:color w:val="auto"/>
        </w:rPr>
        <w:t>）做好宣传工作。由于技术条件和施工环境的限制，即使采取了污染控制措施，施工时带来的环境污染仍是无法避免的，因此要向施工场地周围受影响对象做好宣传工作，以提高人们对不利环境影响的心理承受力，取得理解，克服暂时困难，配合施工单位顺利完成施工任务。</w:t>
      </w:r>
    </w:p>
    <w:p>
      <w:pPr>
        <w:pStyle w:val="190"/>
        <w:keepNext w:val="0"/>
        <w:keepLines w:val="0"/>
        <w:pageBreakBefore w:val="0"/>
        <w:kinsoku/>
        <w:wordWrap/>
        <w:bidi w:val="0"/>
        <w:adjustRightInd/>
        <w:snapToGrid/>
        <w:spacing w:after="0" w:line="360" w:lineRule="auto"/>
        <w:ind w:right="0" w:firstLine="480" w:firstLineChars="200"/>
        <w:rPr>
          <w:color w:val="auto"/>
          <w:highlight w:val="none"/>
        </w:rPr>
      </w:pPr>
      <w:r>
        <w:rPr>
          <w:rFonts w:hAnsi="宋体" w:eastAsia="宋体"/>
          <w:color w:val="auto"/>
          <w:highlight w:val="none"/>
        </w:rPr>
        <w:t>（</w:t>
      </w:r>
      <w:r>
        <w:rPr>
          <w:rFonts w:eastAsia="宋体"/>
          <w:color w:val="auto"/>
          <w:highlight w:val="none"/>
        </w:rPr>
        <w:t>5</w:t>
      </w:r>
      <w:r>
        <w:rPr>
          <w:rFonts w:hAnsi="宋体" w:eastAsia="宋体"/>
          <w:color w:val="auto"/>
          <w:highlight w:val="none"/>
        </w:rPr>
        <w:t>）施工单位必须主动接受环境保护主管部门的监督指导，主动配合环境保护专业部门共同做好本项目施工期环境保护工作。</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80" w:firstLineChars="200"/>
        <w:jc w:val="both"/>
        <w:rPr>
          <w:rFonts w:hint="eastAsia" w:ascii="宋体" w:hAnsi="宋体" w:eastAsia="宋体" w:cs="宋体"/>
          <w:color w:val="auto"/>
          <w:spacing w:val="-3"/>
          <w:w w:val="100"/>
          <w:sz w:val="24"/>
          <w:szCs w:val="24"/>
          <w:highlight w:val="none"/>
          <w:lang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w w:val="100"/>
          <w:sz w:val="24"/>
          <w:szCs w:val="24"/>
          <w:highlight w:val="none"/>
        </w:rPr>
        <w:t>项目建设期间，应根据国家和</w:t>
      </w:r>
      <w:r>
        <w:rPr>
          <w:rFonts w:hint="eastAsia" w:ascii="宋体" w:hAnsi="宋体" w:cs="宋体"/>
          <w:color w:val="auto"/>
          <w:w w:val="100"/>
          <w:sz w:val="24"/>
          <w:szCs w:val="24"/>
          <w:highlight w:val="none"/>
          <w:lang w:eastAsia="zh-CN"/>
        </w:rPr>
        <w:t>合肥市</w:t>
      </w:r>
      <w:r>
        <w:rPr>
          <w:rFonts w:hint="eastAsia" w:ascii="宋体" w:hAnsi="宋体" w:eastAsia="宋体" w:cs="宋体"/>
          <w:color w:val="auto"/>
          <w:w w:val="100"/>
          <w:sz w:val="24"/>
          <w:szCs w:val="24"/>
          <w:highlight w:val="none"/>
        </w:rPr>
        <w:t>环境保护的规定和要求，重点检查工程进展情况是否符合</w:t>
      </w:r>
      <w:r>
        <w:rPr>
          <w:rFonts w:hint="eastAsia" w:ascii="宋体" w:hAnsi="宋体" w:cs="宋体"/>
          <w:color w:val="auto"/>
          <w:w w:val="100"/>
          <w:sz w:val="24"/>
          <w:szCs w:val="24"/>
          <w:highlight w:val="none"/>
          <w:lang w:eastAsia="zh-CN"/>
        </w:rPr>
        <w:t>“</w:t>
      </w:r>
      <w:r>
        <w:rPr>
          <w:rFonts w:hint="eastAsia" w:ascii="宋体" w:hAnsi="宋体" w:eastAsia="宋体" w:cs="宋体"/>
          <w:color w:val="auto"/>
          <w:w w:val="100"/>
          <w:sz w:val="24"/>
          <w:szCs w:val="24"/>
          <w:highlight w:val="none"/>
        </w:rPr>
        <w:t>三同时</w:t>
      </w:r>
      <w:r>
        <w:rPr>
          <w:rFonts w:hint="eastAsia" w:ascii="宋体" w:hAnsi="宋体" w:cs="宋体"/>
          <w:color w:val="auto"/>
          <w:spacing w:val="9"/>
          <w:w w:val="100"/>
          <w:sz w:val="24"/>
          <w:szCs w:val="24"/>
          <w:highlight w:val="none"/>
          <w:lang w:eastAsia="zh-CN"/>
        </w:rPr>
        <w:t>”</w:t>
      </w:r>
      <w:r>
        <w:rPr>
          <w:rFonts w:hint="eastAsia" w:ascii="宋体" w:hAnsi="宋体" w:eastAsia="宋体" w:cs="宋体"/>
          <w:color w:val="auto"/>
          <w:spacing w:val="-7"/>
          <w:w w:val="100"/>
          <w:sz w:val="24"/>
          <w:szCs w:val="24"/>
          <w:highlight w:val="none"/>
        </w:rPr>
        <w:t>原则，项目的污染防治措施是否按计划与主体</w:t>
      </w:r>
      <w:r>
        <w:rPr>
          <w:rFonts w:hint="eastAsia" w:ascii="宋体" w:hAnsi="宋体" w:eastAsia="宋体" w:cs="宋体"/>
          <w:color w:val="auto"/>
          <w:spacing w:val="-3"/>
          <w:w w:val="100"/>
          <w:sz w:val="24"/>
          <w:szCs w:val="24"/>
          <w:highlight w:val="none"/>
        </w:rPr>
        <w:t>工程同时施工，质量是否符合要求</w:t>
      </w:r>
      <w:r>
        <w:rPr>
          <w:rFonts w:hint="eastAsia" w:ascii="宋体" w:hAnsi="宋体" w:cs="宋体"/>
          <w:color w:val="auto"/>
          <w:spacing w:val="-3"/>
          <w:w w:val="100"/>
          <w:sz w:val="24"/>
          <w:szCs w:val="24"/>
          <w:highlight w:val="none"/>
          <w:lang w:eastAsia="zh-CN"/>
        </w:rPr>
        <w:t>；</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72" w:firstLineChars="200"/>
        <w:jc w:val="left"/>
        <w:rPr>
          <w:rFonts w:hint="eastAsia" w:eastAsia="宋体"/>
          <w:color w:val="auto"/>
          <w:w w:val="100"/>
          <w:sz w:val="24"/>
          <w:szCs w:val="24"/>
          <w:lang w:eastAsia="zh-CN"/>
        </w:rPr>
      </w:pPr>
      <w:r>
        <w:rPr>
          <w:rFonts w:hint="eastAsia" w:eastAsia="宋体"/>
          <w:color w:val="auto"/>
          <w:spacing w:val="-2"/>
          <w:w w:val="100"/>
          <w:sz w:val="24"/>
          <w:szCs w:val="24"/>
          <w:lang w:eastAsia="zh-CN"/>
        </w:rPr>
        <w:t>（</w:t>
      </w:r>
      <w:r>
        <w:rPr>
          <w:rFonts w:hint="eastAsia" w:eastAsia="宋体"/>
          <w:color w:val="auto"/>
          <w:spacing w:val="-2"/>
          <w:w w:val="100"/>
          <w:sz w:val="24"/>
          <w:szCs w:val="24"/>
          <w:lang w:val="en-US" w:eastAsia="zh-CN"/>
        </w:rPr>
        <w:t>7</w:t>
      </w:r>
      <w:r>
        <w:rPr>
          <w:rFonts w:hint="eastAsia" w:eastAsia="宋体"/>
          <w:color w:val="auto"/>
          <w:spacing w:val="-2"/>
          <w:w w:val="100"/>
          <w:sz w:val="24"/>
          <w:szCs w:val="24"/>
          <w:lang w:eastAsia="zh-CN"/>
        </w:rPr>
        <w:t>）</w:t>
      </w:r>
      <w:r>
        <w:rPr>
          <w:color w:val="auto"/>
          <w:spacing w:val="-2"/>
          <w:w w:val="100"/>
          <w:sz w:val="24"/>
          <w:szCs w:val="24"/>
        </w:rPr>
        <w:t>施工单位按照《防治城市扬尘污染技术规范》</w:t>
      </w:r>
      <w:r>
        <w:rPr>
          <w:color w:val="auto"/>
          <w:w w:val="100"/>
          <w:sz w:val="24"/>
          <w:szCs w:val="24"/>
        </w:rPr>
        <w:t>、</w:t>
      </w:r>
      <w:r>
        <w:rPr>
          <w:rFonts w:hint="eastAsia"/>
          <w:color w:val="auto"/>
          <w:w w:val="100"/>
          <w:sz w:val="24"/>
          <w:szCs w:val="24"/>
        </w:rPr>
        <w:t>《</w:t>
      </w:r>
      <w:r>
        <w:rPr>
          <w:rFonts w:hint="eastAsia"/>
          <w:color w:val="auto"/>
          <w:w w:val="100"/>
          <w:sz w:val="24"/>
          <w:szCs w:val="24"/>
          <w:lang w:val="en-US" w:eastAsia="zh-CN"/>
        </w:rPr>
        <w:t>安徽省</w:t>
      </w:r>
      <w:r>
        <w:rPr>
          <w:rFonts w:hint="eastAsia"/>
          <w:color w:val="auto"/>
          <w:w w:val="100"/>
          <w:sz w:val="24"/>
          <w:szCs w:val="24"/>
        </w:rPr>
        <w:t>大气污染防治条例》</w:t>
      </w:r>
      <w:r>
        <w:rPr>
          <w:rFonts w:hint="eastAsia"/>
          <w:color w:val="auto"/>
          <w:w w:val="100"/>
          <w:sz w:val="24"/>
          <w:szCs w:val="24"/>
          <w:lang w:eastAsia="zh-CN"/>
        </w:rPr>
        <w:t>、</w:t>
      </w:r>
      <w:r>
        <w:rPr>
          <w:rFonts w:hint="eastAsia"/>
          <w:color w:val="auto"/>
          <w:w w:val="100"/>
          <w:sz w:val="24"/>
          <w:szCs w:val="24"/>
        </w:rPr>
        <w:t>《</w:t>
      </w:r>
      <w:r>
        <w:rPr>
          <w:rFonts w:hint="eastAsia"/>
          <w:color w:val="auto"/>
          <w:w w:val="100"/>
          <w:sz w:val="24"/>
          <w:szCs w:val="24"/>
          <w:lang w:val="en-US" w:eastAsia="zh-CN"/>
        </w:rPr>
        <w:t>合肥市建筑施工工地扬尘污染防治规定</w:t>
      </w:r>
      <w:r>
        <w:rPr>
          <w:rFonts w:hint="eastAsia"/>
          <w:color w:val="auto"/>
          <w:w w:val="100"/>
          <w:sz w:val="24"/>
          <w:szCs w:val="24"/>
        </w:rPr>
        <w:t>》</w:t>
      </w:r>
      <w:r>
        <w:rPr>
          <w:rFonts w:hint="eastAsia" w:eastAsia="宋体"/>
          <w:color w:val="auto"/>
          <w:w w:val="100"/>
          <w:sz w:val="24"/>
          <w:szCs w:val="24"/>
          <w:lang w:eastAsia="zh-CN"/>
        </w:rPr>
        <w:t>、</w:t>
      </w:r>
      <w:r>
        <w:rPr>
          <w:rFonts w:hint="eastAsia"/>
          <w:color w:val="auto"/>
          <w:w w:val="100"/>
          <w:sz w:val="24"/>
          <w:szCs w:val="24"/>
        </w:rPr>
        <w:t>《</w:t>
      </w:r>
      <w:r>
        <w:rPr>
          <w:rFonts w:hint="eastAsia"/>
          <w:color w:val="auto"/>
          <w:w w:val="100"/>
          <w:sz w:val="24"/>
          <w:szCs w:val="24"/>
          <w:lang w:eastAsia="zh-CN"/>
        </w:rPr>
        <w:t>合肥市</w:t>
      </w:r>
      <w:r>
        <w:rPr>
          <w:rFonts w:hint="eastAsia"/>
          <w:color w:val="auto"/>
          <w:w w:val="100"/>
          <w:sz w:val="24"/>
          <w:szCs w:val="24"/>
        </w:rPr>
        <w:t>建筑垃圾管理办法》</w:t>
      </w:r>
      <w:r>
        <w:rPr>
          <w:color w:val="auto"/>
          <w:spacing w:val="-5"/>
          <w:w w:val="100"/>
          <w:sz w:val="24"/>
          <w:szCs w:val="24"/>
        </w:rPr>
        <w:t>、《安徽省大气污染防治行动计划实</w:t>
      </w:r>
      <w:r>
        <w:rPr>
          <w:color w:val="auto"/>
          <w:spacing w:val="-9"/>
          <w:w w:val="100"/>
          <w:sz w:val="24"/>
          <w:szCs w:val="24"/>
        </w:rPr>
        <w:t>施方案》</w:t>
      </w:r>
      <w:r>
        <w:rPr>
          <w:rFonts w:hint="eastAsia"/>
          <w:color w:val="auto"/>
          <w:spacing w:val="-9"/>
          <w:w w:val="100"/>
          <w:sz w:val="24"/>
          <w:szCs w:val="24"/>
          <w:lang w:eastAsia="zh-CN"/>
        </w:rPr>
        <w:t>、《</w:t>
      </w:r>
      <w:r>
        <w:rPr>
          <w:rFonts w:hint="eastAsia"/>
          <w:color w:val="auto"/>
          <w:spacing w:val="-9"/>
          <w:w w:val="100"/>
          <w:sz w:val="24"/>
          <w:szCs w:val="24"/>
          <w:lang w:val="en-US" w:eastAsia="zh-CN"/>
        </w:rPr>
        <w:t>安徽省建筑工程施工扬尘污染防治规定</w:t>
      </w:r>
      <w:r>
        <w:rPr>
          <w:rFonts w:hint="eastAsia"/>
          <w:color w:val="auto"/>
          <w:spacing w:val="-9"/>
          <w:w w:val="100"/>
          <w:sz w:val="24"/>
          <w:szCs w:val="24"/>
          <w:lang w:eastAsia="zh-CN"/>
        </w:rPr>
        <w:t>》、</w:t>
      </w:r>
      <w:r>
        <w:rPr>
          <w:color w:val="auto"/>
          <w:spacing w:val="-5"/>
          <w:w w:val="100"/>
          <w:sz w:val="24"/>
          <w:szCs w:val="24"/>
        </w:rPr>
        <w:t>《</w:t>
      </w:r>
      <w:r>
        <w:rPr>
          <w:rFonts w:hint="eastAsia"/>
          <w:color w:val="auto"/>
          <w:spacing w:val="-5"/>
          <w:w w:val="100"/>
          <w:sz w:val="24"/>
          <w:szCs w:val="24"/>
          <w:lang w:eastAsia="zh-CN"/>
        </w:rPr>
        <w:t>建筑工程施工和预拌混凝土生产扬尘污染防治标准（试行）</w:t>
      </w:r>
      <w:r>
        <w:rPr>
          <w:color w:val="auto"/>
          <w:spacing w:val="-9"/>
          <w:w w:val="100"/>
          <w:sz w:val="24"/>
          <w:szCs w:val="24"/>
        </w:rPr>
        <w:t>》等要求，对施工过程中产生的扬尘渣土等进行合理有</w:t>
      </w:r>
      <w:r>
        <w:rPr>
          <w:color w:val="auto"/>
          <w:spacing w:val="-4"/>
          <w:w w:val="100"/>
          <w:sz w:val="24"/>
          <w:szCs w:val="24"/>
        </w:rPr>
        <w:t>效的治理或处置</w:t>
      </w:r>
      <w:r>
        <w:rPr>
          <w:rFonts w:hint="eastAsia" w:cs="宋体"/>
          <w:color w:val="auto"/>
          <w:spacing w:val="-4"/>
          <w:w w:val="100"/>
          <w:sz w:val="24"/>
          <w:szCs w:val="24"/>
          <w:lang w:eastAsia="zh-CN"/>
        </w:rPr>
        <w:t>；</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80" w:firstLineChars="200"/>
        <w:jc w:val="left"/>
        <w:rPr>
          <w:rFonts w:hint="default" w:ascii="Times New Roman" w:hAnsi="Times New Roman" w:eastAsia="宋体" w:cs="Times New Roman"/>
          <w:color w:val="auto"/>
          <w:spacing w:val="-4"/>
          <w:w w:val="100"/>
          <w:sz w:val="24"/>
          <w:szCs w:val="24"/>
          <w:lang w:eastAsia="zh-CN"/>
        </w:rPr>
      </w:pPr>
      <w:r>
        <w:rPr>
          <w:rFonts w:hint="eastAsia" w:ascii="宋体" w:hAnsi="宋体" w:eastAsia="宋体" w:cs="宋体"/>
          <w:color w:val="auto"/>
          <w:w w:val="100"/>
          <w:sz w:val="24"/>
          <w:szCs w:val="24"/>
          <w:lang w:eastAsia="zh-CN"/>
        </w:rPr>
        <w:t>（</w:t>
      </w:r>
      <w:r>
        <w:rPr>
          <w:rFonts w:hint="eastAsia" w:ascii="宋体" w:hAnsi="宋体" w:eastAsia="宋体" w:cs="宋体"/>
          <w:color w:val="auto"/>
          <w:w w:val="100"/>
          <w:sz w:val="24"/>
          <w:szCs w:val="24"/>
          <w:lang w:val="en-US" w:eastAsia="zh-CN"/>
        </w:rPr>
        <w:t>8</w:t>
      </w:r>
      <w:r>
        <w:rPr>
          <w:rFonts w:hint="eastAsia" w:ascii="宋体" w:hAnsi="宋体" w:eastAsia="宋体" w:cs="宋体"/>
          <w:color w:val="auto"/>
          <w:w w:val="100"/>
          <w:sz w:val="24"/>
          <w:szCs w:val="24"/>
          <w:lang w:eastAsia="zh-CN"/>
        </w:rPr>
        <w:t>）</w:t>
      </w:r>
      <w:r>
        <w:rPr>
          <w:rFonts w:hint="default" w:ascii="Times New Roman" w:hAnsi="Times New Roman" w:eastAsia="宋体" w:cs="Times New Roman"/>
          <w:color w:val="auto"/>
          <w:w w:val="100"/>
          <w:sz w:val="24"/>
          <w:szCs w:val="24"/>
        </w:rPr>
        <w:t>施工过程中使用的各类机械设备依据有关法规要求控制噪声污染</w:t>
      </w:r>
      <w:r>
        <w:rPr>
          <w:rFonts w:hint="default" w:ascii="Times New Roman" w:hAnsi="Times New Roman" w:eastAsia="宋体" w:cs="Times New Roman"/>
          <w:color w:val="auto"/>
          <w:spacing w:val="2"/>
          <w:w w:val="100"/>
          <w:sz w:val="24"/>
          <w:szCs w:val="24"/>
        </w:rPr>
        <w:t>，同时严格按照《建筑施工场界环境噪声排放标准》</w:t>
      </w:r>
      <w:r>
        <w:rPr>
          <w:rFonts w:hint="default" w:ascii="Times New Roman" w:hAnsi="Times New Roman" w:eastAsia="宋体" w:cs="Times New Roman"/>
          <w:color w:val="auto"/>
          <w:w w:val="100"/>
          <w:sz w:val="24"/>
          <w:szCs w:val="24"/>
        </w:rPr>
        <w:t>（GB12523-2011）</w:t>
      </w:r>
      <w:r>
        <w:rPr>
          <w:rFonts w:hint="default" w:ascii="Times New Roman" w:hAnsi="Times New Roman" w:eastAsia="宋体" w:cs="Times New Roman"/>
          <w:color w:val="auto"/>
          <w:spacing w:val="7"/>
          <w:w w:val="100"/>
          <w:sz w:val="24"/>
          <w:szCs w:val="24"/>
        </w:rPr>
        <w:t>的相关</w:t>
      </w:r>
      <w:r>
        <w:rPr>
          <w:rFonts w:hint="default" w:ascii="Times New Roman" w:hAnsi="Times New Roman" w:eastAsia="宋体" w:cs="Times New Roman"/>
          <w:color w:val="auto"/>
          <w:spacing w:val="-6"/>
          <w:w w:val="100"/>
          <w:sz w:val="24"/>
          <w:szCs w:val="24"/>
        </w:rPr>
        <w:t>要求，合理安排施工作业，防止施工噪声对相邻敏感目标造成影响，</w:t>
      </w:r>
      <w:r>
        <w:rPr>
          <w:rFonts w:hint="default" w:ascii="Times New Roman" w:hAnsi="Times New Roman" w:eastAsia="宋体" w:cs="Times New Roman"/>
          <w:color w:val="auto"/>
          <w:spacing w:val="-6"/>
          <w:w w:val="100"/>
          <w:sz w:val="24"/>
          <w:szCs w:val="24"/>
          <w:lang w:val="en-US" w:eastAsia="zh-CN"/>
        </w:rPr>
        <w:t>如确需在夜间施工的，需申报</w:t>
      </w:r>
      <w:r>
        <w:rPr>
          <w:rFonts w:hint="eastAsia" w:cs="Times New Roman"/>
          <w:color w:val="auto"/>
          <w:spacing w:val="-6"/>
          <w:w w:val="100"/>
          <w:sz w:val="24"/>
          <w:szCs w:val="24"/>
          <w:lang w:val="en-US" w:eastAsia="zh-CN"/>
        </w:rPr>
        <w:t>环保部门</w:t>
      </w:r>
      <w:r>
        <w:rPr>
          <w:rFonts w:hint="default" w:ascii="Times New Roman" w:hAnsi="Times New Roman" w:eastAsia="宋体" w:cs="Times New Roman"/>
          <w:color w:val="auto"/>
          <w:spacing w:val="-6"/>
          <w:w w:val="100"/>
          <w:sz w:val="24"/>
          <w:szCs w:val="24"/>
          <w:lang w:val="en-US" w:eastAsia="zh-CN"/>
        </w:rPr>
        <w:t>同意</w:t>
      </w:r>
      <w:r>
        <w:rPr>
          <w:rFonts w:hint="eastAsia" w:cs="宋体"/>
          <w:color w:val="auto"/>
          <w:spacing w:val="-4"/>
          <w:w w:val="100"/>
          <w:sz w:val="24"/>
          <w:szCs w:val="24"/>
          <w:lang w:eastAsia="zh-CN"/>
        </w:rPr>
        <w:t>；</w:t>
      </w:r>
      <w:r>
        <w:rPr>
          <w:rFonts w:hint="default" w:ascii="Times New Roman" w:hAnsi="Times New Roman" w:eastAsia="宋体" w:cs="Times New Roman"/>
          <w:color w:val="auto"/>
          <w:w w:val="100"/>
          <w:sz w:val="24"/>
          <w:szCs w:val="24"/>
        </w:rPr>
        <w:t>建筑工地生活垃圾进行妥善处置</w:t>
      </w: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lang w:val="en-US" w:eastAsia="zh-CN"/>
        </w:rPr>
        <w:t>严禁随意丢弃</w:t>
      </w:r>
      <w:r>
        <w:rPr>
          <w:rFonts w:hint="eastAsia" w:cs="宋体"/>
          <w:color w:val="auto"/>
          <w:w w:val="100"/>
          <w:sz w:val="24"/>
          <w:szCs w:val="24"/>
          <w:lang w:eastAsia="zh-CN"/>
        </w:rPr>
        <w:t>；</w:t>
      </w:r>
      <w:r>
        <w:rPr>
          <w:rFonts w:hint="default" w:ascii="Times New Roman" w:hAnsi="Times New Roman" w:eastAsia="宋体" w:cs="Times New Roman"/>
          <w:color w:val="auto"/>
          <w:w w:val="100"/>
          <w:sz w:val="24"/>
          <w:szCs w:val="24"/>
        </w:rPr>
        <w:t>建筑工地生活</w:t>
      </w:r>
      <w:r>
        <w:rPr>
          <w:rFonts w:hint="default" w:ascii="Times New Roman" w:hAnsi="Times New Roman" w:eastAsia="宋体" w:cs="Times New Roman"/>
          <w:color w:val="auto"/>
          <w:w w:val="100"/>
          <w:sz w:val="24"/>
          <w:szCs w:val="24"/>
          <w:lang w:val="en-US" w:eastAsia="zh-CN"/>
        </w:rPr>
        <w:t>废水由化粪池预处理后排入</w:t>
      </w:r>
      <w:r>
        <w:rPr>
          <w:rFonts w:hint="eastAsia" w:cs="Times New Roman"/>
          <w:color w:val="auto"/>
          <w:w w:val="100"/>
          <w:sz w:val="24"/>
          <w:szCs w:val="24"/>
          <w:lang w:val="en-US" w:eastAsia="zh-CN"/>
        </w:rPr>
        <w:t>十五里河污水处理厂</w:t>
      </w:r>
      <w:r>
        <w:rPr>
          <w:rFonts w:hint="default" w:ascii="Times New Roman" w:hAnsi="Times New Roman" w:eastAsia="宋体" w:cs="Times New Roman"/>
          <w:color w:val="auto"/>
          <w:w w:val="100"/>
          <w:sz w:val="24"/>
          <w:szCs w:val="24"/>
          <w:lang w:val="en-US" w:eastAsia="zh-CN"/>
        </w:rPr>
        <w:t>，</w:t>
      </w:r>
      <w:r>
        <w:rPr>
          <w:rFonts w:hint="default" w:ascii="Times New Roman" w:hAnsi="Times New Roman" w:eastAsia="宋体" w:cs="Times New Roman"/>
          <w:color w:val="auto"/>
          <w:w w:val="100"/>
          <w:sz w:val="24"/>
          <w:szCs w:val="24"/>
        </w:rPr>
        <w:t>建筑工地生活</w:t>
      </w:r>
      <w:r>
        <w:rPr>
          <w:rFonts w:hint="default" w:ascii="Times New Roman" w:hAnsi="Times New Roman" w:eastAsia="宋体" w:cs="Times New Roman"/>
          <w:color w:val="auto"/>
          <w:w w:val="100"/>
          <w:sz w:val="24"/>
          <w:szCs w:val="24"/>
          <w:lang w:val="en-US" w:eastAsia="zh-CN"/>
        </w:rPr>
        <w:t>废水不得随意乱排，</w:t>
      </w:r>
      <w:r>
        <w:rPr>
          <w:rFonts w:hint="default" w:ascii="Times New Roman" w:hAnsi="Times New Roman" w:eastAsia="宋体" w:cs="Times New Roman"/>
          <w:color w:val="auto"/>
          <w:spacing w:val="-4"/>
          <w:w w:val="100"/>
          <w:sz w:val="24"/>
          <w:szCs w:val="24"/>
        </w:rPr>
        <w:t>工程竣工后，施工单位及时将工地剩余弃土、建筑垃圾清除干净</w:t>
      </w:r>
      <w:r>
        <w:rPr>
          <w:rFonts w:hint="default" w:ascii="Times New Roman" w:hAnsi="Times New Roman" w:eastAsia="宋体" w:cs="Times New Roman"/>
          <w:color w:val="auto"/>
          <w:spacing w:val="-4"/>
          <w:w w:val="100"/>
          <w:sz w:val="24"/>
          <w:szCs w:val="24"/>
          <w:lang w:eastAsia="zh-CN"/>
        </w:rPr>
        <w:t>。</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jc w:val="left"/>
        <w:textAlignment w:val="auto"/>
        <w:rPr>
          <w:color w:val="auto"/>
          <w:w w:val="100"/>
        </w:rPr>
      </w:pPr>
      <w:r>
        <w:rPr>
          <w:rFonts w:hint="eastAsia" w:eastAsia="宋体"/>
          <w:color w:val="auto"/>
          <w:w w:val="100"/>
          <w:lang w:val="en-US" w:eastAsia="zh-CN"/>
        </w:rPr>
        <w:t>2、</w:t>
      </w:r>
      <w:r>
        <w:rPr>
          <w:color w:val="auto"/>
          <w:w w:val="100"/>
        </w:rPr>
        <w:t>营运期环境管理</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eastAsia="宋体" w:cs="Times New Roman"/>
          <w:color w:val="auto"/>
          <w:w w:val="100"/>
          <w:sz w:val="24"/>
          <w:szCs w:val="24"/>
        </w:rPr>
      </w:pPr>
      <w:r>
        <w:rPr>
          <w:rFonts w:hint="default" w:ascii="Times New Roman" w:hAnsi="Times New Roman" w:eastAsia="宋体" w:cs="Times New Roman"/>
          <w:color w:val="auto"/>
          <w:w w:val="100"/>
          <w:sz w:val="24"/>
          <w:szCs w:val="24"/>
        </w:rPr>
        <w:t>项目建成运行期间，环境管理机构的主要职责包括如下内容：</w:t>
      </w:r>
    </w:p>
    <w:p>
      <w:pPr>
        <w:pStyle w:val="228"/>
        <w:keepNext w:val="0"/>
        <w:keepLines w:val="0"/>
        <w:pageBreakBefore w:val="0"/>
        <w:widowControl w:val="0"/>
        <w:numPr>
          <w:ilvl w:val="0"/>
          <w:numId w:val="0"/>
        </w:numPr>
        <w:tabs>
          <w:tab w:val="left" w:pos="1423"/>
        </w:tabs>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eastAsia="宋体" w:cs="Times New Roman"/>
          <w:color w:val="auto"/>
          <w:w w:val="100"/>
          <w:sz w:val="24"/>
          <w:szCs w:val="24"/>
          <w:lang w:val="en-US" w:eastAsia="zh-CN"/>
        </w:rPr>
      </w:pP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lang w:val="en-US" w:eastAsia="zh-CN"/>
        </w:rPr>
        <w:t>1</w:t>
      </w: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rPr>
        <w:t>项目建成运行</w:t>
      </w:r>
      <w:r>
        <w:rPr>
          <w:rFonts w:hint="default" w:ascii="Times New Roman" w:hAnsi="Times New Roman" w:eastAsia="宋体" w:cs="Times New Roman"/>
          <w:color w:val="auto"/>
          <w:w w:val="100"/>
          <w:sz w:val="24"/>
          <w:szCs w:val="24"/>
          <w:lang w:val="en-US" w:eastAsia="zh-CN"/>
        </w:rPr>
        <w:t>后，积极落实项目竣工环境保护验收。</w:t>
      </w:r>
    </w:p>
    <w:p>
      <w:pPr>
        <w:pStyle w:val="228"/>
        <w:keepNext w:val="0"/>
        <w:keepLines w:val="0"/>
        <w:pageBreakBefore w:val="0"/>
        <w:widowControl w:val="0"/>
        <w:numPr>
          <w:ilvl w:val="0"/>
          <w:numId w:val="0"/>
        </w:numPr>
        <w:tabs>
          <w:tab w:val="left" w:pos="1423"/>
        </w:tabs>
        <w:kinsoku/>
        <w:wordWrap/>
        <w:overflowPunct/>
        <w:topLinePunct w:val="0"/>
        <w:autoSpaceDE/>
        <w:autoSpaceDN/>
        <w:bidi w:val="0"/>
        <w:adjustRightInd/>
        <w:snapToGrid/>
        <w:spacing w:line="360" w:lineRule="auto"/>
        <w:ind w:right="0" w:rightChars="0" w:firstLine="480" w:firstLineChars="200"/>
        <w:jc w:val="left"/>
        <w:textAlignment w:val="auto"/>
        <w:rPr>
          <w:rFonts w:hint="eastAsia" w:ascii="Times New Roman" w:hAnsi="Times New Roman" w:eastAsia="宋体" w:cs="Times New Roman"/>
          <w:color w:val="auto"/>
          <w:w w:val="100"/>
          <w:sz w:val="24"/>
          <w:szCs w:val="24"/>
          <w:lang w:eastAsia="zh-CN"/>
        </w:rPr>
      </w:pP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lang w:val="en-US" w:eastAsia="zh-CN"/>
        </w:rPr>
        <w:t>2</w:t>
      </w: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rPr>
        <w:t>制定污染治理设施管理和运行、维护计划，确保设备处于良好运行状态，保证企业污染排放符合国家、行业和地方有关标准</w:t>
      </w:r>
      <w:r>
        <w:rPr>
          <w:rFonts w:hint="eastAsia" w:cs="宋体"/>
          <w:color w:val="auto"/>
          <w:w w:val="100"/>
          <w:sz w:val="24"/>
          <w:szCs w:val="24"/>
          <w:lang w:eastAsia="zh-CN"/>
        </w:rPr>
        <w:t>；</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80" w:firstLineChars="200"/>
        <w:jc w:val="left"/>
        <w:rPr>
          <w:rFonts w:hint="eastAsia" w:ascii="Times New Roman" w:hAnsi="Times New Roman" w:eastAsia="宋体" w:cs="Times New Roman"/>
          <w:color w:val="auto"/>
          <w:w w:val="100"/>
          <w:sz w:val="24"/>
          <w:szCs w:val="24"/>
          <w:lang w:eastAsia="zh-CN"/>
        </w:rPr>
      </w:pP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lang w:val="en-US" w:eastAsia="zh-CN"/>
        </w:rPr>
        <w:t>3</w:t>
      </w: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rPr>
        <w:t>制定环境和污染源监控计划，落实监测单位及时实施。做好监测数据记录、整理、统计、归档工作，对异常资料应及时回馈给相关部门和分管领导，分析原因，并提出整改方案</w:t>
      </w:r>
      <w:r>
        <w:rPr>
          <w:rFonts w:hint="eastAsia" w:cs="宋体"/>
          <w:color w:val="auto"/>
          <w:w w:val="100"/>
          <w:sz w:val="24"/>
          <w:szCs w:val="24"/>
          <w:lang w:eastAsia="zh-CN"/>
        </w:rPr>
        <w:t>；</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64" w:firstLineChars="200"/>
        <w:jc w:val="left"/>
        <w:rPr>
          <w:rFonts w:hint="eastAsia" w:ascii="Times New Roman" w:hAnsi="Times New Roman" w:eastAsia="宋体" w:cs="Times New Roman"/>
          <w:color w:val="auto"/>
          <w:w w:val="100"/>
          <w:sz w:val="24"/>
          <w:szCs w:val="24"/>
          <w:lang w:eastAsia="zh-CN"/>
        </w:rPr>
      </w:pPr>
      <w:r>
        <w:rPr>
          <w:rFonts w:hint="default" w:ascii="Times New Roman" w:hAnsi="Times New Roman" w:eastAsia="宋体" w:cs="Times New Roman"/>
          <w:color w:val="auto"/>
          <w:spacing w:val="-4"/>
          <w:w w:val="100"/>
          <w:sz w:val="24"/>
          <w:szCs w:val="24"/>
          <w:lang w:eastAsia="zh-CN"/>
        </w:rPr>
        <w:t>（</w:t>
      </w:r>
      <w:r>
        <w:rPr>
          <w:rFonts w:hint="default" w:ascii="Times New Roman" w:hAnsi="Times New Roman" w:eastAsia="宋体" w:cs="Times New Roman"/>
          <w:color w:val="auto"/>
          <w:spacing w:val="-4"/>
          <w:w w:val="100"/>
          <w:sz w:val="24"/>
          <w:szCs w:val="24"/>
          <w:lang w:val="en-US" w:eastAsia="zh-CN"/>
        </w:rPr>
        <w:t>4</w:t>
      </w:r>
      <w:r>
        <w:rPr>
          <w:rFonts w:hint="default" w:ascii="Times New Roman" w:hAnsi="Times New Roman" w:eastAsia="宋体" w:cs="Times New Roman"/>
          <w:color w:val="auto"/>
          <w:spacing w:val="-4"/>
          <w:w w:val="100"/>
          <w:sz w:val="24"/>
          <w:szCs w:val="24"/>
          <w:lang w:eastAsia="zh-CN"/>
        </w:rPr>
        <w:t>）</w:t>
      </w:r>
      <w:r>
        <w:rPr>
          <w:rFonts w:hint="default" w:ascii="Times New Roman" w:hAnsi="Times New Roman" w:eastAsia="宋体" w:cs="Times New Roman"/>
          <w:color w:val="auto"/>
          <w:spacing w:val="-4"/>
          <w:w w:val="100"/>
          <w:sz w:val="24"/>
          <w:szCs w:val="24"/>
        </w:rPr>
        <w:t>建立和健全各种环境管理制度，并经常检查督促</w:t>
      </w:r>
      <w:r>
        <w:rPr>
          <w:rFonts w:hint="eastAsia" w:cs="宋体"/>
          <w:color w:val="auto"/>
          <w:spacing w:val="-4"/>
          <w:w w:val="100"/>
          <w:sz w:val="24"/>
          <w:szCs w:val="24"/>
          <w:lang w:eastAsia="zh-CN"/>
        </w:rPr>
        <w:t>；</w:t>
      </w:r>
      <w:r>
        <w:rPr>
          <w:rFonts w:hint="default" w:ascii="Times New Roman" w:hAnsi="Times New Roman" w:eastAsia="宋体" w:cs="Times New Roman"/>
          <w:color w:val="auto"/>
          <w:spacing w:val="-4"/>
          <w:w w:val="100"/>
          <w:sz w:val="24"/>
          <w:szCs w:val="24"/>
        </w:rPr>
        <w:t>建立环境管理体系</w:t>
      </w:r>
      <w:r>
        <w:rPr>
          <w:rFonts w:hint="default" w:ascii="Times New Roman" w:hAnsi="Times New Roman" w:eastAsia="宋体" w:cs="Times New Roman"/>
          <w:color w:val="auto"/>
          <w:spacing w:val="-12"/>
          <w:w w:val="100"/>
          <w:sz w:val="24"/>
          <w:szCs w:val="24"/>
        </w:rPr>
        <w:t>，制定包括能源管理、大气污染物控制、水污染物控制、固体废物管理、噪声控制</w:t>
      </w:r>
      <w:r>
        <w:rPr>
          <w:rFonts w:hint="default" w:ascii="Times New Roman" w:hAnsi="Times New Roman" w:eastAsia="宋体" w:cs="Times New Roman"/>
          <w:color w:val="auto"/>
          <w:spacing w:val="-5"/>
          <w:w w:val="100"/>
          <w:sz w:val="24"/>
          <w:szCs w:val="24"/>
        </w:rPr>
        <w:t>、环保设施管理、突发事件应急准备与响应、监测检查、记录管理、培训等环境</w:t>
      </w:r>
      <w:r>
        <w:rPr>
          <w:rFonts w:hint="default" w:ascii="Times New Roman" w:hAnsi="Times New Roman" w:eastAsia="宋体" w:cs="Times New Roman"/>
          <w:color w:val="auto"/>
          <w:spacing w:val="-2"/>
          <w:w w:val="100"/>
          <w:sz w:val="24"/>
          <w:szCs w:val="24"/>
        </w:rPr>
        <w:t>管理手册、环境管理程序文件以及相应的三级档</w:t>
      </w:r>
      <w:r>
        <w:rPr>
          <w:rFonts w:hint="eastAsia" w:cs="宋体"/>
          <w:color w:val="auto"/>
          <w:spacing w:val="-2"/>
          <w:w w:val="100"/>
          <w:sz w:val="24"/>
          <w:szCs w:val="24"/>
          <w:lang w:eastAsia="zh-CN"/>
        </w:rPr>
        <w:t>；</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80" w:firstLineChars="200"/>
        <w:jc w:val="left"/>
        <w:rPr>
          <w:rFonts w:hint="default" w:ascii="Times New Roman" w:hAnsi="Times New Roman" w:eastAsia="宋体" w:cs="Times New Roman"/>
          <w:color w:val="auto"/>
          <w:spacing w:val="-2"/>
          <w:w w:val="100"/>
          <w:sz w:val="24"/>
          <w:szCs w:val="24"/>
        </w:rPr>
      </w:pP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lang w:val="en-US" w:eastAsia="zh-CN"/>
        </w:rPr>
        <w:t>5</w:t>
      </w:r>
      <w:r>
        <w:rPr>
          <w:rFonts w:hint="default" w:ascii="Times New Roman" w:hAnsi="Times New Roman" w:eastAsia="宋体" w:cs="Times New Roman"/>
          <w:color w:val="auto"/>
          <w:w w:val="100"/>
          <w:sz w:val="24"/>
          <w:szCs w:val="24"/>
          <w:lang w:eastAsia="zh-CN"/>
        </w:rPr>
        <w:t>）</w:t>
      </w:r>
      <w:r>
        <w:rPr>
          <w:rFonts w:hint="default" w:ascii="Times New Roman" w:hAnsi="Times New Roman" w:eastAsia="宋体" w:cs="Times New Roman"/>
          <w:color w:val="auto"/>
          <w:w w:val="100"/>
          <w:sz w:val="24"/>
          <w:szCs w:val="24"/>
        </w:rPr>
        <w:t>建立环境污染突发事故分类档案和应急预案及处理制度</w:t>
      </w:r>
      <w:r>
        <w:rPr>
          <w:rFonts w:hint="eastAsia" w:cs="宋体"/>
          <w:color w:val="auto"/>
          <w:w w:val="100"/>
          <w:sz w:val="24"/>
          <w:szCs w:val="24"/>
          <w:lang w:eastAsia="zh-CN"/>
        </w:rPr>
        <w:t>；</w:t>
      </w:r>
      <w:r>
        <w:rPr>
          <w:rFonts w:hint="default" w:ascii="Times New Roman" w:hAnsi="Times New Roman" w:eastAsia="宋体" w:cs="Times New Roman"/>
          <w:color w:val="auto"/>
          <w:w w:val="100"/>
          <w:sz w:val="24"/>
          <w:szCs w:val="24"/>
        </w:rPr>
        <w:t>制定污染事</w:t>
      </w:r>
      <w:r>
        <w:rPr>
          <w:rFonts w:hint="default" w:ascii="Times New Roman" w:hAnsi="Times New Roman" w:eastAsia="宋体" w:cs="Times New Roman"/>
          <w:color w:val="auto"/>
          <w:spacing w:val="-6"/>
          <w:w w:val="100"/>
          <w:sz w:val="24"/>
          <w:szCs w:val="24"/>
        </w:rPr>
        <w:t>故发生的预防措施、应急计划和事故发生的纠正措施，逐项落实，并对采取的纠</w:t>
      </w:r>
      <w:r>
        <w:rPr>
          <w:rFonts w:hint="default" w:ascii="Times New Roman" w:hAnsi="Times New Roman" w:eastAsia="宋体" w:cs="Times New Roman"/>
          <w:color w:val="auto"/>
          <w:spacing w:val="-2"/>
          <w:w w:val="100"/>
          <w:sz w:val="24"/>
          <w:szCs w:val="24"/>
        </w:rPr>
        <w:t>正措施进行跟踪和评审，杜绝事故发生。</w:t>
      </w:r>
    </w:p>
    <w:p>
      <w:pPr>
        <w:pStyle w:val="228"/>
        <w:keepNext w:val="0"/>
        <w:keepLines w:val="0"/>
        <w:pageBreakBefore w:val="0"/>
        <w:numPr>
          <w:ilvl w:val="0"/>
          <w:numId w:val="0"/>
        </w:numPr>
        <w:tabs>
          <w:tab w:val="left" w:pos="1423"/>
        </w:tabs>
        <w:kinsoku/>
        <w:wordWrap/>
        <w:bidi w:val="0"/>
        <w:adjustRightInd/>
        <w:snapToGrid/>
        <w:spacing w:line="360" w:lineRule="auto"/>
        <w:ind w:right="0" w:rightChars="0" w:firstLine="472" w:firstLineChars="200"/>
        <w:jc w:val="left"/>
        <w:rPr>
          <w:rFonts w:hint="default" w:ascii="Times New Roman" w:hAnsi="Times New Roman" w:eastAsia="宋体" w:cs="Times New Roman"/>
          <w:color w:val="auto"/>
          <w:spacing w:val="-2"/>
          <w:w w:val="100"/>
          <w:sz w:val="24"/>
          <w:szCs w:val="24"/>
        </w:rPr>
      </w:pPr>
      <w:r>
        <w:rPr>
          <w:rFonts w:hint="default" w:ascii="Times New Roman" w:hAnsi="Times New Roman" w:eastAsia="宋体" w:cs="Times New Roman"/>
          <w:color w:val="auto"/>
          <w:spacing w:val="-2"/>
          <w:w w:val="100"/>
          <w:sz w:val="24"/>
          <w:szCs w:val="24"/>
          <w:lang w:eastAsia="zh-CN"/>
        </w:rPr>
        <w:t>（</w:t>
      </w:r>
      <w:r>
        <w:rPr>
          <w:rFonts w:hint="default" w:ascii="Times New Roman" w:hAnsi="Times New Roman" w:eastAsia="宋体" w:cs="Times New Roman"/>
          <w:color w:val="auto"/>
          <w:spacing w:val="-2"/>
          <w:w w:val="100"/>
          <w:sz w:val="24"/>
          <w:szCs w:val="24"/>
          <w:lang w:val="en-US" w:eastAsia="zh-CN"/>
        </w:rPr>
        <w:t>6</w:t>
      </w:r>
      <w:r>
        <w:rPr>
          <w:rFonts w:hint="default" w:ascii="Times New Roman" w:hAnsi="Times New Roman" w:eastAsia="宋体" w:cs="Times New Roman"/>
          <w:color w:val="auto"/>
          <w:spacing w:val="-2"/>
          <w:w w:val="100"/>
          <w:sz w:val="24"/>
          <w:szCs w:val="24"/>
          <w:lang w:eastAsia="zh-CN"/>
        </w:rPr>
        <w:t>）</w:t>
      </w:r>
      <w:r>
        <w:rPr>
          <w:rFonts w:hint="default" w:ascii="Times New Roman" w:hAnsi="Times New Roman" w:eastAsia="宋体" w:cs="Times New Roman"/>
          <w:color w:val="auto"/>
          <w:spacing w:val="-2"/>
          <w:w w:val="100"/>
          <w:sz w:val="24"/>
          <w:szCs w:val="24"/>
          <w:lang w:val="en-US" w:eastAsia="zh-CN"/>
        </w:rPr>
        <w:t>落实</w:t>
      </w:r>
      <w:r>
        <w:rPr>
          <w:rFonts w:hint="default" w:ascii="Times New Roman" w:hAnsi="Times New Roman" w:eastAsia="宋体" w:cs="Times New Roman"/>
          <w:color w:val="auto"/>
          <w:spacing w:val="-2"/>
          <w:w w:val="100"/>
          <w:sz w:val="24"/>
          <w:szCs w:val="24"/>
        </w:rPr>
        <w:t>危险废物转移联单</w:t>
      </w:r>
      <w:r>
        <w:rPr>
          <w:rFonts w:hint="default" w:ascii="Times New Roman" w:hAnsi="Times New Roman" w:eastAsia="宋体" w:cs="Times New Roman"/>
          <w:color w:val="auto"/>
          <w:spacing w:val="-2"/>
          <w:w w:val="100"/>
          <w:sz w:val="24"/>
          <w:szCs w:val="24"/>
          <w:lang w:val="en-US" w:eastAsia="zh-CN"/>
        </w:rPr>
        <w:t>制度，转移危险废物过程，须按照国家有关规定填写危险废物转移联单，并向危险废物移出地设区的市级以上地方人民政府环境保护行政主管部门提出申请。运输危险废物，必须采取防止污染环境的措施，并遵守国家有关危险货物运输管理的规定。</w:t>
      </w:r>
    </w:p>
    <w:p>
      <w:pPr>
        <w:pStyle w:val="4"/>
        <w:pageBreakBefore w:val="0"/>
        <w:widowControl w:val="0"/>
        <w:numPr>
          <w:ilvl w:val="1"/>
          <w:numId w:val="0"/>
        </w:numPr>
        <w:kinsoku/>
        <w:wordWrap/>
        <w:overflowPunct/>
        <w:topLinePunct w:val="0"/>
        <w:autoSpaceDE/>
        <w:autoSpaceDN/>
        <w:bidi w:val="0"/>
        <w:adjustRightInd/>
        <w:snapToGrid/>
        <w:spacing w:before="0" w:after="0" w:line="360" w:lineRule="auto"/>
        <w:ind w:left="0" w:leftChars="0" w:right="0" w:rightChars="0"/>
        <w:textAlignment w:val="auto"/>
        <w:rPr>
          <w:rFonts w:hint="default" w:eastAsia="宋体"/>
          <w:bCs w:val="0"/>
          <w:color w:val="auto"/>
          <w:szCs w:val="28"/>
          <w:lang w:val="en-US" w:eastAsia="zh-CN"/>
        </w:rPr>
      </w:pPr>
      <w:bookmarkStart w:id="115" w:name="_Toc177"/>
      <w:r>
        <w:rPr>
          <w:rFonts w:hint="eastAsia"/>
          <w:bCs w:val="0"/>
          <w:color w:val="auto"/>
          <w:szCs w:val="28"/>
          <w:lang w:val="en-US" w:eastAsia="zh-CN"/>
        </w:rPr>
        <w:t>9</w:t>
      </w:r>
      <w:r>
        <w:rPr>
          <w:rFonts w:hint="eastAsia" w:eastAsia="宋体"/>
          <w:bCs w:val="0"/>
          <w:color w:val="auto"/>
          <w:szCs w:val="28"/>
          <w:lang w:val="en-US" w:eastAsia="zh-CN"/>
        </w:rPr>
        <w:t>.2排污许可管理</w:t>
      </w:r>
      <w:bookmarkEnd w:id="115"/>
    </w:p>
    <w:p>
      <w:pPr>
        <w:pStyle w:val="43"/>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2"/>
          <w:w w:val="100"/>
          <w:sz w:val="24"/>
          <w:szCs w:val="24"/>
          <w:lang w:val="en-US" w:eastAsia="zh-CN"/>
        </w:rPr>
      </w:pPr>
      <w:r>
        <w:rPr>
          <w:rFonts w:hint="default" w:ascii="Times New Roman" w:hAnsi="Times New Roman" w:eastAsia="宋体" w:cs="Times New Roman"/>
          <w:color w:val="auto"/>
          <w:sz w:val="24"/>
          <w:szCs w:val="24"/>
          <w:u w:val="none"/>
          <w:shd w:val="clear" w:color="auto" w:fill="FFFFFF"/>
          <w:lang w:val="en-US" w:eastAsia="zh-CN"/>
        </w:rPr>
        <w:t>根据</w:t>
      </w:r>
      <w:r>
        <w:rPr>
          <w:rFonts w:hint="default" w:ascii="Times New Roman" w:hAnsi="Times New Roman" w:eastAsia="宋体" w:cs="Times New Roman"/>
          <w:color w:val="auto"/>
          <w:sz w:val="24"/>
          <w:szCs w:val="24"/>
          <w:u w:val="none"/>
          <w:shd w:val="clear" w:color="auto" w:fill="FFFFFF"/>
        </w:rPr>
        <w:t>《排污许可管理办法（试行）》</w:t>
      </w:r>
      <w:r>
        <w:rPr>
          <w:rFonts w:hint="default" w:ascii="Times New Roman" w:hAnsi="Times New Roman" w:eastAsia="宋体" w:cs="Times New Roman"/>
          <w:color w:val="auto"/>
          <w:sz w:val="24"/>
          <w:szCs w:val="24"/>
          <w:u w:val="none"/>
          <w:shd w:val="clear" w:color="auto" w:fill="FFFFFF"/>
          <w:lang w:eastAsia="zh-CN"/>
        </w:rPr>
        <w:t>，</w:t>
      </w:r>
      <w:r>
        <w:rPr>
          <w:rFonts w:hint="default" w:ascii="Times New Roman" w:hAnsi="Times New Roman" w:eastAsia="宋体" w:cs="Times New Roman"/>
          <w:color w:val="auto"/>
          <w:sz w:val="24"/>
          <w:szCs w:val="24"/>
          <w:u w:val="none"/>
          <w:shd w:val="clear" w:color="auto" w:fill="FFFFFF"/>
        </w:rPr>
        <w:t>纳入固定污染源排污许可分类管理名录的企业事业单位和其他生产经营者（以下简称排污单位）应当按照规定的时限申请并取得排污许可证</w:t>
      </w:r>
      <w:r>
        <w:rPr>
          <w:rFonts w:hint="eastAsia" w:ascii="Times New Roman" w:hAnsi="Times New Roman" w:cs="宋体"/>
          <w:color w:val="auto"/>
          <w:sz w:val="24"/>
          <w:szCs w:val="24"/>
          <w:u w:val="none"/>
          <w:shd w:val="clear" w:color="auto" w:fill="FFFFFF"/>
          <w:lang w:eastAsia="zh-CN"/>
        </w:rPr>
        <w:t>；</w:t>
      </w:r>
      <w:r>
        <w:rPr>
          <w:rFonts w:hint="default" w:ascii="Times New Roman" w:hAnsi="Times New Roman" w:eastAsia="宋体" w:cs="Times New Roman"/>
          <w:color w:val="auto"/>
          <w:sz w:val="24"/>
          <w:szCs w:val="24"/>
          <w:u w:val="none"/>
          <w:shd w:val="clear" w:color="auto" w:fill="FFFFFF"/>
        </w:rPr>
        <w:t>未纳入固定污染源排污许可分类管理名录的排污单位，暂不需申请排污许可证。</w:t>
      </w:r>
      <w:r>
        <w:rPr>
          <w:rFonts w:hint="default" w:ascii="Times New Roman" w:hAnsi="Times New Roman" w:eastAsia="宋体" w:cs="Times New Roman"/>
          <w:color w:val="auto"/>
          <w:sz w:val="24"/>
          <w:szCs w:val="24"/>
          <w:u w:val="none"/>
          <w:shd w:val="clear" w:color="auto" w:fill="FFFFFF"/>
          <w:lang w:val="en-US" w:eastAsia="zh-CN"/>
        </w:rPr>
        <w:t>依照</w:t>
      </w:r>
      <w:r>
        <w:rPr>
          <w:rFonts w:hint="default" w:ascii="Times New Roman" w:hAnsi="Times New Roman" w:eastAsia="宋体" w:cs="Times New Roman"/>
          <w:color w:val="auto"/>
          <w:sz w:val="24"/>
          <w:szCs w:val="24"/>
          <w:u w:val="none"/>
          <w:shd w:val="clear" w:color="auto" w:fill="FFFFFF"/>
        </w:rPr>
        <w:t>固定污染源排污许可分类管理名录（201</w:t>
      </w:r>
      <w:r>
        <w:rPr>
          <w:rFonts w:hint="default" w:ascii="Times New Roman" w:hAnsi="Times New Roman" w:eastAsia="宋体" w:cs="Times New Roman"/>
          <w:color w:val="auto"/>
          <w:sz w:val="24"/>
          <w:szCs w:val="24"/>
          <w:u w:val="none"/>
          <w:shd w:val="clear" w:color="auto" w:fill="FFFFFF"/>
          <w:lang w:val="en-US" w:eastAsia="zh-CN"/>
        </w:rPr>
        <w:t>9</w:t>
      </w:r>
      <w:r>
        <w:rPr>
          <w:rFonts w:hint="default" w:ascii="Times New Roman" w:hAnsi="Times New Roman" w:eastAsia="宋体" w:cs="Times New Roman"/>
          <w:color w:val="auto"/>
          <w:sz w:val="24"/>
          <w:szCs w:val="24"/>
          <w:u w:val="none"/>
          <w:shd w:val="clear" w:color="auto" w:fill="FFFFFF"/>
        </w:rPr>
        <w:t>年版）</w:t>
      </w:r>
      <w:r>
        <w:rPr>
          <w:rFonts w:hint="default" w:ascii="Times New Roman" w:hAnsi="Times New Roman" w:eastAsia="宋体" w:cs="Times New Roman"/>
          <w:color w:val="auto"/>
          <w:sz w:val="24"/>
          <w:szCs w:val="24"/>
          <w:u w:val="none"/>
          <w:shd w:val="clear" w:color="auto" w:fill="FFFFFF"/>
          <w:lang w:eastAsia="zh-CN"/>
        </w:rPr>
        <w:t>，</w:t>
      </w:r>
      <w:r>
        <w:rPr>
          <w:rFonts w:hint="eastAsia" w:ascii="Times New Roman" w:hAnsi="Times New Roman" w:cs="Times New Roman"/>
          <w:color w:val="auto"/>
          <w:sz w:val="24"/>
          <w:szCs w:val="24"/>
          <w:u w:val="none"/>
          <w:shd w:val="clear" w:color="auto" w:fill="FFFFFF"/>
          <w:lang w:eastAsia="zh-CN"/>
        </w:rPr>
        <w:t>本项目属于“四十九、卫生、</w:t>
      </w:r>
      <w:r>
        <w:rPr>
          <w:rFonts w:hint="eastAsia" w:ascii="Times New Roman" w:hAnsi="Times New Roman" w:cs="Times New Roman"/>
          <w:color w:val="auto"/>
          <w:sz w:val="24"/>
          <w:szCs w:val="24"/>
          <w:u w:val="none"/>
          <w:shd w:val="clear" w:color="auto" w:fill="FFFFFF"/>
          <w:lang w:val="en-US" w:eastAsia="zh-CN"/>
        </w:rPr>
        <w:t>107医院841、床位500张及以上的</w:t>
      </w:r>
      <w:r>
        <w:rPr>
          <w:rFonts w:hint="eastAsia" w:ascii="Times New Roman" w:hAnsi="Times New Roman" w:cs="Times New Roman"/>
          <w:color w:val="auto"/>
          <w:sz w:val="24"/>
          <w:szCs w:val="24"/>
          <w:u w:val="none"/>
          <w:shd w:val="clear" w:color="auto" w:fill="FFFFFF"/>
          <w:lang w:eastAsia="zh-CN"/>
        </w:rPr>
        <w:t>”</w:t>
      </w:r>
      <w:r>
        <w:rPr>
          <w:rFonts w:hint="default" w:ascii="Times New Roman" w:hAnsi="Times New Roman" w:eastAsia="宋体" w:cs="Times New Roman"/>
          <w:color w:val="auto"/>
          <w:kern w:val="0"/>
          <w:sz w:val="24"/>
          <w:szCs w:val="24"/>
          <w:lang w:eastAsia="zh-CN"/>
        </w:rPr>
        <w:t>，</w:t>
      </w:r>
      <w:r>
        <w:rPr>
          <w:rFonts w:hint="eastAsia" w:ascii="Times New Roman" w:hAnsi="Times New Roman" w:cs="Times New Roman"/>
          <w:color w:val="auto"/>
          <w:kern w:val="0"/>
          <w:sz w:val="24"/>
          <w:szCs w:val="24"/>
          <w:lang w:eastAsia="zh-CN"/>
        </w:rPr>
        <w:t>为重点管理行业，</w:t>
      </w:r>
      <w:r>
        <w:rPr>
          <w:rFonts w:hint="default" w:ascii="Times New Roman" w:hAnsi="Times New Roman" w:eastAsia="宋体" w:cs="Times New Roman"/>
          <w:color w:val="auto"/>
          <w:sz w:val="24"/>
          <w:szCs w:val="24"/>
          <w:u w:val="none"/>
          <w:shd w:val="clear" w:color="auto" w:fill="FFFFFF"/>
          <w:lang w:val="en-US" w:eastAsia="zh-CN"/>
        </w:rPr>
        <w:t>需申领排污许可证。环评要求</w:t>
      </w:r>
      <w:r>
        <w:rPr>
          <w:rFonts w:hint="eastAsia" w:ascii="Times New Roman" w:hAnsi="Times New Roman" w:cs="Times New Roman"/>
          <w:color w:val="auto"/>
          <w:sz w:val="24"/>
          <w:szCs w:val="24"/>
          <w:u w:val="none"/>
          <w:shd w:val="clear" w:color="auto" w:fill="FFFFFF"/>
          <w:lang w:val="en-US" w:eastAsia="zh-CN"/>
        </w:rPr>
        <w:t>建设单位</w:t>
      </w:r>
      <w:r>
        <w:rPr>
          <w:rFonts w:hint="default" w:ascii="Times New Roman" w:hAnsi="Times New Roman" w:eastAsia="宋体" w:cs="Times New Roman"/>
          <w:color w:val="auto"/>
          <w:sz w:val="24"/>
          <w:szCs w:val="24"/>
          <w:u w:val="none"/>
          <w:shd w:val="clear" w:color="auto" w:fill="FFFFFF"/>
          <w:lang w:val="en-US" w:eastAsia="zh-CN"/>
        </w:rPr>
        <w:t>应当在发生实际排污之前申请取得排污许可证。实行排污许可</w:t>
      </w:r>
      <w:r>
        <w:rPr>
          <w:rFonts w:hint="eastAsia" w:ascii="Times New Roman" w:hAnsi="Times New Roman" w:cs="Times New Roman"/>
          <w:color w:val="auto"/>
          <w:sz w:val="24"/>
          <w:szCs w:val="24"/>
          <w:u w:val="none"/>
          <w:shd w:val="clear" w:color="auto" w:fill="FFFFFF"/>
          <w:lang w:val="en-US" w:eastAsia="zh-CN"/>
        </w:rPr>
        <w:t>重点</w:t>
      </w:r>
      <w:r>
        <w:rPr>
          <w:rFonts w:hint="default" w:ascii="Times New Roman" w:hAnsi="Times New Roman" w:eastAsia="宋体" w:cs="Times New Roman"/>
          <w:color w:val="auto"/>
          <w:sz w:val="24"/>
          <w:szCs w:val="24"/>
          <w:u w:val="none"/>
          <w:shd w:val="clear" w:color="auto" w:fill="FFFFFF"/>
          <w:lang w:val="en-US" w:eastAsia="zh-CN"/>
        </w:rPr>
        <w:t>管理的内容及要求，依照排污许可证申请与核发技术规范、环境管理台账及排污许可证执行报告技术规范、排污单位自行监测技术指南、污染防治可行技术指南以及其他排污许可政策、标准和规范执行。</w:t>
      </w:r>
    </w:p>
    <w:p>
      <w:pPr>
        <w:pStyle w:val="4"/>
        <w:pageBreakBefore w:val="0"/>
        <w:widowControl w:val="0"/>
        <w:numPr>
          <w:ilvl w:val="1"/>
          <w:numId w:val="0"/>
        </w:numPr>
        <w:kinsoku/>
        <w:wordWrap/>
        <w:overflowPunct/>
        <w:topLinePunct w:val="0"/>
        <w:autoSpaceDE/>
        <w:autoSpaceDN/>
        <w:bidi w:val="0"/>
        <w:adjustRightInd/>
        <w:snapToGrid/>
        <w:spacing w:after="0" w:line="480" w:lineRule="exact"/>
        <w:ind w:left="30" w:leftChars="0" w:right="0" w:rightChars="0"/>
        <w:textAlignment w:val="auto"/>
        <w:rPr>
          <w:bCs w:val="0"/>
          <w:color w:val="auto"/>
          <w:szCs w:val="28"/>
        </w:rPr>
      </w:pPr>
      <w:bookmarkStart w:id="116" w:name="_Toc2500"/>
      <w:r>
        <w:rPr>
          <w:rFonts w:hint="eastAsia"/>
          <w:bCs w:val="0"/>
          <w:color w:val="auto"/>
          <w:szCs w:val="28"/>
          <w:lang w:val="en-US" w:eastAsia="zh-CN"/>
        </w:rPr>
        <w:t>9</w:t>
      </w:r>
      <w:r>
        <w:rPr>
          <w:rFonts w:hint="eastAsia" w:eastAsia="宋体"/>
          <w:bCs w:val="0"/>
          <w:color w:val="auto"/>
          <w:szCs w:val="28"/>
          <w:lang w:val="en-US" w:eastAsia="zh-CN"/>
        </w:rPr>
        <w:t>.3</w:t>
      </w:r>
      <w:r>
        <w:rPr>
          <w:bCs w:val="0"/>
          <w:color w:val="auto"/>
          <w:szCs w:val="28"/>
        </w:rPr>
        <w:t>环境</w:t>
      </w:r>
      <w:r>
        <w:rPr>
          <w:rFonts w:hint="eastAsia"/>
          <w:bCs w:val="0"/>
          <w:color w:val="auto"/>
          <w:szCs w:val="28"/>
        </w:rPr>
        <w:t>监测计划</w:t>
      </w:r>
      <w:bookmarkEnd w:id="116"/>
    </w:p>
    <w:p>
      <w:pPr>
        <w:pStyle w:val="5"/>
        <w:pageBreakBefore w:val="0"/>
        <w:widowControl w:val="0"/>
        <w:numPr>
          <w:ilvl w:val="2"/>
          <w:numId w:val="0"/>
        </w:numPr>
        <w:kinsoku/>
        <w:wordWrap/>
        <w:overflowPunct/>
        <w:topLinePunct w:val="0"/>
        <w:autoSpaceDE/>
        <w:autoSpaceDN/>
        <w:bidi w:val="0"/>
        <w:adjustRightInd/>
        <w:snapToGrid/>
        <w:spacing w:before="120" w:line="480" w:lineRule="exact"/>
        <w:ind w:leftChars="0" w:right="0" w:rightChars="0"/>
        <w:textAlignment w:val="auto"/>
        <w:rPr>
          <w:color w:val="auto"/>
        </w:rPr>
      </w:pPr>
      <w:r>
        <w:rPr>
          <w:rFonts w:hint="eastAsia"/>
          <w:color w:val="auto"/>
          <w:lang w:val="en-US" w:eastAsia="zh-CN"/>
        </w:rPr>
        <w:t>9</w:t>
      </w:r>
      <w:r>
        <w:rPr>
          <w:rFonts w:hint="eastAsia" w:eastAsia="宋体"/>
          <w:color w:val="auto"/>
          <w:lang w:val="en-US" w:eastAsia="zh-CN"/>
        </w:rPr>
        <w:t>.3.1</w:t>
      </w:r>
      <w:r>
        <w:rPr>
          <w:rFonts w:hint="eastAsia"/>
          <w:color w:val="auto"/>
          <w:sz w:val="24"/>
          <w:szCs w:val="24"/>
          <w:lang w:val="en-US" w:eastAsia="zh-CN"/>
        </w:rPr>
        <w:t>环境监测制度</w:t>
      </w:r>
    </w:p>
    <w:p>
      <w:pPr>
        <w:spacing w:line="480" w:lineRule="exact"/>
        <w:ind w:firstLine="480" w:firstLineChars="200"/>
        <w:rPr>
          <w:rFonts w:hint="eastAsia"/>
          <w:color w:val="auto"/>
          <w:sz w:val="24"/>
          <w:szCs w:val="24"/>
          <w:lang w:val="en-US" w:eastAsia="zh-CN"/>
        </w:rPr>
      </w:pPr>
      <w:r>
        <w:rPr>
          <w:rFonts w:hint="eastAsia"/>
          <w:color w:val="auto"/>
          <w:sz w:val="24"/>
          <w:szCs w:val="24"/>
          <w:lang w:val="en-US" w:eastAsia="zh-CN"/>
        </w:rPr>
        <w:t>企业应该落实环境监测制度，确保</w:t>
      </w:r>
      <w:r>
        <w:rPr>
          <w:bCs/>
          <w:color w:val="auto"/>
          <w:szCs w:val="28"/>
        </w:rPr>
        <w:t>环境</w:t>
      </w:r>
      <w:r>
        <w:rPr>
          <w:rFonts w:hint="eastAsia"/>
          <w:bCs/>
          <w:color w:val="auto"/>
          <w:szCs w:val="28"/>
        </w:rPr>
        <w:t>监测计划</w:t>
      </w:r>
      <w:r>
        <w:rPr>
          <w:rFonts w:hint="eastAsia"/>
          <w:bCs/>
          <w:color w:val="auto"/>
          <w:szCs w:val="28"/>
          <w:lang w:val="en-US" w:eastAsia="zh-CN"/>
        </w:rPr>
        <w:t>按制度执行</w:t>
      </w:r>
      <w:r>
        <w:rPr>
          <w:rFonts w:hint="eastAsia"/>
          <w:color w:val="auto"/>
          <w:sz w:val="24"/>
          <w:szCs w:val="24"/>
          <w:lang w:val="en-US" w:eastAsia="zh-CN"/>
        </w:rPr>
        <w:t>：（1）制定环境监测计划</w:t>
      </w:r>
      <w:r>
        <w:rPr>
          <w:rFonts w:hint="eastAsia" w:cs="宋体"/>
          <w:color w:val="auto"/>
          <w:sz w:val="24"/>
          <w:szCs w:val="24"/>
          <w:lang w:val="en-US" w:eastAsia="zh-CN"/>
        </w:rPr>
        <w:t>；</w:t>
      </w:r>
      <w:r>
        <w:rPr>
          <w:rFonts w:hint="eastAsia"/>
          <w:color w:val="auto"/>
          <w:sz w:val="24"/>
          <w:szCs w:val="24"/>
          <w:lang w:val="en-US" w:eastAsia="zh-CN"/>
        </w:rPr>
        <w:t>（2）设立专人定期组织监测，联系有资质的检测单位对废水、废气、噪声进行监测</w:t>
      </w:r>
      <w:r>
        <w:rPr>
          <w:rFonts w:hint="eastAsia" w:cs="宋体"/>
          <w:color w:val="auto"/>
          <w:sz w:val="24"/>
          <w:szCs w:val="24"/>
          <w:lang w:val="en-US" w:eastAsia="zh-CN"/>
        </w:rPr>
        <w:t>；</w:t>
      </w:r>
      <w:r>
        <w:rPr>
          <w:rFonts w:hint="eastAsia"/>
          <w:color w:val="auto"/>
          <w:sz w:val="24"/>
          <w:szCs w:val="24"/>
          <w:lang w:val="en-US" w:eastAsia="zh-CN"/>
        </w:rPr>
        <w:t>（3）财务部门协助环境监测费用及时到位</w:t>
      </w:r>
      <w:r>
        <w:rPr>
          <w:rFonts w:hint="eastAsia" w:cs="宋体"/>
          <w:color w:val="auto"/>
          <w:sz w:val="24"/>
          <w:szCs w:val="24"/>
          <w:lang w:val="en-US" w:eastAsia="zh-CN"/>
        </w:rPr>
        <w:t>；</w:t>
      </w:r>
      <w:r>
        <w:rPr>
          <w:rFonts w:hint="eastAsia"/>
          <w:color w:val="auto"/>
          <w:sz w:val="24"/>
          <w:szCs w:val="24"/>
          <w:lang w:val="en-US" w:eastAsia="zh-CN"/>
        </w:rPr>
        <w:t>（4）环境监测报告存档</w:t>
      </w:r>
      <w:r>
        <w:rPr>
          <w:rFonts w:hint="eastAsia" w:cs="宋体"/>
          <w:color w:val="auto"/>
          <w:sz w:val="24"/>
          <w:szCs w:val="24"/>
          <w:lang w:val="en-US" w:eastAsia="zh-CN"/>
        </w:rPr>
        <w:t>；</w:t>
      </w:r>
      <w:r>
        <w:rPr>
          <w:rFonts w:hint="eastAsia"/>
          <w:color w:val="auto"/>
          <w:sz w:val="24"/>
          <w:szCs w:val="24"/>
          <w:lang w:val="en-US" w:eastAsia="zh-CN"/>
        </w:rPr>
        <w:t>（5）监测超标应及时上报环境主管部门，并排查超标原因，及时解决。</w:t>
      </w:r>
    </w:p>
    <w:p>
      <w:pPr>
        <w:pStyle w:val="5"/>
        <w:pageBreakBefore w:val="0"/>
        <w:widowControl w:val="0"/>
        <w:numPr>
          <w:ilvl w:val="2"/>
          <w:numId w:val="0"/>
        </w:numPr>
        <w:kinsoku/>
        <w:wordWrap/>
        <w:overflowPunct/>
        <w:topLinePunct w:val="0"/>
        <w:autoSpaceDE/>
        <w:autoSpaceDN/>
        <w:bidi w:val="0"/>
        <w:adjustRightInd/>
        <w:snapToGrid/>
        <w:spacing w:before="0" w:beforeLines="0" w:line="360" w:lineRule="auto"/>
        <w:ind w:leftChars="0" w:right="0" w:rightChars="0"/>
        <w:textAlignment w:val="auto"/>
        <w:rPr>
          <w:color w:val="auto"/>
        </w:rPr>
      </w:pPr>
      <w:r>
        <w:rPr>
          <w:rFonts w:hint="eastAsia"/>
          <w:color w:val="auto"/>
          <w:lang w:val="en-US" w:eastAsia="zh-CN"/>
        </w:rPr>
        <w:t>9</w:t>
      </w:r>
      <w:r>
        <w:rPr>
          <w:rFonts w:hint="eastAsia" w:eastAsia="宋体"/>
          <w:color w:val="auto"/>
          <w:lang w:val="en-US" w:eastAsia="zh-CN"/>
        </w:rPr>
        <w:t>.3.2</w:t>
      </w:r>
      <w:r>
        <w:rPr>
          <w:rFonts w:hint="eastAsia"/>
          <w:color w:val="auto"/>
        </w:rPr>
        <w:t>监测计划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本项目环境监测参照《</w:t>
      </w:r>
      <w:r>
        <w:rPr>
          <w:rFonts w:hint="eastAsia"/>
          <w:color w:val="auto"/>
          <w:sz w:val="24"/>
          <w:szCs w:val="24"/>
          <w:lang w:eastAsia="zh-CN"/>
        </w:rPr>
        <w:t>排污单位自行监测技术指南</w:t>
      </w:r>
      <w:r>
        <w:rPr>
          <w:rFonts w:hint="eastAsia"/>
          <w:color w:val="auto"/>
          <w:sz w:val="24"/>
          <w:szCs w:val="24"/>
          <w:lang w:val="en-US" w:eastAsia="zh-CN"/>
        </w:rPr>
        <w:t xml:space="preserve"> </w:t>
      </w:r>
      <w:r>
        <w:rPr>
          <w:rFonts w:hint="eastAsia"/>
          <w:color w:val="auto"/>
          <w:sz w:val="24"/>
          <w:szCs w:val="24"/>
          <w:lang w:eastAsia="zh-CN"/>
        </w:rPr>
        <w:t>总则</w:t>
      </w:r>
      <w:r>
        <w:rPr>
          <w:rFonts w:hint="eastAsia"/>
          <w:color w:val="auto"/>
          <w:sz w:val="24"/>
          <w:szCs w:val="24"/>
          <w:lang w:val="en-US" w:eastAsia="zh-CN"/>
        </w:rPr>
        <w:t>》（HJ819-2017）、《排污许可证申请与核发技术规范 锅炉》（HJ953 -2018）以及《排污许可证申请与核发技术规范 医疗机构》（HJ1105-2020）执行。</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8" w:firstLineChars="200"/>
        <w:textAlignment w:val="auto"/>
        <w:rPr>
          <w:b/>
          <w:color w:val="auto"/>
          <w:sz w:val="21"/>
          <w:szCs w:val="21"/>
        </w:rPr>
      </w:pPr>
      <w:r>
        <w:rPr>
          <w:rFonts w:hint="eastAsia"/>
          <w:color w:val="auto"/>
          <w:spacing w:val="2"/>
        </w:rPr>
        <w:t>具</w:t>
      </w:r>
      <w:r>
        <w:rPr>
          <w:color w:val="auto"/>
          <w:spacing w:val="2"/>
        </w:rPr>
        <w:t>体监测计划见</w:t>
      </w:r>
      <w:r>
        <w:rPr>
          <w:rFonts w:hint="eastAsia"/>
          <w:color w:val="auto"/>
          <w:spacing w:val="2"/>
        </w:rPr>
        <w:t>下</w:t>
      </w:r>
      <w:r>
        <w:rPr>
          <w:color w:val="auto"/>
          <w:spacing w:val="2"/>
        </w:rPr>
        <w:t>表</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sz w:val="21"/>
          <w:szCs w:val="21"/>
        </w:rPr>
      </w:pPr>
      <w:r>
        <w:rPr>
          <w:b/>
          <w:color w:val="auto"/>
          <w:sz w:val="21"/>
          <w:szCs w:val="21"/>
        </w:rPr>
        <w:t>表</w:t>
      </w:r>
      <w:r>
        <w:rPr>
          <w:rFonts w:hint="eastAsia" w:eastAsia="宋体"/>
          <w:b/>
          <w:color w:val="auto"/>
          <w:sz w:val="21"/>
          <w:szCs w:val="21"/>
          <w:lang w:val="en-US" w:eastAsia="zh-CN"/>
        </w:rPr>
        <w:t>10</w:t>
      </w:r>
      <w:r>
        <w:rPr>
          <w:rFonts w:hint="eastAsia"/>
          <w:b/>
          <w:color w:val="auto"/>
          <w:sz w:val="21"/>
          <w:szCs w:val="21"/>
        </w:rPr>
        <w:t>.</w:t>
      </w:r>
      <w:r>
        <w:rPr>
          <w:rFonts w:hint="eastAsia" w:eastAsia="宋体"/>
          <w:b/>
          <w:color w:val="auto"/>
          <w:sz w:val="21"/>
          <w:szCs w:val="21"/>
          <w:lang w:val="en-US" w:eastAsia="zh-CN"/>
        </w:rPr>
        <w:t>3</w:t>
      </w:r>
      <w:r>
        <w:rPr>
          <w:rFonts w:hint="eastAsia"/>
          <w:b/>
          <w:color w:val="auto"/>
          <w:sz w:val="21"/>
          <w:szCs w:val="21"/>
        </w:rPr>
        <w:t>-1项目</w:t>
      </w:r>
      <w:r>
        <w:rPr>
          <w:rFonts w:hint="eastAsia"/>
          <w:b/>
          <w:color w:val="auto"/>
          <w:sz w:val="21"/>
          <w:szCs w:val="21"/>
          <w:lang w:val="en-US" w:eastAsia="zh-CN"/>
        </w:rPr>
        <w:t>污染源</w:t>
      </w:r>
      <w:r>
        <w:rPr>
          <w:b/>
          <w:color w:val="auto"/>
          <w:sz w:val="21"/>
          <w:szCs w:val="21"/>
        </w:rPr>
        <w:t>监测计划</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1084"/>
        <w:gridCol w:w="1883"/>
        <w:gridCol w:w="2733"/>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分类</w:t>
            </w:r>
          </w:p>
        </w:tc>
        <w:tc>
          <w:tcPr>
            <w:tcW w:w="1084"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排放形式</w:t>
            </w: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监测点位</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监测指标</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w:t>
            </w:r>
          </w:p>
        </w:tc>
        <w:tc>
          <w:tcPr>
            <w:tcW w:w="1084"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有组织</w:t>
            </w:r>
          </w:p>
        </w:tc>
        <w:tc>
          <w:tcPr>
            <w:tcW w:w="1883"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溴化锂空调（燃气空调）</w:t>
            </w:r>
            <w:r>
              <w:rPr>
                <w:rFonts w:hint="default" w:ascii="Times New Roman" w:hAnsi="Times New Roman" w:eastAsia="宋体" w:cs="Times New Roman"/>
                <w:color w:val="auto"/>
                <w:sz w:val="21"/>
                <w:szCs w:val="21"/>
                <w:vertAlign w:val="baseline"/>
                <w:lang w:val="en-US" w:eastAsia="zh-CN"/>
              </w:rPr>
              <w:t>废气排放口</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氮氧化物</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w:t>
            </w:r>
            <w:r>
              <w:rPr>
                <w:rFonts w:hint="eastAsia" w:ascii="Times New Roman" w:hAnsi="Times New Roman" w:eastAsia="宋体" w:cs="Times New Roman"/>
                <w:color w:val="auto"/>
                <w:sz w:val="21"/>
                <w:szCs w:val="21"/>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084"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83"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颗粒物、二氧化硫、烟气黑度</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w:t>
            </w:r>
            <w:r>
              <w:rPr>
                <w:rFonts w:hint="eastAsia" w:ascii="Times New Roman" w:hAnsi="Times New Roman" w:eastAsia="宋体" w:cs="Times New Roman"/>
                <w:color w:val="auto"/>
                <w:sz w:val="21"/>
                <w:szCs w:val="21"/>
                <w:vertAlign w:val="baseline"/>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084"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污水处理站废气排放口</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氨、硫化氢、臭气浓度</w:t>
            </w:r>
          </w:p>
        </w:tc>
        <w:tc>
          <w:tcPr>
            <w:tcW w:w="1876"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084"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无组织</w:t>
            </w: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污水处理站周界</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氨、硫化氢、臭气浓度、甲烷</w:t>
            </w:r>
          </w:p>
        </w:tc>
        <w:tc>
          <w:tcPr>
            <w:tcW w:w="1876"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废水</w:t>
            </w:r>
          </w:p>
        </w:tc>
        <w:tc>
          <w:tcPr>
            <w:tcW w:w="1084"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间接排放</w:t>
            </w:r>
          </w:p>
        </w:tc>
        <w:tc>
          <w:tcPr>
            <w:tcW w:w="1883" w:type="dxa"/>
            <w:vMerge w:val="restart"/>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污水总排放口</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流量</w:t>
            </w:r>
            <w:r>
              <w:rPr>
                <w:rFonts w:hint="eastAsia"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pH值</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化学需氧量</w:t>
            </w:r>
            <w:r>
              <w:rPr>
                <w:rFonts w:hint="eastAsia" w:eastAsia="宋体" w:cs="Times New Roman"/>
                <w:color w:val="auto"/>
                <w:sz w:val="21"/>
                <w:szCs w:val="21"/>
                <w:vertAlign w:val="baseline"/>
                <w:lang w:val="en-US" w:eastAsia="zh-CN"/>
              </w:rPr>
              <w:t>、氨氮</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自动监测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084"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883"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悬浮物</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084"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883"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粪大肠菌群数</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084"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883" w:type="dxa"/>
            <w:vMerge w:val="continue"/>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五日生化需氧量、动植物油</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噪声</w:t>
            </w:r>
          </w:p>
        </w:tc>
        <w:tc>
          <w:tcPr>
            <w:tcW w:w="1084"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场</w:t>
            </w:r>
            <w:r>
              <w:rPr>
                <w:rFonts w:hint="default" w:ascii="Times New Roman" w:hAnsi="Times New Roman" w:eastAsia="宋体" w:cs="Times New Roman"/>
                <w:color w:val="auto"/>
                <w:sz w:val="21"/>
                <w:szCs w:val="21"/>
                <w:vertAlign w:val="baseline"/>
                <w:lang w:val="en-US" w:eastAsia="zh-CN"/>
              </w:rPr>
              <w:t>界四周</w:t>
            </w:r>
            <w:r>
              <w:rPr>
                <w:rFonts w:hint="eastAsia" w:eastAsia="宋体" w:cs="Times New Roman"/>
                <w:color w:val="auto"/>
                <w:sz w:val="21"/>
                <w:szCs w:val="21"/>
                <w:vertAlign w:val="baseline"/>
                <w:lang w:val="en-US" w:eastAsia="zh-CN"/>
              </w:rPr>
              <w:t>，必要时增设附近的敏感度点噪声监测</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Leq(A)</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污水处理站污泥</w:t>
            </w:r>
          </w:p>
        </w:tc>
        <w:tc>
          <w:tcPr>
            <w:tcW w:w="1084"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污水处理站污泥泵井</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粪大肠菌群数、肠道</w:t>
            </w:r>
          </w:p>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致病菌、肠道病毒、结核杆菌、蛔虫卵死亡率</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每次清掏前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9"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地下水</w:t>
            </w:r>
          </w:p>
        </w:tc>
        <w:tc>
          <w:tcPr>
            <w:tcW w:w="1084"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8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项目场地下游</w:t>
            </w:r>
          </w:p>
        </w:tc>
        <w:tc>
          <w:tcPr>
            <w:tcW w:w="2733"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rPr>
              <w:t>p</w:t>
            </w:r>
            <w:r>
              <w:rPr>
                <w:rFonts w:hint="default" w:ascii="Times New Roman" w:hAnsi="Times New Roman" w:eastAsia="宋体" w:cs="Times New Roman"/>
                <w:color w:val="auto"/>
                <w:kern w:val="0"/>
                <w:sz w:val="21"/>
                <w:szCs w:val="21"/>
                <w:lang w:val="en-US" w:eastAsia="zh-CN"/>
              </w:rPr>
              <w:t>H、氨氮、硝酸盐、亚硝酸盐、挥发性酚类、氰化物、砷、汞、六价铬、总硬度、铅、镉、铁、锰、溶解性总固体、氟化物、总大肠菌群、细菌总数、K</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、Na</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、Ca</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、Mg</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、CO</w:t>
            </w:r>
            <w:r>
              <w:rPr>
                <w:rFonts w:hint="default" w:ascii="Times New Roman" w:hAnsi="Times New Roman" w:eastAsia="宋体" w:cs="Times New Roman"/>
                <w:color w:val="auto"/>
                <w:kern w:val="0"/>
                <w:sz w:val="21"/>
                <w:szCs w:val="21"/>
                <w:vertAlign w:val="subscript"/>
                <w:lang w:val="en-US" w:eastAsia="zh-CN"/>
              </w:rPr>
              <w:t>3</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、HCO</w:t>
            </w:r>
            <w:r>
              <w:rPr>
                <w:rFonts w:hint="default" w:ascii="Times New Roman" w:hAnsi="Times New Roman" w:eastAsia="宋体" w:cs="Times New Roman"/>
                <w:color w:val="auto"/>
                <w:kern w:val="0"/>
                <w:sz w:val="21"/>
                <w:szCs w:val="21"/>
                <w:vertAlign w:val="subscript"/>
                <w:lang w:val="en-US" w:eastAsia="zh-CN"/>
              </w:rPr>
              <w:t>3</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、Cl</w:t>
            </w:r>
            <w:r>
              <w:rPr>
                <w:rFonts w:hint="default" w:ascii="Times New Roman" w:hAnsi="Times New Roman" w:eastAsia="宋体" w:cs="Times New Roman"/>
                <w:color w:val="auto"/>
                <w:kern w:val="0"/>
                <w:sz w:val="21"/>
                <w:szCs w:val="21"/>
                <w:vertAlign w:val="superscript"/>
                <w:lang w:val="en-US" w:eastAsia="zh-CN"/>
              </w:rPr>
              <w:t>-</w:t>
            </w:r>
            <w:r>
              <w:rPr>
                <w:rFonts w:hint="default" w:ascii="Times New Roman" w:hAnsi="Times New Roman" w:eastAsia="宋体" w:cs="Times New Roman"/>
                <w:color w:val="auto"/>
                <w:kern w:val="0"/>
                <w:sz w:val="21"/>
                <w:szCs w:val="21"/>
                <w:lang w:val="en-US" w:eastAsia="zh-CN"/>
              </w:rPr>
              <w:t>、SO</w:t>
            </w:r>
            <w:r>
              <w:rPr>
                <w:rFonts w:hint="default" w:ascii="Times New Roman" w:hAnsi="Times New Roman" w:eastAsia="宋体" w:cs="Times New Roman"/>
                <w:color w:val="auto"/>
                <w:kern w:val="0"/>
                <w:sz w:val="21"/>
                <w:szCs w:val="21"/>
                <w:vertAlign w:val="subscript"/>
                <w:lang w:val="en-US" w:eastAsia="zh-CN"/>
              </w:rPr>
              <w:t>4</w:t>
            </w:r>
            <w:r>
              <w:rPr>
                <w:rFonts w:hint="default" w:ascii="Times New Roman" w:hAnsi="Times New Roman" w:eastAsia="宋体" w:cs="Times New Roman"/>
                <w:color w:val="auto"/>
                <w:kern w:val="0"/>
                <w:sz w:val="21"/>
                <w:szCs w:val="21"/>
                <w:vertAlign w:val="superscript"/>
                <w:lang w:val="en-US" w:eastAsia="zh-CN"/>
              </w:rPr>
              <w:t>2-</w:t>
            </w:r>
          </w:p>
        </w:tc>
        <w:tc>
          <w:tcPr>
            <w:tcW w:w="1876" w:type="dxa"/>
            <w:noWrap w:val="0"/>
            <w:vAlign w:val="center"/>
          </w:tcPr>
          <w:p>
            <w:pPr>
              <w:pStyle w:val="8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1次/</w:t>
            </w:r>
            <w:r>
              <w:rPr>
                <w:rFonts w:hint="eastAsia" w:ascii="Times New Roman" w:hAnsi="Times New Roman" w:eastAsia="宋体" w:cs="Times New Roman"/>
                <w:color w:val="auto"/>
                <w:sz w:val="21"/>
                <w:szCs w:val="21"/>
                <w:vertAlign w:val="baseline"/>
                <w:lang w:val="en-US" w:eastAsia="zh-CN"/>
              </w:rPr>
              <w:t>年</w:t>
            </w:r>
          </w:p>
        </w:tc>
      </w:tr>
    </w:tbl>
    <w:p>
      <w:pPr>
        <w:pStyle w:val="5"/>
        <w:numPr>
          <w:ilvl w:val="2"/>
          <w:numId w:val="0"/>
        </w:numPr>
        <w:spacing w:before="120"/>
        <w:ind w:leftChars="0"/>
        <w:rPr>
          <w:color w:val="auto"/>
        </w:rPr>
      </w:pPr>
      <w:r>
        <w:rPr>
          <w:rFonts w:hint="eastAsia"/>
          <w:color w:val="auto"/>
          <w:lang w:val="en-US" w:eastAsia="zh-CN"/>
        </w:rPr>
        <w:t>9</w:t>
      </w:r>
      <w:r>
        <w:rPr>
          <w:rFonts w:hint="eastAsia" w:eastAsia="宋体"/>
          <w:color w:val="auto"/>
          <w:lang w:val="en-US" w:eastAsia="zh-CN"/>
        </w:rPr>
        <w:t>.</w:t>
      </w:r>
      <w:r>
        <w:rPr>
          <w:rFonts w:hint="eastAsia"/>
          <w:color w:val="auto"/>
          <w:lang w:val="en-US" w:eastAsia="zh-CN"/>
        </w:rPr>
        <w:t>3</w:t>
      </w:r>
      <w:r>
        <w:rPr>
          <w:rFonts w:hint="eastAsia" w:eastAsia="宋体"/>
          <w:color w:val="auto"/>
          <w:lang w:val="en-US" w:eastAsia="zh-CN"/>
        </w:rPr>
        <w:t>.3</w:t>
      </w:r>
      <w:r>
        <w:rPr>
          <w:rFonts w:hint="eastAsia"/>
          <w:color w:val="auto"/>
        </w:rPr>
        <w:t>监测</w:t>
      </w:r>
      <w:r>
        <w:rPr>
          <w:color w:val="auto"/>
        </w:rPr>
        <w:t>报告制度</w:t>
      </w:r>
    </w:p>
    <w:p>
      <w:pPr>
        <w:spacing w:line="360" w:lineRule="auto"/>
        <w:ind w:firstLine="480"/>
        <w:rPr>
          <w:rFonts w:hint="eastAsia"/>
          <w:bCs/>
          <w:snapToGrid w:val="0"/>
          <w:color w:val="auto"/>
        </w:rPr>
      </w:pPr>
      <w:r>
        <w:rPr>
          <w:bCs/>
          <w:snapToGrid w:val="0"/>
          <w:color w:val="auto"/>
        </w:rPr>
        <w:t>为了解项目</w:t>
      </w:r>
      <w:r>
        <w:rPr>
          <w:rFonts w:hint="eastAsia"/>
          <w:bCs/>
          <w:snapToGrid w:val="0"/>
          <w:color w:val="auto"/>
        </w:rPr>
        <w:t>运营后</w:t>
      </w:r>
      <w:r>
        <w:rPr>
          <w:bCs/>
          <w:snapToGrid w:val="0"/>
          <w:color w:val="auto"/>
        </w:rPr>
        <w:t>对环境的实际影响及变化趋势，项目在</w:t>
      </w:r>
      <w:r>
        <w:rPr>
          <w:rFonts w:hint="eastAsia"/>
          <w:bCs/>
          <w:snapToGrid w:val="0"/>
          <w:color w:val="auto"/>
        </w:rPr>
        <w:t>运营</w:t>
      </w:r>
      <w:r>
        <w:rPr>
          <w:bCs/>
          <w:snapToGrid w:val="0"/>
          <w:color w:val="auto"/>
        </w:rPr>
        <w:t>后进行必要的环境监测工作，并建立相应的长期环境监测制度。</w:t>
      </w:r>
    </w:p>
    <w:p>
      <w:pPr>
        <w:spacing w:line="360" w:lineRule="auto"/>
        <w:ind w:firstLine="480"/>
        <w:rPr>
          <w:rFonts w:hint="eastAsia"/>
          <w:color w:val="auto"/>
        </w:rPr>
      </w:pPr>
      <w:r>
        <w:rPr>
          <w:bCs/>
          <w:snapToGrid w:val="0"/>
          <w:color w:val="auto"/>
        </w:rPr>
        <w:t>对</w:t>
      </w:r>
      <w:r>
        <w:rPr>
          <w:rFonts w:hint="eastAsia"/>
          <w:bCs/>
          <w:snapToGrid w:val="0"/>
          <w:color w:val="auto"/>
          <w:lang w:eastAsia="zh-CN"/>
        </w:rPr>
        <w:t>废</w:t>
      </w:r>
      <w:r>
        <w:rPr>
          <w:bCs/>
          <w:snapToGrid w:val="0"/>
          <w:color w:val="auto"/>
        </w:rPr>
        <w:t>水、气</w:t>
      </w:r>
      <w:r>
        <w:rPr>
          <w:rFonts w:hint="eastAsia"/>
          <w:bCs/>
          <w:snapToGrid w:val="0"/>
          <w:color w:val="auto"/>
          <w:lang w:eastAsia="zh-CN"/>
        </w:rPr>
        <w:t>、</w:t>
      </w:r>
      <w:r>
        <w:rPr>
          <w:bCs/>
          <w:snapToGrid w:val="0"/>
          <w:color w:val="auto"/>
        </w:rPr>
        <w:t>噪声</w:t>
      </w:r>
      <w:r>
        <w:rPr>
          <w:rFonts w:hint="eastAsia"/>
          <w:bCs/>
          <w:snapToGrid w:val="0"/>
          <w:color w:val="auto"/>
          <w:lang w:eastAsia="zh-CN"/>
        </w:rPr>
        <w:t>、地下水</w:t>
      </w:r>
      <w:r>
        <w:rPr>
          <w:bCs/>
          <w:snapToGrid w:val="0"/>
          <w:color w:val="auto"/>
        </w:rPr>
        <w:t>环境定期监测，对监测人员进行必要的培训，并进行一定的考核，制定合理的制度，保证监测数据的真实可靠性。</w:t>
      </w:r>
    </w:p>
    <w:p>
      <w:pPr>
        <w:pStyle w:val="4"/>
        <w:numPr>
          <w:ilvl w:val="1"/>
          <w:numId w:val="0"/>
        </w:numPr>
        <w:spacing w:after="0"/>
        <w:rPr>
          <w:bCs w:val="0"/>
          <w:color w:val="auto"/>
          <w:szCs w:val="28"/>
        </w:rPr>
      </w:pPr>
      <w:bookmarkStart w:id="117" w:name="_Toc12484"/>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4</w:t>
      </w:r>
      <w:r>
        <w:rPr>
          <w:rFonts w:hint="eastAsia"/>
          <w:bCs w:val="0"/>
          <w:color w:val="auto"/>
          <w:szCs w:val="28"/>
        </w:rPr>
        <w:t>排污</w:t>
      </w:r>
      <w:r>
        <w:rPr>
          <w:color w:val="auto"/>
        </w:rPr>
        <w:t>口</w:t>
      </w:r>
      <w:r>
        <w:rPr>
          <w:rFonts w:hint="eastAsia"/>
          <w:color w:val="auto"/>
        </w:rPr>
        <w:t>规范化</w:t>
      </w:r>
      <w:r>
        <w:rPr>
          <w:color w:val="auto"/>
        </w:rPr>
        <w:t>设置</w:t>
      </w:r>
      <w:bookmarkEnd w:id="117"/>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rPr>
      </w:pPr>
      <w:r>
        <w:rPr>
          <w:rFonts w:hint="default" w:ascii="Times New Roman" w:hAnsi="Times New Roman" w:cs="Times New Roman"/>
          <w:color w:val="auto"/>
        </w:rPr>
        <w:t>（1）废水排放口</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lang w:eastAsia="zh-CN"/>
        </w:rPr>
      </w:pPr>
      <w:r>
        <w:rPr>
          <w:rFonts w:hint="eastAsia" w:cs="Times New Roman"/>
          <w:color w:val="auto"/>
          <w:lang w:val="en-US" w:eastAsia="zh-CN"/>
        </w:rPr>
        <w:t>院区</w:t>
      </w:r>
      <w:r>
        <w:rPr>
          <w:rFonts w:hint="eastAsia" w:ascii="Times New Roman" w:hAnsi="Times New Roman" w:cs="Times New Roman"/>
          <w:color w:val="auto"/>
          <w:highlight w:val="none"/>
          <w:lang w:val="en-US" w:eastAsia="zh-CN"/>
        </w:rPr>
        <w:t>总排口设置在线监测</w:t>
      </w:r>
      <w:r>
        <w:rPr>
          <w:rFonts w:hint="eastAsia" w:cs="Times New Roman"/>
          <w:color w:val="auto"/>
          <w:lang w:val="en-US" w:eastAsia="zh-CN"/>
        </w:rPr>
        <w:t>。</w:t>
      </w:r>
      <w:r>
        <w:rPr>
          <w:rFonts w:hint="eastAsia" w:ascii="Times New Roman" w:hAnsi="Times New Roman" w:cs="Times New Roman"/>
          <w:color w:val="auto"/>
          <w:lang w:val="en-US" w:eastAsia="zh-CN"/>
        </w:rPr>
        <w:t>本项目废水总排放口接入市政污水管网，总</w:t>
      </w:r>
      <w:r>
        <w:rPr>
          <w:rFonts w:hint="default" w:ascii="Times New Roman" w:hAnsi="Times New Roman" w:cs="Times New Roman"/>
          <w:color w:val="auto"/>
        </w:rPr>
        <w:t>排放口须设置便于采样的采样井，并在附近树立废水排口图形</w:t>
      </w:r>
      <w:r>
        <w:rPr>
          <w:rFonts w:hint="eastAsia"/>
          <w:color w:val="auto"/>
        </w:rPr>
        <w:t>提示标志牌</w:t>
      </w:r>
      <w:r>
        <w:rPr>
          <w:rFonts w:hint="eastAsia" w:ascii="Times New Roman" w:hAnsi="Times New Roman" w:cs="Times New Roman"/>
          <w:color w:val="auto"/>
          <w:lang w:eastAsia="zh-CN"/>
        </w:rPr>
        <w:t>，</w:t>
      </w:r>
      <w:r>
        <w:rPr>
          <w:rFonts w:hint="default" w:ascii="Times New Roman" w:hAnsi="Times New Roman" w:cs="Times New Roman"/>
          <w:color w:val="auto"/>
        </w:rPr>
        <w:t>废水排放口</w:t>
      </w:r>
      <w:r>
        <w:rPr>
          <w:rFonts w:hint="eastAsia"/>
          <w:color w:val="auto"/>
        </w:rPr>
        <w:t>标志牌</w:t>
      </w:r>
      <w:r>
        <w:rPr>
          <w:rFonts w:hint="eastAsia"/>
          <w:color w:val="auto"/>
          <w:lang w:val="en-US" w:eastAsia="zh-CN"/>
        </w:rPr>
        <w:t>按照</w:t>
      </w:r>
      <w:r>
        <w:rPr>
          <w:rFonts w:hint="default" w:ascii="Times New Roman" w:hAnsi="Times New Roman" w:cs="Times New Roman"/>
          <w:color w:val="auto"/>
        </w:rPr>
        <w:t>《环境保护图形标志</w:t>
      </w:r>
      <w:r>
        <w:rPr>
          <w:rFonts w:hint="eastAsia" w:ascii="Times New Roman" w:hAnsi="Times New Roman" w:cs="Times New Roman"/>
          <w:color w:val="auto"/>
          <w:lang w:val="en-US" w:eastAsia="zh-CN"/>
        </w:rPr>
        <w:t>-排放口（源）</w:t>
      </w:r>
      <w:r>
        <w:rPr>
          <w:rFonts w:hint="default" w:ascii="Times New Roman" w:hAnsi="Times New Roman" w:cs="Times New Roman"/>
          <w:color w:val="auto"/>
        </w:rPr>
        <w:t>》（GB15562.</w:t>
      </w:r>
      <w:r>
        <w:rPr>
          <w:rFonts w:hint="eastAsia" w:ascii="Times New Roman" w:hAnsi="Times New Roman" w:cs="Times New Roman"/>
          <w:color w:val="auto"/>
          <w:lang w:val="en-US" w:eastAsia="zh-CN"/>
        </w:rPr>
        <w:t>1</w:t>
      </w:r>
      <w:r>
        <w:rPr>
          <w:rFonts w:hint="default" w:ascii="Times New Roman" w:hAnsi="Times New Roman" w:cs="Times New Roman"/>
          <w:color w:val="auto"/>
        </w:rPr>
        <w:t>-1995）</w:t>
      </w:r>
      <w:r>
        <w:rPr>
          <w:rFonts w:hint="eastAsia" w:ascii="Times New Roman" w:hAnsi="Times New Roman" w:cs="Times New Roman"/>
          <w:color w:val="auto"/>
          <w:lang w:val="en-US" w:eastAsia="zh-CN"/>
        </w:rPr>
        <w:t>表1执行。</w:t>
      </w:r>
      <w:r>
        <w:rPr>
          <w:rFonts w:hint="eastAsia"/>
          <w:color w:val="auto"/>
        </w:rPr>
        <w:t>提示标志牌</w:t>
      </w:r>
      <w:r>
        <w:rPr>
          <w:rFonts w:hint="eastAsia"/>
          <w:color w:val="auto"/>
          <w:lang w:val="en-US" w:eastAsia="zh-CN"/>
        </w:rPr>
        <w:t>采用正方形边框，背景颜色为绿色，</w:t>
      </w:r>
      <w:r>
        <w:rPr>
          <w:rFonts w:hint="eastAsia" w:ascii="Times New Roman" w:hAnsi="Times New Roman" w:cs="Times New Roman"/>
          <w:color w:val="auto"/>
          <w:lang w:val="en-US" w:eastAsia="zh-CN"/>
        </w:rPr>
        <w:t>图形为白色。</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w:t>
      </w:r>
      <w:r>
        <w:rPr>
          <w:rFonts w:hint="eastAsia"/>
          <w:color w:val="auto"/>
          <w:lang w:val="en-US" w:eastAsia="zh-CN"/>
        </w:rPr>
        <w:t>废气排放口</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eastAsia="宋体"/>
          <w:color w:val="auto"/>
          <w:lang w:val="en-US" w:eastAsia="zh-CN"/>
        </w:rPr>
      </w:pPr>
      <w:r>
        <w:rPr>
          <w:rFonts w:hint="eastAsia"/>
          <w:color w:val="auto"/>
          <w:lang w:val="en-US" w:eastAsia="zh-CN"/>
        </w:rPr>
        <w:t>项目污水处理站废气排放口、锅炉废气排放口</w:t>
      </w:r>
      <w:r>
        <w:rPr>
          <w:rFonts w:hint="eastAsia"/>
          <w:color w:val="auto"/>
        </w:rPr>
        <w:t>设置提示标志牌，</w:t>
      </w:r>
      <w:r>
        <w:rPr>
          <w:rFonts w:hint="eastAsia"/>
          <w:color w:val="auto"/>
          <w:lang w:val="en-US" w:eastAsia="zh-CN"/>
        </w:rPr>
        <w:t>排放口</w:t>
      </w:r>
      <w:r>
        <w:rPr>
          <w:rFonts w:hint="eastAsia"/>
          <w:color w:val="auto"/>
        </w:rPr>
        <w:t>（源）标志牌</w:t>
      </w:r>
      <w:r>
        <w:rPr>
          <w:rFonts w:hint="eastAsia"/>
          <w:color w:val="auto"/>
          <w:lang w:val="en-US" w:eastAsia="zh-CN"/>
        </w:rPr>
        <w:t>按照</w:t>
      </w:r>
      <w:r>
        <w:rPr>
          <w:rFonts w:hint="default" w:ascii="Times New Roman" w:hAnsi="Times New Roman" w:cs="Times New Roman"/>
          <w:color w:val="auto"/>
        </w:rPr>
        <w:t>《环境保护图形标志</w:t>
      </w:r>
      <w:r>
        <w:rPr>
          <w:rFonts w:hint="eastAsia" w:ascii="Times New Roman" w:hAnsi="Times New Roman" w:cs="Times New Roman"/>
          <w:color w:val="auto"/>
          <w:lang w:val="en-US" w:eastAsia="zh-CN"/>
        </w:rPr>
        <w:t>-排放口（源）</w:t>
      </w:r>
      <w:r>
        <w:rPr>
          <w:rFonts w:hint="default" w:ascii="Times New Roman" w:hAnsi="Times New Roman" w:cs="Times New Roman"/>
          <w:color w:val="auto"/>
        </w:rPr>
        <w:t>》（GB15562.</w:t>
      </w:r>
      <w:r>
        <w:rPr>
          <w:rFonts w:hint="eastAsia" w:ascii="Times New Roman" w:hAnsi="Times New Roman" w:cs="Times New Roman"/>
          <w:color w:val="auto"/>
          <w:lang w:val="en-US" w:eastAsia="zh-CN"/>
        </w:rPr>
        <w:t>1</w:t>
      </w:r>
      <w:r>
        <w:rPr>
          <w:rFonts w:hint="default" w:ascii="Times New Roman" w:hAnsi="Times New Roman" w:cs="Times New Roman"/>
          <w:color w:val="auto"/>
        </w:rPr>
        <w:t>-1995）</w:t>
      </w:r>
      <w:r>
        <w:rPr>
          <w:rFonts w:hint="eastAsia" w:ascii="Times New Roman" w:hAnsi="Times New Roman" w:cs="Times New Roman"/>
          <w:color w:val="auto"/>
          <w:lang w:val="en-US" w:eastAsia="zh-CN"/>
        </w:rPr>
        <w:t>表1执行。</w:t>
      </w:r>
      <w:r>
        <w:rPr>
          <w:rFonts w:hint="eastAsia"/>
          <w:color w:val="auto"/>
        </w:rPr>
        <w:t>提示标志牌</w:t>
      </w:r>
      <w:r>
        <w:rPr>
          <w:rFonts w:hint="eastAsia"/>
          <w:color w:val="auto"/>
          <w:lang w:val="en-US" w:eastAsia="zh-CN"/>
        </w:rPr>
        <w:t>采用正方形边框，背景颜色为绿色，</w:t>
      </w:r>
      <w:r>
        <w:rPr>
          <w:rFonts w:hint="eastAsia" w:ascii="Times New Roman" w:hAnsi="Times New Roman" w:cs="Times New Roman"/>
          <w:color w:val="auto"/>
          <w:lang w:val="en-US" w:eastAsia="zh-CN"/>
        </w:rPr>
        <w:t>图形为白色。</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rPr>
        <w:t>标志牌设置位置在排污口</w:t>
      </w:r>
      <w:r>
        <w:rPr>
          <w:color w:val="auto"/>
        </w:rPr>
        <w:t>(</w:t>
      </w:r>
      <w:r>
        <w:rPr>
          <w:rFonts w:hint="eastAsia"/>
          <w:color w:val="auto"/>
        </w:rPr>
        <w:t>采样口</w:t>
      </w:r>
      <w:r>
        <w:rPr>
          <w:color w:val="auto"/>
        </w:rPr>
        <w:t>)</w:t>
      </w:r>
      <w:r>
        <w:rPr>
          <w:rFonts w:hint="eastAsia"/>
          <w:color w:val="auto"/>
        </w:rPr>
        <w:t>附近且醒目处，高度为标志牌上端离地面</w:t>
      </w:r>
      <w:r>
        <w:rPr>
          <w:color w:val="auto"/>
        </w:rPr>
        <w:t>2</w:t>
      </w:r>
      <w:r>
        <w:rPr>
          <w:rFonts w:hint="eastAsia"/>
          <w:color w:val="auto"/>
        </w:rPr>
        <w:t>米。排污口附近</w:t>
      </w:r>
      <w:r>
        <w:rPr>
          <w:color w:val="auto"/>
        </w:rPr>
        <w:t>1</w:t>
      </w:r>
      <w:r>
        <w:rPr>
          <w:rFonts w:hint="eastAsia"/>
          <w:color w:val="auto"/>
        </w:rPr>
        <w:t>米范围内有建筑物的，设平面式标志牌，无建筑物设立式标志牌</w:t>
      </w:r>
      <w:r>
        <w:rPr>
          <w:rFonts w:hint="eastAsia"/>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3</w:t>
      </w:r>
      <w:r>
        <w:rPr>
          <w:rFonts w:hint="default" w:ascii="Times New Roman" w:hAnsi="Times New Roman" w:cs="Times New Roman"/>
          <w:color w:val="auto"/>
        </w:rPr>
        <w:t>）固体废物贮存（处置）场所</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auto"/>
        </w:rPr>
      </w:pPr>
      <w:r>
        <w:rPr>
          <w:rFonts w:hint="default" w:ascii="Times New Roman" w:hAnsi="Times New Roman" w:cs="Times New Roman"/>
          <w:color w:val="auto"/>
        </w:rPr>
        <w:t>固体废物贮存（处置）场所应在醒目处设置标志牌，固废环境保护图形标志牌按照《环境保护图形标志</w:t>
      </w:r>
      <w:r>
        <w:rPr>
          <w:rFonts w:hint="eastAsia" w:ascii="Times New Roman" w:hAnsi="Times New Roman" w:cs="Times New Roman"/>
          <w:color w:val="auto"/>
          <w:lang w:val="en-US" w:eastAsia="zh-CN"/>
        </w:rPr>
        <w:t>-</w:t>
      </w:r>
      <w:r>
        <w:rPr>
          <w:rFonts w:hint="default" w:ascii="Times New Roman" w:hAnsi="Times New Roman" w:cs="Times New Roman"/>
          <w:color w:val="auto"/>
        </w:rPr>
        <w:t>固体废物贮存（处置）场》（GB15562.</w:t>
      </w:r>
      <w:r>
        <w:rPr>
          <w:rFonts w:hint="eastAsia" w:ascii="Times New Roman" w:hAnsi="Times New Roman" w:cs="Times New Roman"/>
          <w:color w:val="auto"/>
          <w:lang w:val="en-US" w:eastAsia="zh-CN"/>
        </w:rPr>
        <w:t>2</w:t>
      </w:r>
      <w:r>
        <w:rPr>
          <w:rFonts w:hint="default" w:ascii="Times New Roman" w:hAnsi="Times New Roman" w:cs="Times New Roman"/>
          <w:color w:val="auto"/>
        </w:rPr>
        <w:t>-1995）规定制定。</w:t>
      </w:r>
      <w:r>
        <w:rPr>
          <w:rFonts w:hint="eastAsia" w:ascii="Times New Roman" w:hAnsi="Times New Roman" w:cs="Times New Roman"/>
          <w:color w:val="auto"/>
          <w:lang w:val="en-US" w:eastAsia="zh-CN"/>
        </w:rPr>
        <w:t>本项目危险危废暂存场所应设置警告标志，危险危废暂存场所警告标志采用</w:t>
      </w:r>
      <w:r>
        <w:rPr>
          <w:rFonts w:hint="default" w:ascii="Times New Roman" w:hAnsi="Times New Roman" w:cs="Times New Roman"/>
          <w:color w:val="auto"/>
        </w:rPr>
        <w:t>《环境保护图形标志</w:t>
      </w:r>
      <w:r>
        <w:rPr>
          <w:rFonts w:hint="eastAsia" w:ascii="Times New Roman" w:hAnsi="Times New Roman" w:cs="Times New Roman"/>
          <w:color w:val="auto"/>
          <w:lang w:val="en-US" w:eastAsia="zh-CN"/>
        </w:rPr>
        <w:t>-</w:t>
      </w:r>
      <w:r>
        <w:rPr>
          <w:rFonts w:hint="default" w:ascii="Times New Roman" w:hAnsi="Times New Roman" w:cs="Times New Roman"/>
          <w:color w:val="auto"/>
        </w:rPr>
        <w:t>固体废物贮存（处置）场》（GB15562.</w:t>
      </w:r>
      <w:r>
        <w:rPr>
          <w:rFonts w:hint="eastAsia" w:ascii="Times New Roman" w:hAnsi="Times New Roman" w:cs="Times New Roman"/>
          <w:color w:val="auto"/>
          <w:lang w:val="en-US" w:eastAsia="zh-CN"/>
        </w:rPr>
        <w:t>2</w:t>
      </w:r>
      <w:r>
        <w:rPr>
          <w:rFonts w:hint="default" w:ascii="Times New Roman" w:hAnsi="Times New Roman" w:cs="Times New Roman"/>
          <w:color w:val="auto"/>
        </w:rPr>
        <w:t>-1995）</w:t>
      </w:r>
      <w:r>
        <w:rPr>
          <w:rFonts w:hint="eastAsia" w:ascii="Times New Roman" w:hAnsi="Times New Roman" w:cs="Times New Roman"/>
          <w:color w:val="auto"/>
          <w:lang w:val="en-US" w:eastAsia="zh-CN"/>
        </w:rPr>
        <w:t>表1警告图形符号，警告标志采用三角形边框，背景颜色为黄色，图形为黑色。</w:t>
      </w:r>
    </w:p>
    <w:p>
      <w:pPr>
        <w:adjustRightInd w:val="0"/>
        <w:snapToGrid w:val="0"/>
        <w:jc w:val="center"/>
        <w:rPr>
          <w:rFonts w:hint="eastAsia" w:eastAsia="宋体"/>
          <w:color w:val="auto"/>
          <w:lang w:eastAsia="zh-CN"/>
        </w:rPr>
      </w:pPr>
      <w:r>
        <w:rPr>
          <w:rFonts w:hint="eastAsia"/>
          <w:color w:val="auto"/>
        </w:rPr>
        <w:t>规范化排污口的有关设置（如图形标志牌、计量装置、监控装置等）属环保设施，排污单位必须负责日常的维护保养，任何单位和个人不得擅自拆除。</w:t>
      </w:r>
    </w:p>
    <w:p>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eastAsia" w:cs="Times New Roman"/>
          <w:b/>
          <w:color w:val="auto"/>
          <w:sz w:val="21"/>
          <w:szCs w:val="21"/>
          <w:lang w:val="en-US" w:eastAsia="zh-CN"/>
        </w:rPr>
        <w:t>9</w:t>
      </w:r>
      <w:r>
        <w:rPr>
          <w:rFonts w:hint="default" w:ascii="Times New Roman" w:hAnsi="Times New Roman" w:eastAsia="宋体" w:cs="Times New Roman"/>
          <w:b/>
          <w:color w:val="auto"/>
          <w:sz w:val="21"/>
          <w:szCs w:val="21"/>
          <w:lang w:val="en-US" w:eastAsia="zh-CN"/>
        </w:rPr>
        <w:t>.</w:t>
      </w:r>
      <w:r>
        <w:rPr>
          <w:rFonts w:hint="eastAsia" w:ascii="Times New Roman" w:hAnsi="Times New Roman" w:eastAsia="宋体" w:cs="Times New Roman"/>
          <w:b/>
          <w:color w:val="auto"/>
          <w:sz w:val="21"/>
          <w:szCs w:val="21"/>
          <w:lang w:val="en-US" w:eastAsia="zh-CN"/>
        </w:rPr>
        <w:t>4</w:t>
      </w:r>
      <w:r>
        <w:rPr>
          <w:rFonts w:hint="default" w:ascii="Times New Roman" w:hAnsi="Times New Roman" w:eastAsia="宋体" w:cs="Times New Roman"/>
          <w:b/>
          <w:color w:val="auto"/>
          <w:sz w:val="21"/>
          <w:szCs w:val="21"/>
          <w:lang w:val="en-US" w:eastAsia="zh-CN"/>
        </w:rPr>
        <w:t xml:space="preserve">-1 </w:t>
      </w:r>
      <w:r>
        <w:rPr>
          <w:rFonts w:hint="default" w:ascii="Times New Roman" w:hAnsi="Times New Roman" w:eastAsia="宋体" w:cs="Times New Roman"/>
          <w:b/>
          <w:color w:val="auto"/>
          <w:sz w:val="21"/>
          <w:szCs w:val="21"/>
        </w:rPr>
        <w:t xml:space="preserve"> 环境保护图形标志一览表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9"/>
        <w:gridCol w:w="1993"/>
        <w:gridCol w:w="1729"/>
        <w:gridCol w:w="1732"/>
        <w:gridCol w:w="2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序号</w:t>
            </w:r>
          </w:p>
        </w:tc>
        <w:tc>
          <w:tcPr>
            <w:tcW w:w="19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提示图形符号</w:t>
            </w:r>
          </w:p>
        </w:tc>
        <w:tc>
          <w:tcPr>
            <w:tcW w:w="17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警示图形符号</w:t>
            </w:r>
          </w:p>
        </w:tc>
        <w:tc>
          <w:tcPr>
            <w:tcW w:w="17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名称</w:t>
            </w:r>
          </w:p>
        </w:tc>
        <w:tc>
          <w:tcPr>
            <w:tcW w:w="252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lang w:eastAsia="zh-CN"/>
              </w:rPr>
            </w:pPr>
            <w:r>
              <w:rPr>
                <w:rFonts w:hint="default" w:ascii="Times New Roman" w:hAnsi="Times New Roman" w:eastAsia="宋体" w:cs="Times New Roman"/>
                <w:color w:val="auto"/>
                <w:spacing w:val="3"/>
                <w:sz w:val="21"/>
                <w:szCs w:val="21"/>
                <w:lang w:val="en-US" w:eastAsia="zh-CN"/>
              </w:rPr>
              <w:t>1</w:t>
            </w:r>
          </w:p>
        </w:tc>
        <w:tc>
          <w:tcPr>
            <w:tcW w:w="19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drawing>
                <wp:inline distT="0" distB="0" distL="114300" distR="114300">
                  <wp:extent cx="676275" cy="647700"/>
                  <wp:effectExtent l="0" t="0" r="9525" b="0"/>
                  <wp:docPr id="20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17"/>
                          <pic:cNvPicPr>
                            <a:picLocks noChangeAspect="1"/>
                          </pic:cNvPicPr>
                        </pic:nvPicPr>
                        <pic:blipFill>
                          <a:blip r:embed="rId100"/>
                          <a:stretch>
                            <a:fillRect/>
                          </a:stretch>
                        </pic:blipFill>
                        <pic:spPr>
                          <a:xfrm>
                            <a:off x="0" y="0"/>
                            <a:ext cx="676275" cy="647700"/>
                          </a:xfrm>
                          <a:prstGeom prst="rect">
                            <a:avLst/>
                          </a:prstGeom>
                          <a:noFill/>
                          <a:ln>
                            <a:noFill/>
                          </a:ln>
                        </pic:spPr>
                      </pic:pic>
                    </a:graphicData>
                  </a:graphic>
                </wp:inline>
              </w:drawing>
            </w:r>
          </w:p>
        </w:tc>
        <w:tc>
          <w:tcPr>
            <w:tcW w:w="17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drawing>
                <wp:inline distT="0" distB="0" distL="114300" distR="114300">
                  <wp:extent cx="638175" cy="619125"/>
                  <wp:effectExtent l="0" t="0" r="9525" b="9525"/>
                  <wp:docPr id="209"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11"/>
                          <pic:cNvPicPr>
                            <a:picLocks noChangeAspect="1"/>
                          </pic:cNvPicPr>
                        </pic:nvPicPr>
                        <pic:blipFill>
                          <a:blip r:embed="rId101"/>
                          <a:stretch>
                            <a:fillRect/>
                          </a:stretch>
                        </pic:blipFill>
                        <pic:spPr>
                          <a:xfrm>
                            <a:off x="0" y="0"/>
                            <a:ext cx="638175" cy="619125"/>
                          </a:xfrm>
                          <a:prstGeom prst="rect">
                            <a:avLst/>
                          </a:prstGeom>
                          <a:noFill/>
                          <a:ln>
                            <a:noFill/>
                          </a:ln>
                        </pic:spPr>
                      </pic:pic>
                    </a:graphicData>
                  </a:graphic>
                </wp:inline>
              </w:drawing>
            </w:r>
          </w:p>
        </w:tc>
        <w:tc>
          <w:tcPr>
            <w:tcW w:w="1732"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废气排放口</w:t>
            </w:r>
          </w:p>
        </w:tc>
        <w:tc>
          <w:tcPr>
            <w:tcW w:w="252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表示废气向大气环境排放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lang w:eastAsia="zh-CN"/>
              </w:rPr>
            </w:pPr>
            <w:r>
              <w:rPr>
                <w:rFonts w:hint="default" w:ascii="Times New Roman" w:hAnsi="Times New Roman" w:eastAsia="宋体" w:cs="Times New Roman"/>
                <w:color w:val="auto"/>
                <w:spacing w:val="3"/>
                <w:sz w:val="21"/>
                <w:szCs w:val="21"/>
                <w:lang w:val="en-US" w:eastAsia="zh-CN"/>
              </w:rPr>
              <w:t>2</w:t>
            </w:r>
          </w:p>
        </w:tc>
        <w:tc>
          <w:tcPr>
            <w:tcW w:w="19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drawing>
                <wp:inline distT="0" distB="0" distL="114300" distR="114300">
                  <wp:extent cx="676275" cy="647700"/>
                  <wp:effectExtent l="0" t="0" r="9525" b="0"/>
                  <wp:docPr id="210"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12"/>
                          <pic:cNvPicPr>
                            <a:picLocks noChangeAspect="1"/>
                          </pic:cNvPicPr>
                        </pic:nvPicPr>
                        <pic:blipFill>
                          <a:blip r:embed="rId102"/>
                          <a:stretch>
                            <a:fillRect/>
                          </a:stretch>
                        </pic:blipFill>
                        <pic:spPr>
                          <a:xfrm>
                            <a:off x="0" y="0"/>
                            <a:ext cx="676275" cy="647700"/>
                          </a:xfrm>
                          <a:prstGeom prst="rect">
                            <a:avLst/>
                          </a:prstGeom>
                          <a:noFill/>
                          <a:ln>
                            <a:noFill/>
                          </a:ln>
                        </pic:spPr>
                      </pic:pic>
                    </a:graphicData>
                  </a:graphic>
                </wp:inline>
              </w:drawing>
            </w:r>
          </w:p>
        </w:tc>
        <w:tc>
          <w:tcPr>
            <w:tcW w:w="17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drawing>
                <wp:inline distT="0" distB="0" distL="114300" distR="114300">
                  <wp:extent cx="638175" cy="619125"/>
                  <wp:effectExtent l="0" t="0" r="9525" b="9525"/>
                  <wp:docPr id="211"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13"/>
                          <pic:cNvPicPr>
                            <a:picLocks noChangeAspect="1"/>
                          </pic:cNvPicPr>
                        </pic:nvPicPr>
                        <pic:blipFill>
                          <a:blip r:embed="rId103"/>
                          <a:stretch>
                            <a:fillRect/>
                          </a:stretch>
                        </pic:blipFill>
                        <pic:spPr>
                          <a:xfrm>
                            <a:off x="0" y="0"/>
                            <a:ext cx="638175" cy="619125"/>
                          </a:xfrm>
                          <a:prstGeom prst="rect">
                            <a:avLst/>
                          </a:prstGeom>
                          <a:noFill/>
                          <a:ln>
                            <a:noFill/>
                          </a:ln>
                        </pic:spPr>
                      </pic:pic>
                    </a:graphicData>
                  </a:graphic>
                </wp:inline>
              </w:drawing>
            </w:r>
          </w:p>
        </w:tc>
        <w:tc>
          <w:tcPr>
            <w:tcW w:w="1732"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噪声排放源</w:t>
            </w:r>
          </w:p>
        </w:tc>
        <w:tc>
          <w:tcPr>
            <w:tcW w:w="2521"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lang w:eastAsia="zh-CN"/>
              </w:rPr>
            </w:pPr>
            <w:r>
              <w:rPr>
                <w:rFonts w:hint="default" w:ascii="Times New Roman" w:hAnsi="Times New Roman" w:eastAsia="宋体" w:cs="Times New Roman"/>
                <w:color w:val="auto"/>
                <w:spacing w:val="3"/>
                <w:sz w:val="21"/>
                <w:szCs w:val="21"/>
                <w:lang w:val="en-US" w:eastAsia="zh-CN"/>
              </w:rPr>
              <w:t>3</w:t>
            </w:r>
          </w:p>
        </w:tc>
        <w:tc>
          <w:tcPr>
            <w:tcW w:w="19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color w:val="auto"/>
                <w:spacing w:val="3"/>
                <w:sz w:val="21"/>
                <w:szCs w:val="21"/>
              </w:rPr>
            </w:pPr>
            <w:r>
              <w:rPr>
                <w:rFonts w:hint="default" w:ascii="Times New Roman" w:hAnsi="Times New Roman" w:eastAsia="宋体" w:cs="Times New Roman"/>
                <w:color w:val="auto"/>
                <w:spacing w:val="3"/>
                <w:sz w:val="21"/>
                <w:szCs w:val="21"/>
              </w:rPr>
              <w:drawing>
                <wp:inline distT="0" distB="0" distL="114300" distR="114300">
                  <wp:extent cx="638175" cy="619125"/>
                  <wp:effectExtent l="0" t="0" r="9525" b="9525"/>
                  <wp:docPr id="212"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14"/>
                          <pic:cNvPicPr>
                            <a:picLocks noChangeAspect="1"/>
                          </pic:cNvPicPr>
                        </pic:nvPicPr>
                        <pic:blipFill>
                          <a:blip r:embed="rId104"/>
                          <a:stretch>
                            <a:fillRect/>
                          </a:stretch>
                        </pic:blipFill>
                        <pic:spPr>
                          <a:xfrm>
                            <a:off x="0" y="0"/>
                            <a:ext cx="638175" cy="619125"/>
                          </a:xfrm>
                          <a:prstGeom prst="rect">
                            <a:avLst/>
                          </a:prstGeom>
                          <a:noFill/>
                          <a:ln>
                            <a:noFill/>
                          </a:ln>
                        </pic:spPr>
                      </pic:pic>
                    </a:graphicData>
                  </a:graphic>
                </wp:inline>
              </w:drawing>
            </w:r>
          </w:p>
        </w:tc>
        <w:tc>
          <w:tcPr>
            <w:tcW w:w="17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drawing>
                <wp:inline distT="0" distB="0" distL="114300" distR="114300">
                  <wp:extent cx="714375" cy="657225"/>
                  <wp:effectExtent l="0" t="0" r="9525" b="9525"/>
                  <wp:docPr id="213"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15"/>
                          <pic:cNvPicPr>
                            <a:picLocks noChangeAspect="1"/>
                          </pic:cNvPicPr>
                        </pic:nvPicPr>
                        <pic:blipFill>
                          <a:blip r:embed="rId105"/>
                          <a:stretch>
                            <a:fillRect/>
                          </a:stretch>
                        </pic:blipFill>
                        <pic:spPr>
                          <a:xfrm>
                            <a:off x="0" y="0"/>
                            <a:ext cx="714375" cy="657225"/>
                          </a:xfrm>
                          <a:prstGeom prst="rect">
                            <a:avLst/>
                          </a:prstGeom>
                          <a:noFill/>
                          <a:ln>
                            <a:noFill/>
                          </a:ln>
                        </pic:spPr>
                      </pic:pic>
                    </a:graphicData>
                  </a:graphic>
                </wp:inline>
              </w:drawing>
            </w:r>
          </w:p>
        </w:tc>
        <w:tc>
          <w:tcPr>
            <w:tcW w:w="1732"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一般固体废物表示</w:t>
            </w:r>
          </w:p>
        </w:tc>
        <w:tc>
          <w:tcPr>
            <w:tcW w:w="2521"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一般固体废物贮存、处置场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lang w:eastAsia="zh-CN"/>
              </w:rPr>
            </w:pPr>
            <w:r>
              <w:rPr>
                <w:rFonts w:hint="default" w:ascii="Times New Roman" w:hAnsi="Times New Roman" w:eastAsia="宋体" w:cs="Times New Roman"/>
                <w:color w:val="auto"/>
                <w:spacing w:val="3"/>
                <w:sz w:val="21"/>
                <w:szCs w:val="21"/>
                <w:lang w:val="en-US" w:eastAsia="zh-CN"/>
              </w:rPr>
              <w:t>4</w:t>
            </w:r>
          </w:p>
        </w:tc>
        <w:tc>
          <w:tcPr>
            <w:tcW w:w="19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3"/>
                <w:sz w:val="21"/>
                <w:szCs w:val="21"/>
                <w:lang w:val="en-US" w:eastAsia="zh-CN"/>
              </w:rPr>
            </w:pPr>
          </w:p>
        </w:tc>
        <w:tc>
          <w:tcPr>
            <w:tcW w:w="17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drawing>
                <wp:inline distT="0" distB="0" distL="114300" distR="114300">
                  <wp:extent cx="676275" cy="704850"/>
                  <wp:effectExtent l="0" t="0" r="9525" b="0"/>
                  <wp:docPr id="214"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16"/>
                          <pic:cNvPicPr>
                            <a:picLocks noChangeAspect="1"/>
                          </pic:cNvPicPr>
                        </pic:nvPicPr>
                        <pic:blipFill>
                          <a:blip r:embed="rId106"/>
                          <a:stretch>
                            <a:fillRect/>
                          </a:stretch>
                        </pic:blipFill>
                        <pic:spPr>
                          <a:xfrm>
                            <a:off x="0" y="0"/>
                            <a:ext cx="676275" cy="704850"/>
                          </a:xfrm>
                          <a:prstGeom prst="rect">
                            <a:avLst/>
                          </a:prstGeom>
                          <a:noFill/>
                          <a:ln>
                            <a:noFill/>
                          </a:ln>
                        </pic:spPr>
                      </pic:pic>
                    </a:graphicData>
                  </a:graphic>
                </wp:inline>
              </w:drawing>
            </w:r>
          </w:p>
        </w:tc>
        <w:tc>
          <w:tcPr>
            <w:tcW w:w="1732"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危险固体废物表示</w:t>
            </w:r>
          </w:p>
        </w:tc>
        <w:tc>
          <w:tcPr>
            <w:tcW w:w="2521" w:type="dxa"/>
            <w:noWrap w:val="0"/>
            <w:vAlign w:val="center"/>
          </w:tcPr>
          <w:p>
            <w:pPr>
              <w:pStyle w:val="338"/>
              <w:keepNext w:val="0"/>
              <w:keepLines w:val="0"/>
              <w:pageBreakBefore w:val="0"/>
              <w:widowControl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危险固体废物贮存、处置场</w:t>
            </w:r>
          </w:p>
        </w:tc>
      </w:tr>
    </w:tbl>
    <w:p>
      <w:pPr>
        <w:pStyle w:val="4"/>
        <w:numPr>
          <w:ilvl w:val="1"/>
          <w:numId w:val="0"/>
        </w:numPr>
        <w:spacing w:after="0"/>
        <w:rPr>
          <w:rFonts w:hint="eastAsia" w:ascii="Times New Roman" w:hAnsi="Times New Roman" w:eastAsia="宋体" w:cs="Times New Roman"/>
          <w:b/>
          <w:bCs w:val="0"/>
          <w:color w:val="auto"/>
          <w:szCs w:val="28"/>
          <w:lang w:val="en-US" w:eastAsia="zh-CN"/>
        </w:rPr>
      </w:pPr>
      <w:bookmarkStart w:id="118" w:name="_Toc21773"/>
      <w:r>
        <w:rPr>
          <w:rFonts w:hint="eastAsia" w:cs="Times New Roman"/>
          <w:b/>
          <w:bCs w:val="0"/>
          <w:color w:val="auto"/>
          <w:szCs w:val="28"/>
          <w:lang w:val="en-US" w:eastAsia="zh-CN"/>
        </w:rPr>
        <w:t>9</w:t>
      </w:r>
      <w:r>
        <w:rPr>
          <w:rFonts w:hint="eastAsia" w:ascii="Times New Roman" w:hAnsi="Times New Roman" w:eastAsia="宋体" w:cs="Times New Roman"/>
          <w:b/>
          <w:bCs w:val="0"/>
          <w:color w:val="auto"/>
          <w:szCs w:val="28"/>
          <w:lang w:val="en-US" w:eastAsia="zh-CN"/>
        </w:rPr>
        <w:t>.5污染物排放清单</w:t>
      </w:r>
      <w:bookmarkEnd w:id="118"/>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污染物排放管理要求</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rPr>
        <w:t>①工程组成要求本项目运行过程中不得擅自拆除或者闲置各污染治理设施，具体包括废水收集管线和收集池、污水处理设施、废气收集处理系统、事故应急池、污染物排放的在线监测系统等一系列环保设施。</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rPr>
        <w:t>②原辅材料组分要求</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rPr>
        <w:t>本项目</w:t>
      </w:r>
      <w:r>
        <w:rPr>
          <w:rFonts w:hint="eastAsia" w:ascii="Times New Roman" w:hAnsi="Times New Roman" w:cs="Times New Roman"/>
          <w:color w:val="auto"/>
          <w:lang w:val="en-US" w:eastAsia="zh-CN"/>
        </w:rPr>
        <w:t>运营</w:t>
      </w:r>
      <w:r>
        <w:rPr>
          <w:rFonts w:hint="default" w:ascii="Times New Roman" w:hAnsi="Times New Roman" w:cs="Times New Roman"/>
          <w:color w:val="auto"/>
          <w:lang w:val="en-US" w:eastAsia="zh-CN"/>
        </w:rPr>
        <w:t>过程中应</w:t>
      </w:r>
      <w:r>
        <w:rPr>
          <w:rFonts w:hint="default" w:ascii="Times New Roman" w:hAnsi="Times New Roman" w:cs="Times New Roman"/>
          <w:color w:val="auto"/>
        </w:rPr>
        <w:t>设置规范的原辅材料存储场所，并安排专职人员对原材料的购买、取用进行管理台账记录。</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b w:val="0"/>
          <w:bCs/>
          <w:color w:val="auto"/>
          <w:sz w:val="24"/>
          <w:szCs w:val="24"/>
          <w:highlight w:val="none"/>
          <w:lang w:val="en-US" w:eastAsia="zh-CN"/>
        </w:rPr>
      </w:pPr>
      <w:r>
        <w:rPr>
          <w:rFonts w:hint="eastAsia"/>
          <w:b w:val="0"/>
          <w:bCs/>
          <w:color w:val="auto"/>
          <w:sz w:val="24"/>
          <w:szCs w:val="24"/>
          <w:highlight w:val="none"/>
          <w:lang w:val="en-US" w:eastAsia="zh-CN"/>
        </w:rPr>
        <w:t>污染物排放清单</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根据污染源强核算，本项目污染物排放清单见</w:t>
      </w:r>
      <w:r>
        <w:rPr>
          <w:rFonts w:hint="eastAsia" w:cs="Times New Roman"/>
          <w:color w:val="auto"/>
          <w:lang w:eastAsia="zh-CN"/>
        </w:rPr>
        <w:t>下表</w:t>
      </w:r>
      <w:r>
        <w:rPr>
          <w:rFonts w:hint="default" w:ascii="Times New Roman" w:hAnsi="Times New Roman" w:eastAsia="宋体" w:cs="Times New Roman"/>
          <w:color w:val="auto"/>
        </w:rPr>
        <w:t>，建设单位应加强管理，严格按排放清单规定的污染物排放种类、排放浓度和排放量进行排放，杜绝超标排放</w:t>
      </w:r>
      <w:r>
        <w:rPr>
          <w:rFonts w:hint="eastAsia" w:ascii="Times New Roman" w:hAnsi="Times New Roman" w:eastAsia="宋体" w:cs="Times New Roman"/>
          <w:color w:val="auto"/>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b w:val="0"/>
          <w:bCs/>
          <w:color w:val="auto"/>
          <w:sz w:val="24"/>
          <w:szCs w:val="24"/>
          <w:highlight w:val="none"/>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240" w:lineRule="auto"/>
        <w:ind w:left="0" w:leftChars="0" w:firstLine="0" w:firstLineChars="0"/>
        <w:jc w:val="center"/>
        <w:rPr>
          <w:rFonts w:hint="eastAsia"/>
          <w:b/>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9.5</w:t>
      </w:r>
      <w:r>
        <w:rPr>
          <w:rFonts w:hint="eastAsia"/>
          <w:b/>
          <w:color w:val="auto"/>
          <w:sz w:val="21"/>
          <w:szCs w:val="21"/>
          <w:highlight w:val="none"/>
        </w:rPr>
        <w:t>-1</w:t>
      </w:r>
      <w:r>
        <w:rPr>
          <w:rFonts w:hint="eastAsia"/>
          <w:b/>
          <w:color w:val="auto"/>
          <w:sz w:val="21"/>
          <w:szCs w:val="21"/>
          <w:highlight w:val="none"/>
          <w:lang w:eastAsia="zh-CN"/>
        </w:rPr>
        <w:t>本项目</w:t>
      </w:r>
      <w:r>
        <w:rPr>
          <w:rFonts w:hint="eastAsia"/>
          <w:b/>
          <w:color w:val="auto"/>
          <w:sz w:val="21"/>
          <w:szCs w:val="21"/>
          <w:highlight w:val="none"/>
        </w:rPr>
        <w:t>污染物排放清单</w:t>
      </w:r>
    </w:p>
    <w:tbl>
      <w:tblPr>
        <w:tblStyle w:val="48"/>
        <w:tblW w:w="139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9"/>
        <w:gridCol w:w="438"/>
        <w:gridCol w:w="438"/>
        <w:gridCol w:w="1876"/>
        <w:gridCol w:w="1522"/>
        <w:gridCol w:w="1375"/>
        <w:gridCol w:w="989"/>
        <w:gridCol w:w="1073"/>
        <w:gridCol w:w="1031"/>
        <w:gridCol w:w="2705"/>
        <w:gridCol w:w="929"/>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68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排污</w:t>
            </w:r>
          </w:p>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类型</w:t>
            </w:r>
          </w:p>
        </w:tc>
        <w:tc>
          <w:tcPr>
            <w:tcW w:w="876" w:type="dxa"/>
            <w:gridSpan w:val="2"/>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排放源</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环境保护措施</w:t>
            </w:r>
          </w:p>
        </w:tc>
        <w:tc>
          <w:tcPr>
            <w:tcW w:w="4468" w:type="dxa"/>
            <w:gridSpan w:val="4"/>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污染物排放控制要求</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排放标准</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排污口信息</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876"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环保措施组成</w:t>
            </w:r>
          </w:p>
        </w:tc>
        <w:tc>
          <w:tcPr>
            <w:tcW w:w="1522"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主要运行参数</w:t>
            </w: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污染物种类</w:t>
            </w:r>
          </w:p>
        </w:tc>
        <w:tc>
          <w:tcPr>
            <w:tcW w:w="98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速率(kg/h)</w:t>
            </w:r>
          </w:p>
        </w:tc>
        <w:tc>
          <w:tcPr>
            <w:tcW w:w="1031"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w:t>
            </w:r>
          </w:p>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(t/a)</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876" w:type="dxa"/>
            <w:gridSpan w:val="2"/>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汽车尾气</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排风系统+专用烟道</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CO</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eastAsia" w:eastAsia="宋体" w:cs="Times New Roman"/>
                <w:color w:val="auto"/>
                <w:sz w:val="21"/>
                <w:szCs w:val="21"/>
                <w:lang w:val="en-US" w:eastAsia="zh-CN" w:bidi="ar-SA"/>
              </w:rPr>
              <w:t>/</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sz w:val="21"/>
                <w:szCs w:val="21"/>
                <w:lang w:val="en-US" w:eastAsia="zh-CN" w:bidi="ar-SA"/>
              </w:rPr>
              <w:t>/</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1.907</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大气污染物综合排放标准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GB16297-1996</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新污染源二级标准</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eastAsia="宋体"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HC</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eastAsia" w:eastAsia="宋体" w:cs="Times New Roman"/>
                <w:color w:val="auto"/>
                <w:sz w:val="21"/>
                <w:szCs w:val="21"/>
                <w:lang w:val="en-US" w:eastAsia="zh-CN" w:bidi="ar-SA"/>
              </w:rPr>
              <w:t>/</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sz w:val="21"/>
                <w:szCs w:val="21"/>
                <w:lang w:val="en-US" w:eastAsia="zh-CN" w:bidi="ar-SA"/>
              </w:rPr>
              <w:t>/</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eastAsia" w:eastAsia="宋体" w:cs="Times New Roman"/>
                <w:color w:val="auto"/>
                <w:sz w:val="21"/>
                <w:szCs w:val="21"/>
                <w:lang w:val="en-US" w:eastAsia="zh-CN" w:bidi="ar-SA"/>
              </w:rPr>
              <w:t>0.</w:t>
            </w:r>
            <w:r>
              <w:rPr>
                <w:rFonts w:hint="eastAsia" w:cs="Times New Roman"/>
                <w:color w:val="auto"/>
                <w:sz w:val="21"/>
                <w:szCs w:val="21"/>
                <w:lang w:val="en-US" w:eastAsia="zh-CN" w:bidi="ar-SA"/>
              </w:rPr>
              <w:t>2411</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eastAsia="宋体"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NO</w:t>
            </w:r>
            <w:r>
              <w:rPr>
                <w:rFonts w:hint="eastAsia" w:cs="Times New Roman"/>
                <w:color w:val="auto"/>
                <w:sz w:val="21"/>
                <w:szCs w:val="21"/>
                <w:vertAlign w:val="subscript"/>
                <w:lang w:val="en-US" w:eastAsia="zh-CN"/>
              </w:rPr>
              <w:t>2</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0.223</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highlight w:val="none"/>
                <w:lang w:eastAsia="zh-CN"/>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eastAsia="宋体"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SO</w:t>
            </w:r>
            <w:r>
              <w:rPr>
                <w:rFonts w:hint="eastAsia" w:cs="Times New Roman"/>
                <w:color w:val="auto"/>
                <w:sz w:val="21"/>
                <w:szCs w:val="21"/>
                <w:vertAlign w:val="subscript"/>
                <w:lang w:val="en-US" w:eastAsia="zh-CN"/>
              </w:rPr>
              <w:t>2</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0.003</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highlight w:val="none"/>
                <w:lang w:eastAsia="zh-CN"/>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hAnsi="宋体"/>
                <w:color w:val="auto"/>
                <w:sz w:val="21"/>
                <w:szCs w:val="21"/>
              </w:rPr>
              <w:t>柴油</w:t>
            </w:r>
            <w:r>
              <w:rPr>
                <w:rFonts w:hint="eastAsia" w:hAnsi="宋体"/>
                <w:color w:val="auto"/>
                <w:sz w:val="21"/>
                <w:szCs w:val="21"/>
                <w:lang w:val="en-US" w:eastAsia="zh-CN"/>
              </w:rPr>
              <w:t>发电机</w:t>
            </w:r>
            <w:r>
              <w:rPr>
                <w:rFonts w:hint="eastAsia" w:hAnsi="宋体"/>
                <w:color w:val="auto"/>
                <w:sz w:val="21"/>
                <w:szCs w:val="21"/>
              </w:rPr>
              <w:t>废气</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DPF黑烟颗粒捕捉器+专用烟道</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风机风量</w:t>
            </w:r>
            <w:r>
              <w:rPr>
                <w:rFonts w:hint="eastAsia" w:cs="Times New Roman"/>
                <w:color w:val="auto"/>
                <w:sz w:val="21"/>
                <w:szCs w:val="21"/>
                <w:lang w:val="en-US" w:eastAsia="zh-CN"/>
              </w:rPr>
              <w:t>2</w:t>
            </w:r>
            <w:r>
              <w:rPr>
                <w:rFonts w:hint="default" w:ascii="Times New Roman" w:hAnsi="Times New Roman" w:cs="Times New Roman"/>
                <w:color w:val="auto"/>
                <w:sz w:val="21"/>
                <w:szCs w:val="21"/>
              </w:rPr>
              <w:t>000m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sz w:val="21"/>
                <w:szCs w:val="21"/>
                <w:lang w:val="en-US" w:eastAsia="zh-CN" w:bidi="ar-SA"/>
              </w:rPr>
              <w:t>SO</w:t>
            </w:r>
            <w:r>
              <w:rPr>
                <w:rFonts w:hint="eastAsia" w:eastAsia="宋体" w:cs="Times New Roman"/>
                <w:color w:val="auto"/>
                <w:sz w:val="21"/>
                <w:szCs w:val="21"/>
                <w:vertAlign w:val="subscript"/>
                <w:lang w:val="en-US" w:eastAsia="zh-CN" w:bidi="ar-SA"/>
              </w:rPr>
              <w:t>2</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1.06</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0.004</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0.07</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大气污染物综合排放标准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GB16297-1996</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新污染源二级标准</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eastAsia="宋体"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lang w:val="en-US" w:eastAsia="zh-CN"/>
              </w:rPr>
            </w:pPr>
            <w:r>
              <w:rPr>
                <w:rFonts w:hint="eastAsia" w:eastAsia="宋体" w:cs="Times New Roman"/>
                <w:bCs/>
                <w:color w:val="auto"/>
                <w:sz w:val="21"/>
                <w:szCs w:val="21"/>
                <w:lang w:val="en-US" w:eastAsia="zh-CN" w:bidi="ar-SA"/>
              </w:rPr>
              <w:t>NO</w:t>
            </w:r>
            <w:r>
              <w:rPr>
                <w:rFonts w:hint="eastAsia" w:eastAsia="宋体" w:cs="Times New Roman"/>
                <w:bCs/>
                <w:color w:val="auto"/>
                <w:sz w:val="21"/>
                <w:szCs w:val="21"/>
                <w:vertAlign w:val="subscript"/>
                <w:lang w:val="en-US" w:eastAsia="zh-CN" w:bidi="ar-SA"/>
              </w:rPr>
              <w:t>X</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115.6</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0.49</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8.6</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highlight w:val="none"/>
                <w:lang w:eastAsia="zh-CN"/>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eastAsia="宋体"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lang w:val="en-US" w:eastAsia="zh-CN"/>
              </w:rPr>
            </w:pPr>
            <w:r>
              <w:rPr>
                <w:rFonts w:hint="eastAsia" w:eastAsia="宋体" w:cs="Times New Roman"/>
                <w:color w:val="auto"/>
                <w:sz w:val="21"/>
                <w:szCs w:val="21"/>
                <w:lang w:val="en-US" w:eastAsia="zh-CN" w:bidi="ar-SA"/>
              </w:rPr>
              <w:t>烟尘</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10.8</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0.045</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0.802</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highlight w:val="none"/>
                <w:lang w:eastAsia="zh-CN"/>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438"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污水处理站恶臭</w:t>
            </w:r>
          </w:p>
        </w:tc>
        <w:tc>
          <w:tcPr>
            <w:tcW w:w="438"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有组织</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加盖密闭+</w:t>
            </w:r>
            <w:r>
              <w:rPr>
                <w:rFonts w:hint="eastAsia" w:cs="Times New Roman"/>
                <w:color w:val="auto"/>
                <w:sz w:val="21"/>
                <w:szCs w:val="21"/>
                <w:lang w:val="en-US" w:eastAsia="zh-CN"/>
              </w:rPr>
              <w:t>光氧+活性炭吸附</w:t>
            </w:r>
            <w:r>
              <w:rPr>
                <w:rFonts w:hint="eastAsia" w:eastAsia="宋体" w:cs="Times New Roman"/>
                <w:color w:val="auto"/>
                <w:sz w:val="21"/>
                <w:szCs w:val="21"/>
                <w:lang w:val="en-US" w:eastAsia="zh-CN"/>
              </w:rPr>
              <w:t>装置+</w:t>
            </w:r>
            <w:r>
              <w:rPr>
                <w:rFonts w:hint="eastAsia" w:cs="Times New Roman"/>
                <w:color w:val="auto"/>
                <w:sz w:val="21"/>
                <w:szCs w:val="21"/>
                <w:lang w:val="en-US" w:eastAsia="zh-CN"/>
              </w:rPr>
              <w:t>15</w:t>
            </w:r>
            <w:r>
              <w:rPr>
                <w:rFonts w:hint="eastAsia" w:eastAsia="宋体" w:cs="Times New Roman"/>
                <w:color w:val="auto"/>
                <w:sz w:val="21"/>
                <w:szCs w:val="21"/>
                <w:lang w:val="en-US" w:eastAsia="zh-CN"/>
              </w:rPr>
              <w:t>m高排气筒</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风机风量</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p>
        </w:tc>
        <w:tc>
          <w:tcPr>
            <w:tcW w:w="98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0.88</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0.00175</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0.01535</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w:t>
            </w:r>
            <w:r>
              <w:rPr>
                <w:rFonts w:hint="eastAsia" w:cs="Times New Roman"/>
                <w:color w:val="auto"/>
                <w:sz w:val="21"/>
                <w:szCs w:val="21"/>
                <w:lang w:val="en-US" w:eastAsia="zh-CN"/>
              </w:rPr>
              <w:t>恶臭污染物排放标准</w:t>
            </w:r>
            <w:r>
              <w:rPr>
                <w:rFonts w:hint="eastAsia" w:cs="Times New Roman"/>
                <w:color w:val="auto"/>
                <w:sz w:val="21"/>
                <w:szCs w:val="21"/>
                <w:lang w:eastAsia="zh-CN"/>
              </w:rPr>
              <w:t>》（</w:t>
            </w:r>
            <w:r>
              <w:rPr>
                <w:rFonts w:hint="eastAsia" w:cs="Times New Roman"/>
                <w:color w:val="auto"/>
                <w:sz w:val="21"/>
                <w:szCs w:val="21"/>
                <w:lang w:val="en-US" w:eastAsia="zh-CN"/>
              </w:rPr>
              <w:t>GB14554-93</w:t>
            </w:r>
            <w:r>
              <w:rPr>
                <w:rFonts w:hint="eastAsia" w:cs="Times New Roman"/>
                <w:color w:val="auto"/>
                <w:sz w:val="21"/>
                <w:szCs w:val="21"/>
                <w:lang w:eastAsia="zh-CN"/>
              </w:rPr>
              <w:t>）</w:t>
            </w:r>
            <w:r>
              <w:rPr>
                <w:rFonts w:hint="eastAsia" w:cs="Times New Roman"/>
                <w:color w:val="auto"/>
                <w:sz w:val="21"/>
                <w:szCs w:val="21"/>
                <w:lang w:val="en-US" w:eastAsia="zh-CN"/>
              </w:rPr>
              <w:t>表2中恶臭污染物排放标准</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污水处理站废气排放口（高度</w:t>
            </w:r>
            <w:r>
              <w:rPr>
                <w:rFonts w:hint="eastAsia" w:cs="Times New Roman"/>
                <w:color w:val="auto"/>
                <w:sz w:val="21"/>
                <w:szCs w:val="21"/>
                <w:highlight w:val="none"/>
                <w:lang w:val="en-US" w:eastAsia="zh-CN"/>
              </w:rPr>
              <w:t>15</w:t>
            </w:r>
            <w:r>
              <w:rPr>
                <w:rFonts w:hint="eastAsia" w:cs="Times New Roman"/>
                <w:color w:val="auto"/>
                <w:sz w:val="21"/>
                <w:szCs w:val="21"/>
                <w:lang w:val="en-US" w:eastAsia="zh-CN"/>
              </w:rPr>
              <w:t>m）</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438"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438"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H</w:t>
            </w:r>
            <w:r>
              <w:rPr>
                <w:rFonts w:hint="default" w:ascii="Times New Roman" w:hAnsi="Times New Roman" w:cs="Times New Roman"/>
                <w:bCs/>
                <w:color w:val="auto"/>
                <w:sz w:val="21"/>
                <w:szCs w:val="21"/>
                <w:vertAlign w:val="subscript"/>
              </w:rPr>
              <w:t>2</w:t>
            </w:r>
            <w:r>
              <w:rPr>
                <w:rFonts w:hint="default" w:ascii="Times New Roman" w:hAnsi="Times New Roman" w:cs="Times New Roman"/>
                <w:bCs/>
                <w:color w:val="auto"/>
                <w:sz w:val="21"/>
                <w:szCs w:val="21"/>
              </w:rPr>
              <w:t>S</w:t>
            </w:r>
          </w:p>
        </w:tc>
        <w:tc>
          <w:tcPr>
            <w:tcW w:w="98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0.03</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0.00007</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0.00059</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438"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438"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无组织</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加盖密闭</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color w:val="auto"/>
                <w:sz w:val="21"/>
                <w:szCs w:val="21"/>
                <w:highlight w:val="none"/>
                <w:lang w:val="en-US" w:eastAsia="zh-CN" w:bidi="ar-SA"/>
              </w:rPr>
            </w:pPr>
            <w:r>
              <w:rPr>
                <w:rFonts w:hint="eastAsia" w:eastAsia="宋体" w:cs="Times New Roman"/>
                <w:color w:val="auto"/>
                <w:sz w:val="21"/>
                <w:szCs w:val="21"/>
                <w:highlight w:val="none"/>
                <w:lang w:val="en-US" w:eastAsia="zh-CN" w:bidi="ar-SA"/>
              </w:rPr>
              <w:t>/</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0.00018</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0.00155 </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w:t>
            </w:r>
            <w:r>
              <w:rPr>
                <w:rFonts w:hint="eastAsia" w:cs="Times New Roman"/>
                <w:color w:val="auto"/>
                <w:sz w:val="21"/>
                <w:szCs w:val="21"/>
                <w:lang w:val="en-US" w:eastAsia="zh-CN"/>
              </w:rPr>
              <w:t>医疗机构水污染物排放标准</w:t>
            </w:r>
            <w:r>
              <w:rPr>
                <w:rFonts w:hint="eastAsia" w:cs="Times New Roman"/>
                <w:color w:val="auto"/>
                <w:sz w:val="21"/>
                <w:szCs w:val="21"/>
                <w:lang w:eastAsia="zh-CN"/>
              </w:rPr>
              <w:t>》（</w:t>
            </w:r>
            <w:r>
              <w:rPr>
                <w:rFonts w:hint="eastAsia" w:cs="Times New Roman"/>
                <w:color w:val="auto"/>
                <w:sz w:val="21"/>
                <w:szCs w:val="21"/>
                <w:lang w:val="en-US" w:eastAsia="zh-CN"/>
              </w:rPr>
              <w:t>GB18466-2005</w:t>
            </w:r>
            <w:r>
              <w:rPr>
                <w:rFonts w:hint="eastAsia" w:cs="Times New Roman"/>
                <w:color w:val="auto"/>
                <w:sz w:val="21"/>
                <w:szCs w:val="21"/>
                <w:lang w:eastAsia="zh-CN"/>
              </w:rPr>
              <w:t>）</w:t>
            </w:r>
            <w:r>
              <w:rPr>
                <w:rFonts w:hint="eastAsia" w:cs="Times New Roman"/>
                <w:color w:val="auto"/>
                <w:sz w:val="21"/>
                <w:szCs w:val="21"/>
                <w:lang w:val="en-US" w:eastAsia="zh-CN"/>
              </w:rPr>
              <w:t>表3中标准限值</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438"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438"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H</w:t>
            </w:r>
            <w:r>
              <w:rPr>
                <w:rFonts w:hint="default" w:ascii="Times New Roman" w:hAnsi="Times New Roman" w:cs="Times New Roman"/>
                <w:bCs/>
                <w:color w:val="auto"/>
                <w:sz w:val="21"/>
                <w:szCs w:val="21"/>
                <w:vertAlign w:val="subscript"/>
              </w:rPr>
              <w:t>2</w:t>
            </w:r>
            <w:r>
              <w:rPr>
                <w:rFonts w:hint="default" w:ascii="Times New Roman" w:hAnsi="Times New Roman" w:cs="Times New Roman"/>
                <w:bCs/>
                <w:color w:val="auto"/>
                <w:sz w:val="21"/>
                <w:szCs w:val="21"/>
              </w:rPr>
              <w:t>S</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s="Times New Roman"/>
                <w:color w:val="auto"/>
                <w:sz w:val="21"/>
                <w:szCs w:val="21"/>
                <w:highlight w:val="none"/>
                <w:lang w:val="en-US" w:eastAsia="zh-CN" w:bidi="ar-SA"/>
              </w:rPr>
            </w:pPr>
            <w:r>
              <w:rPr>
                <w:rFonts w:hint="eastAsia" w:eastAsia="宋体" w:cs="Times New Roman"/>
                <w:color w:val="auto"/>
                <w:sz w:val="21"/>
                <w:szCs w:val="21"/>
                <w:highlight w:val="none"/>
                <w:lang w:val="en-US" w:eastAsia="zh-CN" w:bidi="ar-SA"/>
              </w:rPr>
              <w:t>/</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0.000007</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0.00006 </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r>
              <w:rPr>
                <w:rFonts w:hint="eastAsia" w:hAnsi="宋体"/>
                <w:color w:val="auto"/>
                <w:sz w:val="21"/>
                <w:szCs w:val="21"/>
                <w:lang w:val="en-US" w:eastAsia="zh-CN"/>
              </w:rPr>
              <w:t>空调燃气废气</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低氮燃烧器+专用烟道</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风机风量</w:t>
            </w:r>
            <w:r>
              <w:rPr>
                <w:rFonts w:hint="eastAsia" w:cs="Times New Roman"/>
                <w:color w:val="auto"/>
                <w:sz w:val="21"/>
                <w:szCs w:val="21"/>
                <w:lang w:val="en-US" w:eastAsia="zh-CN"/>
              </w:rPr>
              <w:t>10</w:t>
            </w:r>
            <w:r>
              <w:rPr>
                <w:rFonts w:hint="default" w:ascii="Times New Roman" w:hAnsi="Times New Roman" w:cs="Times New Roman"/>
                <w:color w:val="auto"/>
                <w:sz w:val="21"/>
                <w:szCs w:val="21"/>
              </w:rPr>
              <w:t>000m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eastAsia="宋体" w:cs="Times New Roman"/>
                <w:color w:val="auto"/>
                <w:sz w:val="21"/>
                <w:szCs w:val="21"/>
                <w:lang w:val="en-US" w:eastAsia="zh-CN" w:bidi="ar-SA"/>
              </w:rPr>
              <w:t>SO</w:t>
            </w:r>
            <w:r>
              <w:rPr>
                <w:rFonts w:hint="eastAsia" w:eastAsia="宋体" w:cs="Times New Roman"/>
                <w:color w:val="auto"/>
                <w:sz w:val="21"/>
                <w:szCs w:val="21"/>
                <w:vertAlign w:val="subscript"/>
                <w:lang w:val="en-US" w:eastAsia="zh-CN" w:bidi="ar-SA"/>
              </w:rPr>
              <w:t>2</w:t>
            </w:r>
          </w:p>
        </w:tc>
        <w:tc>
          <w:tcPr>
            <w:tcW w:w="98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9 </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0.0913</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0.8</w:t>
            </w: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锅炉大气污染物排放标准</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GB13271-2014</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大气污染物特别排放限值，NOx执行皖大气办[2020]2号文中排放年浓度限值要求</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highlight w:val="none"/>
                <w:lang w:val="en-US" w:eastAsia="zh-CN"/>
              </w:rPr>
              <w:t>空调燃气废气排放口</w:t>
            </w:r>
            <w:r>
              <w:rPr>
                <w:rFonts w:hint="default" w:ascii="Times New Roman" w:hAnsi="Times New Roman" w:cs="Times New Roman"/>
                <w:color w:val="auto"/>
                <w:sz w:val="21"/>
                <w:szCs w:val="21"/>
                <w:highlight w:val="none"/>
              </w:rPr>
              <w:t>(高度</w:t>
            </w:r>
            <w:r>
              <w:rPr>
                <w:rFonts w:hint="eastAsia" w:cs="Times New Roman"/>
                <w:color w:val="auto"/>
                <w:sz w:val="21"/>
                <w:szCs w:val="21"/>
                <w:highlight w:val="none"/>
                <w:lang w:val="en-US" w:eastAsia="zh-CN"/>
              </w:rPr>
              <w:t>87.5</w:t>
            </w:r>
            <w:r>
              <w:rPr>
                <w:rFonts w:hint="default" w:ascii="Times New Roman" w:hAnsi="Times New Roman" w:cs="Times New Roman"/>
                <w:color w:val="auto"/>
                <w:sz w:val="21"/>
                <w:szCs w:val="21"/>
                <w:highlight w:val="none"/>
              </w:rPr>
              <w:t>m)</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SO</w:t>
            </w:r>
            <w:r>
              <w:rPr>
                <w:rFonts w:hint="eastAsia" w:eastAsia="宋体" w:cs="Times New Roman"/>
                <w:color w:val="auto"/>
                <w:sz w:val="21"/>
                <w:szCs w:val="21"/>
                <w:vertAlign w:val="subscript"/>
                <w:lang w:val="en-US" w:eastAsia="zh-CN"/>
              </w:rPr>
              <w:t>2</w:t>
            </w:r>
            <w:r>
              <w:rPr>
                <w:rFonts w:hint="eastAsia" w:eastAsia="宋体" w:cs="Times New Roman"/>
                <w:color w:val="auto"/>
                <w:sz w:val="21"/>
                <w:szCs w:val="21"/>
                <w:lang w:val="en-US" w:eastAsia="zh-CN"/>
              </w:rPr>
              <w:t>：</w:t>
            </w:r>
            <w:r>
              <w:rPr>
                <w:rFonts w:hint="eastAsia" w:cs="Times New Roman"/>
                <w:color w:val="auto"/>
                <w:sz w:val="21"/>
                <w:szCs w:val="21"/>
                <w:lang w:val="en-US" w:eastAsia="zh-CN"/>
              </w:rPr>
              <w:t>0.8</w:t>
            </w:r>
            <w:r>
              <w:rPr>
                <w:rFonts w:hint="eastAsia" w:eastAsia="宋体" w:cs="Times New Roman"/>
                <w:color w:val="auto"/>
                <w:sz w:val="21"/>
                <w:szCs w:val="21"/>
                <w:lang w:val="en-US" w:eastAsia="zh-CN"/>
              </w:rPr>
              <w:t>t/a、NO</w:t>
            </w:r>
            <w:r>
              <w:rPr>
                <w:rFonts w:hint="eastAsia" w:eastAsia="宋体" w:cs="Times New Roman"/>
                <w:color w:val="auto"/>
                <w:sz w:val="21"/>
                <w:szCs w:val="21"/>
                <w:vertAlign w:val="subscript"/>
                <w:lang w:val="en-US" w:eastAsia="zh-CN"/>
              </w:rPr>
              <w:t>X</w:t>
            </w:r>
            <w:r>
              <w:rPr>
                <w:rFonts w:hint="eastAsia" w:eastAsia="宋体" w:cs="Times New Roman"/>
                <w:color w:val="auto"/>
                <w:sz w:val="21"/>
                <w:szCs w:val="21"/>
                <w:lang w:val="en-US" w:eastAsia="zh-CN"/>
              </w:rPr>
              <w:t>：</w:t>
            </w:r>
            <w:r>
              <w:rPr>
                <w:rFonts w:hint="eastAsia" w:cs="Times New Roman"/>
                <w:color w:val="auto"/>
                <w:sz w:val="21"/>
                <w:szCs w:val="21"/>
                <w:lang w:val="en-US" w:eastAsia="zh-CN"/>
              </w:rPr>
              <w:t>2.788</w:t>
            </w:r>
            <w:r>
              <w:rPr>
                <w:rFonts w:hint="eastAsia" w:eastAsia="宋体" w:cs="Times New Roman"/>
                <w:color w:val="auto"/>
                <w:sz w:val="21"/>
                <w:szCs w:val="21"/>
                <w:lang w:val="en-US" w:eastAsia="zh-CN"/>
              </w:rPr>
              <w:t>t/a、颗粒物：</w:t>
            </w:r>
            <w:r>
              <w:rPr>
                <w:rFonts w:hint="eastAsia" w:cs="Times New Roman"/>
                <w:color w:val="auto"/>
                <w:sz w:val="21"/>
                <w:szCs w:val="21"/>
                <w:lang w:val="en-US" w:eastAsia="zh-CN"/>
              </w:rPr>
              <w:t>1.144</w:t>
            </w:r>
            <w:r>
              <w:rPr>
                <w:rFonts w:hint="eastAsia" w:eastAsia="宋体" w:cs="Times New Roman"/>
                <w:color w:val="auto"/>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bidi="ar-SA"/>
              </w:rPr>
            </w:pPr>
            <w:r>
              <w:rPr>
                <w:rFonts w:hint="eastAsia" w:eastAsia="宋体" w:cs="Times New Roman"/>
                <w:bCs/>
                <w:color w:val="auto"/>
                <w:sz w:val="21"/>
                <w:szCs w:val="21"/>
                <w:lang w:val="en-US" w:eastAsia="zh-CN" w:bidi="ar-SA"/>
              </w:rPr>
              <w:t>NO</w:t>
            </w:r>
            <w:r>
              <w:rPr>
                <w:rFonts w:hint="eastAsia" w:eastAsia="宋体" w:cs="Times New Roman"/>
                <w:bCs/>
                <w:color w:val="auto"/>
                <w:sz w:val="21"/>
                <w:szCs w:val="21"/>
                <w:vertAlign w:val="subscript"/>
                <w:lang w:val="en-US" w:eastAsia="zh-CN" w:bidi="ar-SA"/>
              </w:rPr>
              <w:t>X</w:t>
            </w:r>
          </w:p>
        </w:tc>
        <w:tc>
          <w:tcPr>
            <w:tcW w:w="98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32 </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0.3183</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2.788</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cs="Times New Roman"/>
                <w:color w:val="auto"/>
                <w:sz w:val="21"/>
                <w:szCs w:val="21"/>
                <w:lang w:val="en-US" w:eastAsia="zh-CN"/>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bidi="ar-SA"/>
              </w:rPr>
            </w:pPr>
            <w:r>
              <w:rPr>
                <w:rFonts w:hint="eastAsia" w:eastAsia="宋体" w:cs="Times New Roman"/>
                <w:bCs/>
                <w:color w:val="auto"/>
                <w:sz w:val="21"/>
                <w:szCs w:val="21"/>
                <w:lang w:val="en-US" w:eastAsia="zh-CN" w:bidi="ar-SA"/>
              </w:rPr>
              <w:t>烟尘</w:t>
            </w:r>
          </w:p>
        </w:tc>
        <w:tc>
          <w:tcPr>
            <w:tcW w:w="98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13 </w:t>
            </w:r>
          </w:p>
        </w:tc>
        <w:tc>
          <w:tcPr>
            <w:tcW w:w="10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0.1306</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1.144</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cs="Times New Roman"/>
                <w:color w:val="auto"/>
                <w:sz w:val="21"/>
                <w:szCs w:val="21"/>
                <w:lang w:val="en-US" w:eastAsia="zh-CN"/>
              </w:rPr>
            </w:pPr>
            <w:r>
              <w:rPr>
                <w:rFonts w:hint="eastAsia" w:hAnsi="宋体"/>
                <w:color w:val="auto"/>
                <w:sz w:val="21"/>
                <w:szCs w:val="21"/>
                <w:lang w:val="en-US" w:eastAsia="zh-CN"/>
              </w:rPr>
              <w:t>食堂油烟</w:t>
            </w:r>
          </w:p>
        </w:tc>
        <w:tc>
          <w:tcPr>
            <w:tcW w:w="1876"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油烟净化器+专用烟道</w:t>
            </w:r>
          </w:p>
        </w:tc>
        <w:tc>
          <w:tcPr>
            <w:tcW w:w="1522"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风机风量</w:t>
            </w:r>
            <w:r>
              <w:rPr>
                <w:rFonts w:hint="eastAsia" w:ascii="Times New Roman" w:hAnsi="Times New Roman" w:cs="Times New Roman"/>
                <w:color w:val="auto"/>
                <w:sz w:val="21"/>
                <w:szCs w:val="21"/>
                <w:lang w:val="en-US" w:eastAsia="zh-CN"/>
              </w:rPr>
              <w:t>2</w:t>
            </w:r>
            <w:r>
              <w:rPr>
                <w:rFonts w:hint="eastAsia" w:cs="Times New Roman"/>
                <w:color w:val="auto"/>
                <w:sz w:val="21"/>
                <w:szCs w:val="21"/>
                <w:lang w:val="en-US" w:eastAsia="zh-CN"/>
              </w:rPr>
              <w:t>8</w:t>
            </w:r>
            <w:r>
              <w:rPr>
                <w:rFonts w:hint="default" w:ascii="Times New Roman" w:hAnsi="Times New Roman" w:cs="Times New Roman"/>
                <w:color w:val="auto"/>
                <w:sz w:val="21"/>
                <w:szCs w:val="21"/>
              </w:rPr>
              <w:t>00</w:t>
            </w:r>
            <w:r>
              <w:rPr>
                <w:rFonts w:hint="eastAsia" w:cs="Times New Roman"/>
                <w:color w:val="auto"/>
                <w:sz w:val="21"/>
                <w:szCs w:val="21"/>
                <w:lang w:val="en-US" w:eastAsia="zh-CN"/>
              </w:rPr>
              <w:t>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137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lang w:val="en-US" w:eastAsia="zh-CN"/>
              </w:rPr>
            </w:pPr>
            <w:r>
              <w:rPr>
                <w:rFonts w:hint="eastAsia" w:cs="Times New Roman"/>
                <w:bCs/>
                <w:color w:val="auto"/>
                <w:sz w:val="21"/>
                <w:szCs w:val="21"/>
                <w:lang w:val="en-US" w:eastAsia="zh-CN"/>
              </w:rPr>
              <w:t>油烟</w:t>
            </w:r>
          </w:p>
        </w:tc>
        <w:tc>
          <w:tcPr>
            <w:tcW w:w="98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1.67</w:t>
            </w:r>
          </w:p>
        </w:tc>
        <w:tc>
          <w:tcPr>
            <w:tcW w:w="1073"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0.047</w:t>
            </w:r>
          </w:p>
        </w:tc>
        <w:tc>
          <w:tcPr>
            <w:tcW w:w="103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0.068</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《饮食业油烟排放标准》（GB18483-2001）</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传染性废水</w:t>
            </w:r>
          </w:p>
        </w:tc>
        <w:tc>
          <w:tcPr>
            <w:tcW w:w="1876"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eastAsia="zh-CN"/>
              </w:rPr>
              <w:t>预消毒池（采用单过硫酸氢钾复合盐消毒粉）</w:t>
            </w:r>
          </w:p>
        </w:tc>
        <w:tc>
          <w:tcPr>
            <w:tcW w:w="1522"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水量</w:t>
            </w:r>
          </w:p>
        </w:tc>
        <w:tc>
          <w:tcPr>
            <w:tcW w:w="98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1" w:type="dxa"/>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highlight w:val="yellow"/>
                <w:lang w:val="en-US" w:eastAsia="zh-CN"/>
              </w:rPr>
            </w:pPr>
          </w:p>
        </w:tc>
        <w:tc>
          <w:tcPr>
            <w:tcW w:w="2705"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十五里河污水处理厂</w:t>
            </w:r>
            <w:r>
              <w:rPr>
                <w:rFonts w:hint="default" w:ascii="Times New Roman" w:hAnsi="Times New Roman" w:cs="Times New Roman"/>
                <w:color w:val="auto"/>
                <w:sz w:val="21"/>
                <w:szCs w:val="21"/>
              </w:rPr>
              <w:t>接管标准及《</w:t>
            </w:r>
            <w:r>
              <w:rPr>
                <w:rFonts w:hint="eastAsia" w:cs="Times New Roman"/>
                <w:color w:val="auto"/>
                <w:sz w:val="21"/>
                <w:szCs w:val="21"/>
                <w:lang w:val="en-US" w:eastAsia="zh-CN"/>
              </w:rPr>
              <w:t>医疗机构水污染物排放标准</w:t>
            </w:r>
            <w:r>
              <w:rPr>
                <w:rFonts w:hint="default" w:ascii="Times New Roman" w:hAnsi="Times New Roman" w:cs="Times New Roman"/>
                <w:color w:val="auto"/>
                <w:sz w:val="21"/>
                <w:szCs w:val="21"/>
              </w:rPr>
              <w:t>》（GB</w:t>
            </w:r>
            <w:r>
              <w:rPr>
                <w:rFonts w:hint="eastAsia" w:cs="Times New Roman"/>
                <w:color w:val="auto"/>
                <w:sz w:val="21"/>
                <w:szCs w:val="21"/>
                <w:lang w:val="en-US" w:eastAsia="zh-CN"/>
              </w:rPr>
              <w:t>18466-2005</w:t>
            </w:r>
            <w:r>
              <w:rPr>
                <w:rFonts w:hint="default" w:ascii="Times New Roman" w:hAnsi="Times New Roman" w:cs="Times New Roman"/>
                <w:color w:val="auto"/>
                <w:sz w:val="21"/>
                <w:szCs w:val="21"/>
              </w:rPr>
              <w:t>）</w:t>
            </w:r>
            <w:r>
              <w:rPr>
                <w:rFonts w:hint="eastAsia" w:cs="Times New Roman"/>
                <w:color w:val="auto"/>
                <w:sz w:val="21"/>
                <w:szCs w:val="21"/>
                <w:lang w:val="en-US" w:eastAsia="zh-CN"/>
              </w:rPr>
              <w:t>表2预处理标准</w:t>
            </w:r>
          </w:p>
        </w:tc>
        <w:tc>
          <w:tcPr>
            <w:tcW w:w="92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废水总排口</w:t>
            </w:r>
          </w:p>
        </w:tc>
        <w:tc>
          <w:tcPr>
            <w:tcW w:w="903"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其它废水</w:t>
            </w:r>
          </w:p>
        </w:tc>
        <w:tc>
          <w:tcPr>
            <w:tcW w:w="1876"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化粪池、</w:t>
            </w:r>
            <w:r>
              <w:rPr>
                <w:rFonts w:hint="eastAsia" w:cs="Times New Roman"/>
                <w:color w:val="auto"/>
                <w:sz w:val="21"/>
                <w:szCs w:val="21"/>
                <w:lang w:eastAsia="zh-CN"/>
              </w:rPr>
              <w:t>污水处理设施</w:t>
            </w:r>
            <w:r>
              <w:rPr>
                <w:rFonts w:hint="default" w:ascii="Times New Roman" w:hAnsi="Times New Roman" w:cs="Times New Roman"/>
                <w:color w:val="auto"/>
                <w:sz w:val="21"/>
                <w:szCs w:val="21"/>
              </w:rPr>
              <w:t>，(</w:t>
            </w:r>
            <w:r>
              <w:rPr>
                <w:rFonts w:hint="eastAsia" w:cs="Times New Roman"/>
                <w:color w:val="auto"/>
                <w:sz w:val="21"/>
                <w:szCs w:val="21"/>
                <w:lang w:eastAsia="zh-CN"/>
              </w:rPr>
              <w:t>污水处理</w:t>
            </w:r>
            <w:r>
              <w:rPr>
                <w:rFonts w:hint="eastAsia" w:cs="Times New Roman"/>
                <w:color w:val="auto"/>
                <w:sz w:val="21"/>
                <w:szCs w:val="21"/>
                <w:lang w:val="en-US" w:eastAsia="zh-CN"/>
              </w:rPr>
              <w:t>工艺：</w:t>
            </w:r>
            <w:r>
              <w:rPr>
                <w:rFonts w:hint="eastAsia" w:cs="宋体"/>
                <w:color w:val="auto"/>
                <w:sz w:val="21"/>
                <w:szCs w:val="21"/>
                <w:lang w:val="en-US" w:eastAsia="zh-CN"/>
              </w:rPr>
              <w:t>“</w:t>
            </w:r>
            <w:r>
              <w:rPr>
                <w:rFonts w:hint="eastAsia" w:cs="Times New Roman"/>
                <w:color w:val="auto"/>
                <w:sz w:val="21"/>
                <w:szCs w:val="21"/>
                <w:lang w:val="en-US" w:eastAsia="zh-CN"/>
              </w:rPr>
              <w:t>格栅+调节池+水解酸化+生物接触氧化+沉淀+消毒</w:t>
            </w:r>
            <w:r>
              <w:rPr>
                <w:rFonts w:hint="eastAsia" w:cs="宋体"/>
                <w:color w:val="auto"/>
                <w:sz w:val="21"/>
                <w:szCs w:val="21"/>
                <w:lang w:val="en-US" w:eastAsia="zh-CN"/>
              </w:rPr>
              <w:t>”</w:t>
            </w:r>
            <w:r>
              <w:rPr>
                <w:rFonts w:hint="default" w:ascii="Times New Roman" w:hAnsi="Times New Roman" w:cs="Times New Roman"/>
                <w:color w:val="auto"/>
                <w:sz w:val="21"/>
                <w:szCs w:val="21"/>
              </w:rPr>
              <w:t>)</w:t>
            </w:r>
          </w:p>
        </w:tc>
        <w:tc>
          <w:tcPr>
            <w:tcW w:w="1522"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污水处理设施</w:t>
            </w:r>
            <w:r>
              <w:rPr>
                <w:rFonts w:hint="default" w:ascii="Times New Roman" w:hAnsi="Times New Roman" w:cs="Times New Roman"/>
                <w:color w:val="auto"/>
                <w:sz w:val="21"/>
                <w:szCs w:val="21"/>
              </w:rPr>
              <w:t>设计</w:t>
            </w:r>
            <w:r>
              <w:rPr>
                <w:rFonts w:hint="default" w:ascii="Times New Roman" w:hAnsi="Times New Roman" w:cs="Times New Roman"/>
                <w:color w:val="auto"/>
                <w:sz w:val="21"/>
                <w:szCs w:val="21"/>
                <w:highlight w:val="none"/>
              </w:rPr>
              <w:t>处理能力为</w:t>
            </w:r>
            <w:r>
              <w:rPr>
                <w:rFonts w:hint="eastAsia" w:cs="Times New Roman"/>
                <w:color w:val="auto"/>
                <w:sz w:val="21"/>
                <w:szCs w:val="21"/>
                <w:highlight w:val="none"/>
                <w:lang w:val="en-US" w:eastAsia="zh-CN"/>
              </w:rPr>
              <w:t>1200t/d</w:t>
            </w:r>
          </w:p>
        </w:tc>
        <w:tc>
          <w:tcPr>
            <w:tcW w:w="1375"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989"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i w:val="0"/>
                <w:color w:val="auto"/>
                <w:kern w:val="0"/>
                <w:sz w:val="21"/>
                <w:szCs w:val="21"/>
                <w:u w:val="none"/>
                <w:lang w:val="en-US" w:eastAsia="zh-CN" w:bidi="ar"/>
              </w:rPr>
              <w:t>15.76</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989"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i w:val="0"/>
                <w:color w:val="auto"/>
                <w:kern w:val="0"/>
                <w:sz w:val="21"/>
                <w:szCs w:val="21"/>
                <w:u w:val="none"/>
                <w:lang w:val="en-US" w:eastAsia="zh-CN" w:bidi="ar"/>
              </w:rPr>
              <w:t>2.8</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989"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i w:val="0"/>
                <w:color w:val="auto"/>
                <w:kern w:val="0"/>
                <w:sz w:val="21"/>
                <w:szCs w:val="21"/>
                <w:u w:val="none"/>
                <w:lang w:val="en-US" w:eastAsia="zh-CN" w:bidi="ar"/>
              </w:rPr>
              <w:t>3.50</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989"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5</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i w:val="0"/>
                <w:color w:val="auto"/>
                <w:kern w:val="0"/>
                <w:sz w:val="21"/>
                <w:szCs w:val="21"/>
                <w:u w:val="none"/>
                <w:lang w:val="en-US" w:eastAsia="zh-CN" w:bidi="ar"/>
              </w:rPr>
              <w:t>1.75</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876"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522"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137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动植物油</w:t>
            </w:r>
          </w:p>
        </w:tc>
        <w:tc>
          <w:tcPr>
            <w:tcW w:w="989" w:type="dxa"/>
            <w:noWrap w:val="0"/>
            <w:vAlign w:val="center"/>
          </w:tcPr>
          <w:p>
            <w:pPr>
              <w:keepNext w:val="0"/>
              <w:keepLines w:val="0"/>
              <w:pageBreakBefore w:val="0"/>
              <w:widowControl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107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i w:val="0"/>
                <w:color w:val="auto"/>
                <w:kern w:val="0"/>
                <w:sz w:val="21"/>
                <w:szCs w:val="21"/>
                <w:u w:val="none"/>
                <w:lang w:val="en-US" w:eastAsia="zh-CN" w:bidi="ar"/>
              </w:rPr>
              <w:t>0.12</w:t>
            </w:r>
          </w:p>
        </w:tc>
        <w:tc>
          <w:tcPr>
            <w:tcW w:w="2705"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2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设备噪声</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隔声房、减振垫、建筑隔声</w:t>
            </w:r>
          </w:p>
        </w:tc>
        <w:tc>
          <w:tcPr>
            <w:tcW w:w="4468" w:type="dxa"/>
            <w:gridSpan w:val="4"/>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rPr>
              <w:t>dB(A)(r0=1m处源强)</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院区执行</w:t>
            </w:r>
            <w:r>
              <w:rPr>
                <w:rFonts w:hint="default" w:ascii="Times New Roman" w:hAnsi="Times New Roman" w:cs="Times New Roman"/>
                <w:color w:val="auto"/>
                <w:sz w:val="21"/>
                <w:szCs w:val="21"/>
              </w:rPr>
              <w:t>《工业企业厂界环境噪声排放标准》(GB12348-2008)中</w:t>
            </w:r>
            <w:r>
              <w:rPr>
                <w:rFonts w:hint="eastAsia" w:cs="Times New Roman"/>
                <w:color w:val="auto"/>
                <w:sz w:val="21"/>
                <w:szCs w:val="21"/>
                <w:lang w:val="en-US" w:eastAsia="zh-CN"/>
              </w:rPr>
              <w:t>2</w:t>
            </w:r>
            <w:r>
              <w:rPr>
                <w:rFonts w:hint="eastAsia" w:ascii="Times New Roman" w:hAnsi="Times New Roman" w:cs="Times New Roman"/>
                <w:color w:val="auto"/>
                <w:sz w:val="21"/>
                <w:szCs w:val="21"/>
                <w:lang w:eastAsia="zh-CN"/>
              </w:rPr>
              <w:t>类</w:t>
            </w:r>
            <w:r>
              <w:rPr>
                <w:rFonts w:hint="default" w:ascii="Times New Roman" w:hAnsi="Times New Roman" w:cs="Times New Roman"/>
                <w:color w:val="auto"/>
                <w:sz w:val="21"/>
                <w:szCs w:val="21"/>
              </w:rPr>
              <w:t>标准</w:t>
            </w:r>
            <w:r>
              <w:rPr>
                <w:rFonts w:hint="eastAsia" w:cs="宋体"/>
                <w:color w:val="auto"/>
                <w:sz w:val="21"/>
                <w:szCs w:val="21"/>
                <w:lang w:eastAsia="zh-CN"/>
              </w:rPr>
              <w:t>；</w:t>
            </w:r>
            <w:r>
              <w:rPr>
                <w:rFonts w:hint="eastAsia" w:cs="Times New Roman"/>
                <w:color w:val="auto"/>
                <w:sz w:val="21"/>
                <w:szCs w:val="21"/>
                <w:lang w:eastAsia="zh-CN"/>
              </w:rPr>
              <w:t>东、南、西</w:t>
            </w:r>
            <w:r>
              <w:rPr>
                <w:rFonts w:hint="eastAsia" w:cs="Times New Roman"/>
                <w:color w:val="auto"/>
                <w:sz w:val="21"/>
                <w:szCs w:val="21"/>
                <w:lang w:val="en-US" w:eastAsia="zh-CN"/>
              </w:rPr>
              <w:t>场界临路</w:t>
            </w:r>
            <w:r>
              <w:rPr>
                <w:rFonts w:hint="eastAsia" w:ascii="Times New Roman" w:hAnsi="Times New Roman" w:cs="Times New Roman"/>
                <w:color w:val="auto"/>
                <w:kern w:val="2"/>
                <w:sz w:val="21"/>
                <w:szCs w:val="21"/>
                <w:vertAlign w:val="baseline"/>
                <w:lang w:val="en-US" w:eastAsia="zh-CN" w:bidi="ar-SA"/>
              </w:rPr>
              <w:t>35m±5m范围</w:t>
            </w:r>
            <w:r>
              <w:rPr>
                <w:rFonts w:hint="eastAsia" w:cs="Times New Roman"/>
                <w:color w:val="auto"/>
                <w:sz w:val="21"/>
                <w:szCs w:val="21"/>
                <w:lang w:val="en-US" w:eastAsia="zh-CN"/>
              </w:rPr>
              <w:t>执行</w:t>
            </w:r>
            <w:r>
              <w:rPr>
                <w:rFonts w:hint="default" w:ascii="Times New Roman" w:hAnsi="Times New Roman" w:cs="Times New Roman"/>
                <w:color w:val="auto"/>
                <w:sz w:val="21"/>
                <w:szCs w:val="21"/>
              </w:rPr>
              <w:t>《工业企业厂界环境噪声排放标准》(GB12348-2008)中</w:t>
            </w:r>
            <w:r>
              <w:rPr>
                <w:rFonts w:hint="eastAsia" w:cs="Times New Roman"/>
                <w:color w:val="auto"/>
                <w:sz w:val="21"/>
                <w:szCs w:val="21"/>
                <w:lang w:val="en-US" w:eastAsia="zh-CN"/>
              </w:rPr>
              <w:t>4</w:t>
            </w:r>
            <w:r>
              <w:rPr>
                <w:rFonts w:hint="eastAsia" w:ascii="Times New Roman" w:hAnsi="Times New Roman" w:cs="Times New Roman"/>
                <w:color w:val="auto"/>
                <w:sz w:val="21"/>
                <w:szCs w:val="21"/>
                <w:lang w:eastAsia="zh-CN"/>
              </w:rPr>
              <w:t>类</w:t>
            </w:r>
            <w:r>
              <w:rPr>
                <w:rFonts w:hint="default" w:ascii="Times New Roman" w:hAnsi="Times New Roman" w:cs="Times New Roman"/>
                <w:color w:val="auto"/>
                <w:sz w:val="21"/>
                <w:szCs w:val="21"/>
              </w:rPr>
              <w:t>标准</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restart"/>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危险废物</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医疗废物暂存间</w:t>
            </w:r>
            <w:r>
              <w:rPr>
                <w:rFonts w:hint="eastAsia" w:cs="Times New Roman"/>
                <w:color w:val="auto"/>
                <w:sz w:val="21"/>
                <w:szCs w:val="21"/>
                <w:lang w:val="en-US" w:eastAsia="zh-CN"/>
              </w:rPr>
              <w:t>建筑面积80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eastAsia" w:cs="Times New Roman"/>
                <w:color w:val="auto"/>
                <w:sz w:val="21"/>
                <w:szCs w:val="21"/>
                <w:lang w:eastAsia="zh-CN"/>
              </w:rPr>
              <w:t>、危废暂存间</w:t>
            </w:r>
          </w:p>
        </w:tc>
        <w:tc>
          <w:tcPr>
            <w:tcW w:w="3437" w:type="dxa"/>
            <w:gridSpan w:val="3"/>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委托有危废资质</w:t>
            </w:r>
            <w:r>
              <w:rPr>
                <w:rFonts w:hint="eastAsia" w:cs="Times New Roman"/>
                <w:color w:val="auto"/>
                <w:sz w:val="21"/>
                <w:szCs w:val="21"/>
                <w:lang w:eastAsia="zh-CN"/>
              </w:rPr>
              <w:t>的</w:t>
            </w:r>
            <w:r>
              <w:rPr>
                <w:rFonts w:hint="default" w:ascii="Times New Roman" w:hAnsi="Times New Roman" w:cs="Times New Roman"/>
                <w:color w:val="auto"/>
                <w:sz w:val="21"/>
                <w:szCs w:val="21"/>
              </w:rPr>
              <w:t>单位收集处置</w:t>
            </w:r>
          </w:p>
        </w:tc>
        <w:tc>
          <w:tcPr>
            <w:tcW w:w="1031"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《危险废物贮存污染控制标准》(GB18597-2001)及2013年修改单</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t>
            </w: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一般固废</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一般固废暂存间，建筑面积80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p>
        </w:tc>
        <w:tc>
          <w:tcPr>
            <w:tcW w:w="3437" w:type="dxa"/>
            <w:gridSpan w:val="3"/>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废离子交换树脂</w:t>
            </w:r>
            <w:r>
              <w:rPr>
                <w:rFonts w:hint="eastAsia" w:cs="Times New Roman"/>
                <w:color w:val="auto"/>
                <w:sz w:val="21"/>
                <w:szCs w:val="21"/>
                <w:lang w:val="en-US" w:eastAsia="zh-CN"/>
              </w:rPr>
              <w:t>、废空气过滤器每</w:t>
            </w:r>
            <w:r>
              <w:rPr>
                <w:rFonts w:hint="default" w:ascii="Times New Roman" w:hAnsi="Times New Roman" w:cs="Times New Roman"/>
                <w:color w:val="auto"/>
                <w:sz w:val="21"/>
                <w:szCs w:val="21"/>
                <w:lang w:val="en-US" w:eastAsia="zh-CN"/>
              </w:rPr>
              <w:t>次更换后由设备厂商带走，未被污染的输液瓶（袋）委托</w:t>
            </w:r>
            <w:r>
              <w:rPr>
                <w:rFonts w:hint="eastAsia" w:cs="Times New Roman"/>
                <w:color w:val="auto"/>
                <w:sz w:val="21"/>
                <w:szCs w:val="21"/>
                <w:lang w:val="en-US" w:eastAsia="zh-CN"/>
              </w:rPr>
              <w:t>其他单位</w:t>
            </w:r>
            <w:r>
              <w:rPr>
                <w:rFonts w:hint="default" w:ascii="Times New Roman" w:hAnsi="Times New Roman" w:cs="Times New Roman"/>
                <w:color w:val="auto"/>
                <w:sz w:val="21"/>
                <w:szCs w:val="21"/>
                <w:lang w:val="en-US" w:eastAsia="zh-CN"/>
              </w:rPr>
              <w:t>回收处理</w:t>
            </w:r>
          </w:p>
        </w:tc>
        <w:tc>
          <w:tcPr>
            <w:tcW w:w="1031"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《一般工业固体废物贮存和填埋污染控制标准》（GB 18599-2020）</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vMerge w:val="continue"/>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垃圾桶</w:t>
            </w:r>
          </w:p>
        </w:tc>
        <w:tc>
          <w:tcPr>
            <w:tcW w:w="3437" w:type="dxa"/>
            <w:gridSpan w:val="3"/>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环卫</w:t>
            </w:r>
            <w:r>
              <w:rPr>
                <w:rFonts w:hint="eastAsia" w:cs="Times New Roman"/>
                <w:color w:val="auto"/>
                <w:sz w:val="21"/>
                <w:szCs w:val="21"/>
                <w:lang w:val="en-US" w:eastAsia="zh-CN"/>
              </w:rPr>
              <w:t>部门清运</w:t>
            </w:r>
          </w:p>
        </w:tc>
        <w:tc>
          <w:tcPr>
            <w:tcW w:w="1031"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环境风险</w:t>
            </w:r>
          </w:p>
        </w:tc>
        <w:tc>
          <w:tcPr>
            <w:tcW w:w="876"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398" w:type="dxa"/>
            <w:gridSpan w:val="2"/>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应急事故池</w:t>
            </w:r>
          </w:p>
        </w:tc>
        <w:tc>
          <w:tcPr>
            <w:tcW w:w="4468" w:type="dxa"/>
            <w:gridSpan w:val="4"/>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i w:val="0"/>
                <w:color w:val="auto"/>
                <w:sz w:val="21"/>
                <w:szCs w:val="21"/>
                <w:u w:val="none"/>
                <w:lang w:val="en-US" w:eastAsia="zh-CN"/>
              </w:rPr>
              <w:t>新建600</w:t>
            </w:r>
            <w:r>
              <w:rPr>
                <w:rFonts w:hint="default" w:ascii="Times New Roman" w:hAnsi="Times New Roman" w:eastAsia="宋体" w:cs="Times New Roman"/>
                <w:i w:val="0"/>
                <w:color w:val="auto"/>
                <w:kern w:val="0"/>
                <w:sz w:val="21"/>
                <w:szCs w:val="21"/>
                <w:u w:val="none"/>
                <w:lang w:val="en-US" w:eastAsia="zh-CN" w:bidi="ar"/>
              </w:rPr>
              <w:t>m</w:t>
            </w:r>
            <w:r>
              <w:rPr>
                <w:rFonts w:hint="eastAsia" w:ascii="Times New Roman" w:hAnsi="Times New Roman" w:eastAsia="宋体" w:cs="Times New Roman"/>
                <w:i w:val="0"/>
                <w:color w:val="auto"/>
                <w:kern w:val="0"/>
                <w:sz w:val="21"/>
                <w:szCs w:val="21"/>
                <w:u w:val="none"/>
                <w:vertAlign w:val="superscript"/>
                <w:lang w:val="en-US" w:eastAsia="zh-CN" w:bidi="ar"/>
              </w:rPr>
              <w:t>3</w:t>
            </w:r>
            <w:r>
              <w:rPr>
                <w:rFonts w:hint="eastAsia" w:ascii="Times New Roman" w:hAnsi="Times New Roman" w:eastAsia="宋体" w:cs="Times New Roman"/>
                <w:i w:val="0"/>
                <w:color w:val="auto"/>
                <w:kern w:val="0"/>
                <w:sz w:val="21"/>
                <w:szCs w:val="21"/>
                <w:u w:val="none"/>
                <w:vertAlign w:val="baseline"/>
                <w:lang w:val="en-US" w:eastAsia="zh-CN" w:bidi="ar"/>
              </w:rPr>
              <w:t>应急事故池</w:t>
            </w:r>
          </w:p>
        </w:tc>
        <w:tc>
          <w:tcPr>
            <w:tcW w:w="2705"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29"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03" w:type="dxa"/>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bl>
    <w:p>
      <w:pPr>
        <w:bidi w:val="0"/>
        <w:rPr>
          <w:rFonts w:hint="eastAsia"/>
          <w:color w:val="auto"/>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pPr>
        <w:numPr>
          <w:ilvl w:val="0"/>
          <w:numId w:val="11"/>
        </w:numPr>
        <w:spacing w:line="360" w:lineRule="auto"/>
        <w:ind w:left="0" w:leftChars="0" w:firstLine="480" w:firstLineChars="200"/>
        <w:jc w:val="left"/>
        <w:rPr>
          <w:rFonts w:hint="eastAsia"/>
          <w:color w:val="auto"/>
          <w:lang w:val="en-US" w:eastAsia="zh-CN"/>
        </w:rPr>
      </w:pPr>
      <w:r>
        <w:rPr>
          <w:rFonts w:hint="eastAsia"/>
          <w:color w:val="auto"/>
          <w:lang w:val="en-US" w:eastAsia="zh-CN"/>
        </w:rPr>
        <w:t>信息公开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color w:val="auto"/>
          <w:kern w:val="0"/>
        </w:rPr>
      </w:pPr>
      <w:r>
        <w:rPr>
          <w:color w:val="auto"/>
          <w:kern w:val="0"/>
        </w:rPr>
        <w:t>根据《企业事业单位环境信息公开办法》（环境保护部令第31号）第十二条：重点排污单位之外的企业事业单位可以参照本办法第九条、第十条和第十一条的规定公开其环境信息。</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left"/>
        <w:textAlignment w:val="auto"/>
        <w:rPr>
          <w:color w:val="auto"/>
          <w:kern w:val="0"/>
        </w:rPr>
      </w:pPr>
      <w:r>
        <w:rPr>
          <w:color w:val="auto"/>
          <w:kern w:val="0"/>
        </w:rPr>
        <w:t>信息公开内容参照《企业事业单位环境信息公开办法》（环境保护部令第31号）第九条中的内容，即公开下列信息：</w:t>
      </w:r>
    </w:p>
    <w:p>
      <w:pPr>
        <w:spacing w:line="360" w:lineRule="auto"/>
        <w:ind w:firstLine="480" w:firstLineChars="200"/>
        <w:jc w:val="left"/>
        <w:rPr>
          <w:rFonts w:hint="eastAsia" w:eastAsia="宋体"/>
          <w:color w:val="auto"/>
          <w:kern w:val="0"/>
          <w:lang w:eastAsia="zh-CN"/>
        </w:rPr>
      </w:pPr>
      <w:r>
        <w:rPr>
          <w:color w:val="auto"/>
          <w:kern w:val="0"/>
        </w:rPr>
        <w:t>1、基础信息，包括单位单位名称、组织机构代码、法定代表人、地址、联系方式，以及生产经营和管理服务的主要内容及规模</w:t>
      </w:r>
      <w:r>
        <w:rPr>
          <w:rFonts w:hint="eastAsia" w:cs="宋体"/>
          <w:color w:val="auto"/>
          <w:kern w:val="0"/>
          <w:lang w:eastAsia="zh-CN"/>
        </w:rPr>
        <w:t>；</w:t>
      </w:r>
    </w:p>
    <w:p>
      <w:pPr>
        <w:spacing w:line="360" w:lineRule="auto"/>
        <w:ind w:firstLine="480" w:firstLineChars="200"/>
        <w:jc w:val="left"/>
        <w:rPr>
          <w:rFonts w:hint="eastAsia" w:eastAsia="宋体"/>
          <w:color w:val="auto"/>
          <w:kern w:val="0"/>
          <w:lang w:eastAsia="zh-CN"/>
        </w:rPr>
      </w:pPr>
      <w:r>
        <w:rPr>
          <w:color w:val="auto"/>
          <w:kern w:val="0"/>
        </w:rPr>
        <w:t>2、排污信息，包括主要污染物及特征污染物的名称、排放方式、排放口数量和分布情况、排放浓度和总量、超标情况，以及执行的污染物排放标准、核定的排放总量</w:t>
      </w:r>
      <w:r>
        <w:rPr>
          <w:rFonts w:hint="eastAsia" w:cs="宋体"/>
          <w:color w:val="auto"/>
          <w:kern w:val="0"/>
          <w:lang w:eastAsia="zh-CN"/>
        </w:rPr>
        <w:t>；</w:t>
      </w:r>
    </w:p>
    <w:p>
      <w:pPr>
        <w:spacing w:line="360" w:lineRule="auto"/>
        <w:ind w:firstLine="480" w:firstLineChars="200"/>
        <w:jc w:val="left"/>
        <w:rPr>
          <w:rFonts w:hint="eastAsia" w:eastAsia="宋体"/>
          <w:color w:val="auto"/>
          <w:kern w:val="0"/>
          <w:lang w:eastAsia="zh-CN"/>
        </w:rPr>
      </w:pPr>
      <w:r>
        <w:rPr>
          <w:color w:val="auto"/>
          <w:kern w:val="0"/>
        </w:rPr>
        <w:t>3、防治污染设施的建设和运行情况</w:t>
      </w:r>
      <w:r>
        <w:rPr>
          <w:rFonts w:hint="eastAsia" w:cs="宋体"/>
          <w:color w:val="auto"/>
          <w:kern w:val="0"/>
          <w:lang w:eastAsia="zh-CN"/>
        </w:rPr>
        <w:t>；</w:t>
      </w:r>
    </w:p>
    <w:p>
      <w:pPr>
        <w:spacing w:line="360" w:lineRule="auto"/>
        <w:ind w:firstLine="480" w:firstLineChars="200"/>
        <w:jc w:val="left"/>
        <w:rPr>
          <w:rFonts w:hint="eastAsia" w:eastAsia="宋体"/>
          <w:color w:val="auto"/>
          <w:kern w:val="0"/>
          <w:lang w:eastAsia="zh-CN"/>
        </w:rPr>
      </w:pPr>
      <w:r>
        <w:rPr>
          <w:color w:val="auto"/>
          <w:kern w:val="0"/>
        </w:rPr>
        <w:t>4、建设项目环境影响评价及其他环境保护行政许可情况</w:t>
      </w:r>
      <w:r>
        <w:rPr>
          <w:rFonts w:hint="eastAsia" w:cs="宋体"/>
          <w:color w:val="auto"/>
          <w:kern w:val="0"/>
          <w:lang w:eastAsia="zh-CN"/>
        </w:rPr>
        <w:t>；</w:t>
      </w:r>
    </w:p>
    <w:p>
      <w:pPr>
        <w:spacing w:line="360" w:lineRule="auto"/>
        <w:ind w:firstLine="480" w:firstLineChars="200"/>
        <w:jc w:val="left"/>
        <w:rPr>
          <w:rFonts w:hint="eastAsia"/>
          <w:color w:val="auto"/>
          <w:kern w:val="0"/>
        </w:rPr>
      </w:pPr>
      <w:r>
        <w:rPr>
          <w:color w:val="auto"/>
          <w:kern w:val="0"/>
        </w:rPr>
        <w:t>5、突发环境事件应急预案</w:t>
      </w:r>
      <w:r>
        <w:rPr>
          <w:rFonts w:hint="eastAsia"/>
          <w:color w:val="auto"/>
          <w:kern w:val="0"/>
        </w:rPr>
        <w:t>。</w:t>
      </w:r>
    </w:p>
    <w:p>
      <w:pPr>
        <w:pStyle w:val="4"/>
        <w:pageBreakBefore w:val="0"/>
        <w:widowControl w:val="0"/>
        <w:numPr>
          <w:ilvl w:val="1"/>
          <w:numId w:val="0"/>
        </w:numPr>
        <w:kinsoku/>
        <w:wordWrap/>
        <w:overflowPunct/>
        <w:topLinePunct w:val="0"/>
        <w:autoSpaceDE/>
        <w:autoSpaceDN/>
        <w:bidi w:val="0"/>
        <w:adjustRightInd/>
        <w:snapToGrid/>
        <w:spacing w:before="0" w:after="0" w:line="480" w:lineRule="exact"/>
        <w:ind w:left="30" w:leftChars="0" w:right="0" w:rightChars="0"/>
        <w:textAlignment w:val="auto"/>
        <w:rPr>
          <w:bCs w:val="0"/>
          <w:color w:val="auto"/>
          <w:szCs w:val="28"/>
        </w:rPr>
      </w:pPr>
      <w:bookmarkStart w:id="119" w:name="_Toc15491"/>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6</w:t>
      </w:r>
      <w:r>
        <w:rPr>
          <w:rFonts w:hint="eastAsia"/>
          <w:bCs w:val="0"/>
          <w:color w:val="auto"/>
          <w:szCs w:val="28"/>
        </w:rPr>
        <w:t>总量控制</w:t>
      </w:r>
      <w:bookmarkEnd w:id="119"/>
    </w:p>
    <w:p>
      <w:pPr>
        <w:pageBreakBefore w:val="0"/>
        <w:widowControl w:val="0"/>
        <w:kinsoku/>
        <w:wordWrap/>
        <w:overflowPunct/>
        <w:topLinePunct w:val="0"/>
        <w:autoSpaceDE/>
        <w:autoSpaceDN/>
        <w:bidi w:val="0"/>
        <w:adjustRightInd/>
        <w:snapToGrid/>
        <w:spacing w:line="480" w:lineRule="exact"/>
        <w:ind w:right="0" w:rightChars="0" w:firstLine="480"/>
        <w:textAlignment w:val="auto"/>
        <w:rPr>
          <w:color w:val="auto"/>
        </w:rPr>
      </w:pPr>
      <w:r>
        <w:rPr>
          <w:rFonts w:hint="eastAsia"/>
          <w:color w:val="auto"/>
        </w:rPr>
        <w:t>总</w:t>
      </w:r>
      <w:r>
        <w:rPr>
          <w:color w:val="auto"/>
        </w:rPr>
        <w:t>量控制，旨在发展经济的同时，把污染物的排放量控制在自然环境承载能力之内，保证环境质量。实施污染物排放总量控制是考核各级人民政府和企业环境保护目标责任制的重要指标，也是保护和改善环境质量的具体措施之一。</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color w:val="auto"/>
        </w:rPr>
      </w:pPr>
      <w:r>
        <w:rPr>
          <w:color w:val="auto"/>
        </w:rPr>
        <w:t>目前国家实施污染物排放总量控制的基本原则是：由各级政府层层分解下达区域控制指标，各级政府再根据辖区内企业发展和污染防治规划情况，将具体指标分解下达至企业。对</w:t>
      </w:r>
      <w:r>
        <w:rPr>
          <w:rFonts w:hint="eastAsia"/>
          <w:color w:val="auto"/>
          <w:lang w:val="en-US" w:eastAsia="zh-CN"/>
        </w:rPr>
        <w:t>涉及</w:t>
      </w:r>
      <w:r>
        <w:rPr>
          <w:color w:val="auto"/>
        </w:rPr>
        <w:t>增加排污总量的</w:t>
      </w:r>
      <w:r>
        <w:rPr>
          <w:rFonts w:hint="eastAsia"/>
          <w:color w:val="auto"/>
          <w:lang w:val="en-US" w:eastAsia="zh-CN"/>
        </w:rPr>
        <w:t>建设</w:t>
      </w:r>
      <w:r>
        <w:rPr>
          <w:color w:val="auto"/>
        </w:rPr>
        <w:t>项目，可经企业申请，由当地</w:t>
      </w:r>
      <w:r>
        <w:rPr>
          <w:rFonts w:hint="eastAsia"/>
          <w:color w:val="auto"/>
        </w:rPr>
        <w:t>主管部门</w:t>
      </w:r>
      <w:r>
        <w:rPr>
          <w:color w:val="auto"/>
        </w:rPr>
        <w:t>根据环境容量条件，从区域控制指标内调剂解决。</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rFonts w:hint="default" w:ascii="Times New Roman" w:hAnsi="Times New Roman" w:eastAsia="宋体" w:cs="Times New Roman"/>
          <w:i w:val="0"/>
          <w:color w:val="auto"/>
          <w:kern w:val="0"/>
          <w:sz w:val="24"/>
          <w:szCs w:val="24"/>
          <w:highlight w:val="none"/>
          <w:u w:val="none"/>
          <w:lang w:val="en-US" w:eastAsia="zh-CN" w:bidi="ar"/>
        </w:rPr>
      </w:pPr>
      <w:r>
        <w:rPr>
          <w:rFonts w:hint="default" w:ascii="Times New Roman" w:hAnsi="Times New Roman" w:cs="Times New Roman"/>
          <w:color w:val="auto"/>
          <w:spacing w:val="-7"/>
          <w:lang w:eastAsia="zh-CN"/>
        </w:rPr>
        <w:t>本项目废气根据工程分析，确定大气污染物总量指标为 SO</w:t>
      </w:r>
      <w:r>
        <w:rPr>
          <w:rFonts w:hint="default" w:ascii="Times New Roman" w:hAnsi="Times New Roman" w:cs="Times New Roman"/>
          <w:color w:val="auto"/>
          <w:spacing w:val="-7"/>
          <w:vertAlign w:val="subscript"/>
          <w:lang w:eastAsia="zh-CN"/>
        </w:rPr>
        <w:t xml:space="preserve">2 </w:t>
      </w:r>
      <w:r>
        <w:rPr>
          <w:rFonts w:hint="default" w:ascii="Times New Roman" w:hAnsi="Times New Roman" w:cs="Times New Roman"/>
          <w:color w:val="auto"/>
          <w:spacing w:val="-7"/>
          <w:lang w:eastAsia="zh-CN"/>
        </w:rPr>
        <w:t>：0.</w:t>
      </w:r>
      <w:r>
        <w:rPr>
          <w:rFonts w:hint="eastAsia" w:ascii="Times New Roman" w:hAnsi="Times New Roman" w:cs="Times New Roman"/>
          <w:color w:val="auto"/>
          <w:spacing w:val="-7"/>
          <w:lang w:val="en-US" w:eastAsia="zh-CN"/>
        </w:rPr>
        <w:t>8</w:t>
      </w:r>
      <w:r>
        <w:rPr>
          <w:rFonts w:hint="default" w:ascii="Times New Roman" w:hAnsi="Times New Roman" w:cs="Times New Roman"/>
          <w:color w:val="auto"/>
          <w:spacing w:val="-7"/>
          <w:lang w:eastAsia="zh-CN"/>
        </w:rPr>
        <w:t xml:space="preserve"> t/a、NO</w:t>
      </w:r>
      <w:r>
        <w:rPr>
          <w:rFonts w:hint="default" w:ascii="Times New Roman" w:hAnsi="Times New Roman" w:cs="Times New Roman"/>
          <w:color w:val="auto"/>
          <w:spacing w:val="-7"/>
          <w:vertAlign w:val="subscript"/>
          <w:lang w:eastAsia="zh-CN"/>
        </w:rPr>
        <w:t>X</w:t>
      </w:r>
      <w:r>
        <w:rPr>
          <w:rFonts w:hint="default" w:ascii="Times New Roman" w:hAnsi="Times New Roman" w:cs="Times New Roman"/>
          <w:color w:val="auto"/>
          <w:spacing w:val="-7"/>
          <w:lang w:eastAsia="zh-CN"/>
        </w:rPr>
        <w:t xml:space="preserve"> ：</w:t>
      </w:r>
      <w:r>
        <w:rPr>
          <w:rFonts w:hint="eastAsia" w:ascii="Times New Roman" w:hAnsi="Times New Roman" w:cs="Times New Roman"/>
          <w:color w:val="auto"/>
          <w:spacing w:val="-7"/>
          <w:lang w:val="en-US" w:eastAsia="zh-CN"/>
        </w:rPr>
        <w:t>2.788</w:t>
      </w:r>
      <w:r>
        <w:rPr>
          <w:rFonts w:hint="default" w:ascii="Times New Roman" w:hAnsi="Times New Roman" w:cs="Times New Roman"/>
          <w:color w:val="auto"/>
          <w:spacing w:val="-7"/>
          <w:lang w:eastAsia="zh-CN"/>
        </w:rPr>
        <w:t>t/a、烟粉尘：</w:t>
      </w:r>
      <w:r>
        <w:rPr>
          <w:rFonts w:hint="eastAsia" w:ascii="Times New Roman" w:hAnsi="Times New Roman" w:cs="Times New Roman"/>
          <w:color w:val="auto"/>
          <w:spacing w:val="-7"/>
          <w:lang w:val="en-US" w:eastAsia="zh-CN"/>
        </w:rPr>
        <w:t>1.144</w:t>
      </w:r>
      <w:r>
        <w:rPr>
          <w:rFonts w:hint="default" w:ascii="Times New Roman" w:hAnsi="Times New Roman" w:cs="Times New Roman"/>
          <w:color w:val="auto"/>
          <w:spacing w:val="-7"/>
          <w:lang w:eastAsia="zh-CN"/>
        </w:rPr>
        <w:t xml:space="preserve"> t/a</w:t>
      </w:r>
      <w:r>
        <w:rPr>
          <w:rFonts w:hint="eastAsia" w:ascii="Times New Roman" w:hAnsi="Times New Roman" w:cs="Times New Roman"/>
          <w:color w:val="auto"/>
          <w:spacing w:val="-7"/>
          <w:lang w:eastAsia="zh-CN"/>
        </w:rPr>
        <w:t>；废气总量指标需实行倍量替代。</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rFonts w:hint="default" w:ascii="Times New Roman" w:hAnsi="Times New Roman" w:cs="Times New Roman"/>
          <w:color w:val="auto"/>
          <w:w w:val="100"/>
        </w:rPr>
      </w:pPr>
      <w:r>
        <w:rPr>
          <w:rFonts w:hint="default" w:ascii="Times New Roman" w:hAnsi="Times New Roman" w:cs="Times New Roman"/>
          <w:color w:val="auto"/>
          <w:spacing w:val="-7"/>
          <w:lang w:eastAsia="zh-CN"/>
        </w:rPr>
        <w:t>本项目废水</w:t>
      </w:r>
      <w:r>
        <w:rPr>
          <w:rFonts w:hint="default" w:ascii="Times New Roman" w:hAnsi="Times New Roman" w:cs="Times New Roman"/>
          <w:color w:val="auto"/>
          <w:sz w:val="24"/>
          <w:lang w:eastAsia="zh-CN"/>
        </w:rPr>
        <w:t>经市政污水管网排入</w:t>
      </w:r>
      <w:r>
        <w:rPr>
          <w:rFonts w:hint="eastAsia" w:cs="Times New Roman"/>
          <w:color w:val="auto"/>
          <w:sz w:val="24"/>
          <w:lang w:eastAsia="zh-CN"/>
        </w:rPr>
        <w:t>十五里河污水处理厂</w:t>
      </w:r>
      <w:r>
        <w:rPr>
          <w:rFonts w:hint="eastAsia" w:ascii="Times New Roman" w:hAnsi="Times New Roman" w:cs="Times New Roman"/>
          <w:color w:val="auto"/>
          <w:sz w:val="24"/>
          <w:lang w:eastAsia="zh-CN"/>
        </w:rPr>
        <w:t>，最终</w:t>
      </w:r>
      <w:r>
        <w:rPr>
          <w:rFonts w:hint="default" w:ascii="Times New Roman" w:hAnsi="Times New Roman" w:cs="Times New Roman"/>
          <w:color w:val="auto"/>
          <w:spacing w:val="-7"/>
          <w:lang w:eastAsia="zh-CN"/>
        </w:rPr>
        <w:t>排入外环境量</w:t>
      </w:r>
      <w:r>
        <w:rPr>
          <w:rFonts w:hint="eastAsia" w:ascii="Times New Roman" w:hAnsi="Times New Roman" w:cs="Times New Roman"/>
          <w:color w:val="auto"/>
          <w:spacing w:val="-7"/>
          <w:lang w:eastAsia="zh-CN"/>
        </w:rPr>
        <w:t>为</w:t>
      </w:r>
      <w:r>
        <w:rPr>
          <w:rFonts w:hint="default" w:ascii="Times New Roman" w:hAnsi="Times New Roman" w:cs="Times New Roman"/>
          <w:color w:val="auto"/>
          <w:spacing w:val="-7"/>
          <w:lang w:eastAsia="zh-CN"/>
        </w:rPr>
        <w:t xml:space="preserve"> COD：1</w:t>
      </w:r>
      <w:r>
        <w:rPr>
          <w:rFonts w:hint="eastAsia" w:ascii="Times New Roman" w:hAnsi="Times New Roman" w:cs="Times New Roman"/>
          <w:color w:val="auto"/>
          <w:spacing w:val="-7"/>
          <w:lang w:val="en-US" w:eastAsia="zh-CN"/>
        </w:rPr>
        <w:t>5.76</w:t>
      </w:r>
      <w:r>
        <w:rPr>
          <w:rFonts w:hint="default" w:ascii="Times New Roman" w:hAnsi="Times New Roman" w:cs="Times New Roman"/>
          <w:color w:val="auto"/>
          <w:spacing w:val="-7"/>
          <w:lang w:eastAsia="zh-CN"/>
        </w:rPr>
        <w:t xml:space="preserve"> t/a、NH</w:t>
      </w:r>
      <w:r>
        <w:rPr>
          <w:rFonts w:hint="default" w:ascii="Times New Roman" w:hAnsi="Times New Roman" w:cs="Times New Roman"/>
          <w:color w:val="auto"/>
          <w:spacing w:val="-7"/>
          <w:vertAlign w:val="subscript"/>
          <w:lang w:eastAsia="zh-CN"/>
        </w:rPr>
        <w:t>3</w:t>
      </w:r>
      <w:r>
        <w:rPr>
          <w:rFonts w:hint="default" w:ascii="Times New Roman" w:hAnsi="Times New Roman" w:cs="Times New Roman"/>
          <w:color w:val="auto"/>
          <w:spacing w:val="-7"/>
          <w:lang w:eastAsia="zh-CN"/>
        </w:rPr>
        <w:t>-N：1.</w:t>
      </w:r>
      <w:r>
        <w:rPr>
          <w:rFonts w:hint="eastAsia" w:ascii="Times New Roman" w:hAnsi="Times New Roman" w:cs="Times New Roman"/>
          <w:color w:val="auto"/>
          <w:spacing w:val="-7"/>
          <w:lang w:val="en-US" w:eastAsia="zh-CN"/>
        </w:rPr>
        <w:t>75</w:t>
      </w:r>
      <w:r>
        <w:rPr>
          <w:rFonts w:hint="default" w:ascii="Times New Roman" w:hAnsi="Times New Roman" w:cs="Times New Roman"/>
          <w:color w:val="auto"/>
          <w:spacing w:val="-7"/>
          <w:lang w:eastAsia="zh-CN"/>
        </w:rPr>
        <w:t xml:space="preserve"> t/a</w:t>
      </w:r>
      <w:r>
        <w:rPr>
          <w:rFonts w:hint="eastAsia" w:cs="Times New Roman"/>
          <w:color w:val="auto"/>
          <w:w w:val="100"/>
          <w:szCs w:val="21"/>
          <w:lang w:eastAsia="zh-CN"/>
        </w:rPr>
        <w:t>；</w:t>
      </w:r>
      <w:r>
        <w:rPr>
          <w:rFonts w:hint="default" w:ascii="Times New Roman" w:hAnsi="Times New Roman" w:cs="Times New Roman"/>
          <w:bCs/>
          <w:color w:val="auto"/>
          <w:w w:val="100"/>
        </w:rPr>
        <w:t>总量</w:t>
      </w:r>
      <w:r>
        <w:rPr>
          <w:rFonts w:hint="default" w:ascii="Times New Roman" w:hAnsi="Times New Roman" w:cs="Times New Roman"/>
          <w:color w:val="auto"/>
          <w:w w:val="100"/>
        </w:rPr>
        <w:t>纳入</w:t>
      </w:r>
      <w:r>
        <w:rPr>
          <w:rFonts w:hint="eastAsia" w:cs="Times New Roman"/>
          <w:color w:val="auto"/>
          <w:w w:val="100"/>
          <w:lang w:eastAsia="zh-CN"/>
        </w:rPr>
        <w:t>十五里河污水处理厂</w:t>
      </w:r>
      <w:r>
        <w:rPr>
          <w:rFonts w:hint="default" w:ascii="Times New Roman" w:hAnsi="Times New Roman" w:cs="Times New Roman"/>
          <w:color w:val="auto"/>
          <w:w w:val="100"/>
        </w:rPr>
        <w:t>总量控制范围内</w:t>
      </w:r>
      <w:r>
        <w:rPr>
          <w:rFonts w:hint="default" w:ascii="Times New Roman" w:hAnsi="Times New Roman" w:eastAsia="宋体" w:cs="Times New Roman"/>
          <w:color w:val="auto"/>
          <w:w w:val="100"/>
          <w:szCs w:val="21"/>
          <w:lang w:eastAsia="zh-CN"/>
        </w:rPr>
        <w:t>，</w:t>
      </w:r>
      <w:r>
        <w:rPr>
          <w:rFonts w:hint="default" w:ascii="Times New Roman" w:hAnsi="Times New Roman" w:cs="Times New Roman"/>
          <w:color w:val="auto"/>
          <w:w w:val="100"/>
        </w:rPr>
        <w:t>不另申请总量指标。</w:t>
      </w:r>
    </w:p>
    <w:p>
      <w:pPr>
        <w:pStyle w:val="4"/>
        <w:pageBreakBefore w:val="0"/>
        <w:widowControl w:val="0"/>
        <w:numPr>
          <w:ilvl w:val="1"/>
          <w:numId w:val="0"/>
        </w:numPr>
        <w:kinsoku/>
        <w:wordWrap/>
        <w:overflowPunct/>
        <w:topLinePunct w:val="0"/>
        <w:autoSpaceDE/>
        <w:autoSpaceDN/>
        <w:bidi w:val="0"/>
        <w:adjustRightInd/>
        <w:snapToGrid/>
        <w:spacing w:before="0" w:after="0" w:line="480" w:lineRule="exact"/>
        <w:ind w:left="28" w:leftChars="0" w:right="0" w:rightChars="0"/>
        <w:textAlignment w:val="auto"/>
        <w:rPr>
          <w:bCs w:val="0"/>
          <w:color w:val="auto"/>
          <w:szCs w:val="28"/>
        </w:rPr>
      </w:pPr>
      <w:bookmarkStart w:id="120" w:name="_Toc26784"/>
      <w:r>
        <w:rPr>
          <w:rFonts w:hint="eastAsia"/>
          <w:bCs w:val="0"/>
          <w:color w:val="auto"/>
          <w:szCs w:val="28"/>
          <w:lang w:val="en-US" w:eastAsia="zh-CN"/>
        </w:rPr>
        <w:t>9</w:t>
      </w:r>
      <w:r>
        <w:rPr>
          <w:rFonts w:hint="eastAsia" w:eastAsia="宋体"/>
          <w:bCs w:val="0"/>
          <w:color w:val="auto"/>
          <w:szCs w:val="28"/>
          <w:lang w:val="en-US" w:eastAsia="zh-CN"/>
        </w:rPr>
        <w:t>.</w:t>
      </w:r>
      <w:r>
        <w:rPr>
          <w:rFonts w:hint="eastAsia"/>
          <w:bCs w:val="0"/>
          <w:color w:val="auto"/>
          <w:szCs w:val="28"/>
          <w:lang w:val="en-US" w:eastAsia="zh-CN"/>
        </w:rPr>
        <w:t>7</w:t>
      </w:r>
      <w:r>
        <w:rPr>
          <w:rFonts w:hint="eastAsia" w:cs="宋体"/>
          <w:bCs w:val="0"/>
          <w:color w:val="auto"/>
          <w:szCs w:val="28"/>
          <w:lang w:eastAsia="zh-CN"/>
        </w:rPr>
        <w:t>“</w:t>
      </w:r>
      <w:r>
        <w:rPr>
          <w:rFonts w:hint="eastAsia"/>
          <w:bCs w:val="0"/>
          <w:color w:val="auto"/>
          <w:szCs w:val="28"/>
        </w:rPr>
        <w:t>三同时</w:t>
      </w:r>
      <w:r>
        <w:rPr>
          <w:rFonts w:hint="eastAsia" w:cs="宋体"/>
          <w:bCs w:val="0"/>
          <w:color w:val="auto"/>
          <w:szCs w:val="28"/>
          <w:lang w:eastAsia="zh-CN"/>
        </w:rPr>
        <w:t>”</w:t>
      </w:r>
      <w:r>
        <w:rPr>
          <w:rFonts w:hint="eastAsia"/>
          <w:bCs w:val="0"/>
          <w:color w:val="auto"/>
          <w:szCs w:val="28"/>
        </w:rPr>
        <w:t>验收</w:t>
      </w:r>
      <w:bookmarkEnd w:id="120"/>
    </w:p>
    <w:p>
      <w:pPr>
        <w:pageBreakBefore w:val="0"/>
        <w:widowControl w:val="0"/>
        <w:kinsoku/>
        <w:wordWrap/>
        <w:overflowPunct/>
        <w:topLinePunct w:val="0"/>
        <w:autoSpaceDE/>
        <w:autoSpaceDN/>
        <w:bidi w:val="0"/>
        <w:adjustRightInd/>
        <w:snapToGrid/>
        <w:spacing w:line="480" w:lineRule="exact"/>
        <w:ind w:right="0" w:rightChars="0" w:firstLine="480"/>
        <w:textAlignment w:val="auto"/>
        <w:rPr>
          <w:bCs/>
          <w:color w:val="auto"/>
        </w:rPr>
      </w:pPr>
      <w:r>
        <w:rPr>
          <w:rFonts w:hint="eastAsia"/>
          <w:bCs/>
          <w:color w:val="auto"/>
        </w:rPr>
        <w:t>根据《中华人民共和国环境保护法》规定，建设项目污染防治设施必须与主体工程同时设计、同时施工、同时投入运行，而污染防治设施建设</w:t>
      </w:r>
      <w:r>
        <w:rPr>
          <w:rFonts w:hint="eastAsia" w:cs="宋体"/>
          <w:bCs/>
          <w:color w:val="auto"/>
          <w:lang w:eastAsia="zh-CN"/>
        </w:rPr>
        <w:t>“</w:t>
      </w:r>
      <w:r>
        <w:rPr>
          <w:rFonts w:hint="eastAsia"/>
          <w:bCs/>
          <w:color w:val="auto"/>
        </w:rPr>
        <w:t>三同时</w:t>
      </w:r>
      <w:r>
        <w:rPr>
          <w:rFonts w:hint="eastAsia" w:cs="宋体"/>
          <w:bCs/>
          <w:color w:val="auto"/>
          <w:lang w:eastAsia="zh-CN"/>
        </w:rPr>
        <w:t>”</w:t>
      </w:r>
      <w:r>
        <w:rPr>
          <w:rFonts w:hint="eastAsia"/>
          <w:bCs/>
          <w:color w:val="auto"/>
        </w:rPr>
        <w:t>验收是严格控制污染源和污染物排放总量、遏制环境恶化趋势的有力措施。项目应在试生产阶段申请环保部门进行</w:t>
      </w:r>
      <w:r>
        <w:rPr>
          <w:rFonts w:hint="eastAsia" w:cs="宋体"/>
          <w:bCs/>
          <w:color w:val="auto"/>
          <w:lang w:eastAsia="zh-CN"/>
        </w:rPr>
        <w:t>“</w:t>
      </w:r>
      <w:r>
        <w:rPr>
          <w:rFonts w:hint="eastAsia"/>
          <w:bCs/>
          <w:color w:val="auto"/>
        </w:rPr>
        <w:t>三同时</w:t>
      </w:r>
      <w:r>
        <w:rPr>
          <w:rFonts w:hint="eastAsia" w:cs="宋体"/>
          <w:bCs/>
          <w:color w:val="auto"/>
          <w:lang w:eastAsia="zh-CN"/>
        </w:rPr>
        <w:t>”</w:t>
      </w:r>
      <w:r>
        <w:rPr>
          <w:rFonts w:hint="eastAsia"/>
          <w:bCs/>
          <w:color w:val="auto"/>
        </w:rPr>
        <w:t>验收，具体实施计划为：</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bCs/>
          <w:color w:val="auto"/>
        </w:rPr>
      </w:pPr>
      <w:r>
        <w:rPr>
          <w:rFonts w:hint="eastAsia"/>
          <w:bCs/>
          <w:color w:val="auto"/>
        </w:rPr>
        <w:t>（</w:t>
      </w:r>
      <w:r>
        <w:rPr>
          <w:bCs/>
          <w:color w:val="auto"/>
        </w:rPr>
        <w:t>1</w:t>
      </w:r>
      <w:r>
        <w:rPr>
          <w:rFonts w:hint="eastAsia"/>
          <w:bCs/>
          <w:color w:val="auto"/>
        </w:rPr>
        <w:t>）建设单位向当地环保主管部门申请试</w:t>
      </w:r>
      <w:r>
        <w:rPr>
          <w:rFonts w:hint="eastAsia"/>
          <w:bCs/>
          <w:color w:val="auto"/>
          <w:lang w:eastAsia="zh-CN"/>
        </w:rPr>
        <w:t>运行</w:t>
      </w:r>
      <w:r>
        <w:rPr>
          <w:rFonts w:hint="eastAsia"/>
          <w:bCs/>
          <w:color w:val="auto"/>
        </w:rPr>
        <w:t>。</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bCs/>
          <w:color w:val="auto"/>
        </w:rPr>
      </w:pPr>
      <w:r>
        <w:rPr>
          <w:rFonts w:hint="eastAsia"/>
          <w:bCs/>
          <w:color w:val="auto"/>
        </w:rPr>
        <w:t>（</w:t>
      </w:r>
      <w:r>
        <w:rPr>
          <w:bCs/>
          <w:color w:val="auto"/>
        </w:rPr>
        <w:t>2</w:t>
      </w:r>
      <w:r>
        <w:rPr>
          <w:rFonts w:hint="eastAsia"/>
          <w:bCs/>
          <w:color w:val="auto"/>
        </w:rPr>
        <w:t>）建设单位请环境监测部门对正常生产情况下各排污口排放的污染物浓度以及周围的环境质量状况进行监测。</w:t>
      </w:r>
    </w:p>
    <w:p>
      <w:pPr>
        <w:pageBreakBefore w:val="0"/>
        <w:widowControl w:val="0"/>
        <w:kinsoku/>
        <w:wordWrap/>
        <w:overflowPunct/>
        <w:topLinePunct w:val="0"/>
        <w:autoSpaceDE/>
        <w:autoSpaceDN/>
        <w:bidi w:val="0"/>
        <w:adjustRightInd/>
        <w:snapToGrid/>
        <w:spacing w:line="480" w:lineRule="exact"/>
        <w:ind w:right="0" w:rightChars="0" w:firstLine="480"/>
        <w:textAlignment w:val="auto"/>
        <w:rPr>
          <w:rFonts w:hint="eastAsia"/>
          <w:bCs/>
          <w:color w:val="auto"/>
        </w:rPr>
      </w:pPr>
      <w:r>
        <w:rPr>
          <w:rFonts w:hint="eastAsia"/>
          <w:bCs/>
          <w:color w:val="auto"/>
        </w:rPr>
        <w:t>（</w:t>
      </w:r>
      <w:r>
        <w:rPr>
          <w:bCs/>
          <w:color w:val="auto"/>
        </w:rPr>
        <w:t>3</w:t>
      </w:r>
      <w:r>
        <w:rPr>
          <w:rFonts w:hint="eastAsia"/>
          <w:bCs/>
          <w:color w:val="auto"/>
        </w:rPr>
        <w:t>）建设单位完成</w:t>
      </w:r>
      <w:r>
        <w:rPr>
          <w:rFonts w:hint="eastAsia" w:cs="宋体"/>
          <w:bCs/>
          <w:color w:val="auto"/>
          <w:lang w:eastAsia="zh-CN"/>
        </w:rPr>
        <w:t>“</w:t>
      </w:r>
      <w:r>
        <w:rPr>
          <w:rFonts w:hint="eastAsia"/>
          <w:bCs/>
          <w:color w:val="auto"/>
        </w:rPr>
        <w:t>三同时</w:t>
      </w:r>
      <w:r>
        <w:rPr>
          <w:rFonts w:hint="eastAsia" w:cs="宋体"/>
          <w:bCs/>
          <w:color w:val="auto"/>
          <w:lang w:eastAsia="zh-CN"/>
        </w:rPr>
        <w:t>”</w:t>
      </w:r>
      <w:r>
        <w:rPr>
          <w:rFonts w:hint="eastAsia"/>
          <w:bCs/>
          <w:color w:val="auto"/>
        </w:rPr>
        <w:t>验收并</w:t>
      </w:r>
      <w:r>
        <w:rPr>
          <w:rFonts w:hint="eastAsia"/>
          <w:bCs/>
          <w:color w:val="auto"/>
          <w:lang w:val="en-US" w:eastAsia="zh-CN"/>
        </w:rPr>
        <w:t>报生态环境局</w:t>
      </w:r>
      <w:r>
        <w:rPr>
          <w:rFonts w:hint="eastAsia"/>
          <w:bCs/>
          <w:color w:val="auto"/>
        </w:rPr>
        <w:t>备案。</w:t>
      </w:r>
    </w:p>
    <w:p>
      <w:pPr>
        <w:pageBreakBefore w:val="0"/>
        <w:widowControl w:val="0"/>
        <w:kinsoku/>
        <w:wordWrap/>
        <w:overflowPunct/>
        <w:topLinePunct w:val="0"/>
        <w:autoSpaceDE/>
        <w:autoSpaceDN/>
        <w:bidi w:val="0"/>
        <w:adjustRightInd/>
        <w:snapToGrid/>
        <w:spacing w:line="480" w:lineRule="exact"/>
        <w:ind w:left="0" w:leftChars="0" w:right="0" w:rightChars="0" w:firstLine="0" w:firstLineChars="0"/>
        <w:jc w:val="center"/>
        <w:textAlignment w:val="auto"/>
        <w:rPr>
          <w:rFonts w:hint="eastAsia"/>
          <w:b/>
          <w:color w:val="auto"/>
          <w:sz w:val="21"/>
          <w:szCs w:val="21"/>
        </w:rPr>
      </w:pPr>
      <w:r>
        <w:rPr>
          <w:rFonts w:hint="eastAsia"/>
          <w:b/>
          <w:color w:val="auto"/>
          <w:sz w:val="21"/>
          <w:szCs w:val="21"/>
        </w:rPr>
        <w:t>表</w:t>
      </w:r>
      <w:r>
        <w:rPr>
          <w:rFonts w:hint="eastAsia"/>
          <w:b/>
          <w:color w:val="auto"/>
          <w:sz w:val="21"/>
          <w:szCs w:val="21"/>
          <w:lang w:val="en-US" w:eastAsia="zh-CN"/>
        </w:rPr>
        <w:t>9.7</w:t>
      </w:r>
      <w:r>
        <w:rPr>
          <w:rFonts w:hint="eastAsia"/>
          <w:b/>
          <w:color w:val="auto"/>
          <w:sz w:val="21"/>
          <w:szCs w:val="21"/>
        </w:rPr>
        <w:t>-1</w:t>
      </w:r>
      <w:r>
        <w:rPr>
          <w:b/>
          <w:color w:val="auto"/>
          <w:sz w:val="21"/>
          <w:szCs w:val="21"/>
        </w:rPr>
        <w:t>项目环保措施</w:t>
      </w:r>
      <w:r>
        <w:rPr>
          <w:rFonts w:hint="eastAsia" w:cs="宋体"/>
          <w:b/>
          <w:color w:val="auto"/>
          <w:sz w:val="21"/>
          <w:szCs w:val="21"/>
          <w:lang w:eastAsia="zh-CN"/>
        </w:rPr>
        <w:t>“</w:t>
      </w:r>
      <w:r>
        <w:rPr>
          <w:b/>
          <w:color w:val="auto"/>
          <w:sz w:val="21"/>
          <w:szCs w:val="21"/>
        </w:rPr>
        <w:t>三同时</w:t>
      </w:r>
      <w:r>
        <w:rPr>
          <w:rFonts w:hint="eastAsia" w:cs="宋体"/>
          <w:b/>
          <w:color w:val="auto"/>
          <w:sz w:val="21"/>
          <w:szCs w:val="21"/>
          <w:lang w:eastAsia="zh-CN"/>
        </w:rPr>
        <w:t>”</w:t>
      </w:r>
      <w:r>
        <w:rPr>
          <w:b/>
          <w:color w:val="auto"/>
          <w:sz w:val="21"/>
          <w:szCs w:val="21"/>
        </w:rPr>
        <w:t>验收一览表</w:t>
      </w:r>
    </w:p>
    <w:tbl>
      <w:tblPr>
        <w:tblStyle w:val="48"/>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83"/>
        <w:gridCol w:w="1224"/>
        <w:gridCol w:w="3057"/>
        <w:gridCol w:w="2613"/>
        <w:gridCol w:w="95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683" w:type="dxa"/>
            <w:tcBorders>
              <w:righ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污染源</w:t>
            </w:r>
          </w:p>
        </w:tc>
        <w:tc>
          <w:tcPr>
            <w:tcW w:w="1224" w:type="dxa"/>
            <w:tcBorders>
              <w:left w:val="single" w:color="auto" w:sz="4" w:space="0"/>
              <w:righ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治理对象</w:t>
            </w:r>
          </w:p>
        </w:tc>
        <w:tc>
          <w:tcPr>
            <w:tcW w:w="3057" w:type="dxa"/>
            <w:tcBorders>
              <w:lef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处理措施</w:t>
            </w:r>
          </w:p>
        </w:tc>
        <w:tc>
          <w:tcPr>
            <w:tcW w:w="2613" w:type="dxa"/>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处理效果</w:t>
            </w:r>
          </w:p>
        </w:tc>
        <w:tc>
          <w:tcPr>
            <w:tcW w:w="951" w:type="dxa"/>
            <w:tcBorders>
              <w:righ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rFonts w:hint="eastAsia"/>
                <w:bCs/>
                <w:color w:val="auto"/>
                <w:sz w:val="21"/>
                <w:szCs w:val="21"/>
              </w:rPr>
              <w:t>进度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23" w:hRule="atLeast"/>
          <w:jc w:val="center"/>
        </w:trPr>
        <w:tc>
          <w:tcPr>
            <w:tcW w:w="683" w:type="dxa"/>
            <w:tcBorders>
              <w:righ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废水</w:t>
            </w:r>
          </w:p>
        </w:tc>
        <w:tc>
          <w:tcPr>
            <w:tcW w:w="1224" w:type="dxa"/>
            <w:tcBorders>
              <w:bottom w:val="single" w:color="auto" w:sz="4" w:space="0"/>
              <w:right w:val="single" w:color="auto" w:sz="4" w:space="0"/>
            </w:tcBorders>
            <w:noWrap w:val="0"/>
            <w:vAlign w:val="center"/>
          </w:tcPr>
          <w:p>
            <w:pPr>
              <w:spacing w:line="240" w:lineRule="auto"/>
              <w:ind w:left="-120" w:leftChars="-50" w:right="-120" w:rightChars="-50"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rPr>
              <w:t>生活污水</w:t>
            </w:r>
            <w:r>
              <w:rPr>
                <w:rFonts w:hint="eastAsia"/>
                <w:color w:val="auto"/>
                <w:sz w:val="21"/>
                <w:szCs w:val="21"/>
                <w:highlight w:val="none"/>
                <w:lang w:eastAsia="zh-CN"/>
              </w:rPr>
              <w:t>、</w:t>
            </w:r>
            <w:r>
              <w:rPr>
                <w:color w:val="auto"/>
                <w:sz w:val="21"/>
                <w:szCs w:val="21"/>
                <w:highlight w:val="none"/>
              </w:rPr>
              <w:t>门急诊</w:t>
            </w:r>
            <w:r>
              <w:rPr>
                <w:rFonts w:hint="eastAsia"/>
                <w:color w:val="auto"/>
                <w:sz w:val="21"/>
                <w:szCs w:val="21"/>
                <w:highlight w:val="none"/>
                <w:lang w:eastAsia="zh-CN"/>
              </w:rPr>
              <w:t>、住院病人</w:t>
            </w:r>
            <w:r>
              <w:rPr>
                <w:color w:val="auto"/>
                <w:sz w:val="21"/>
                <w:szCs w:val="21"/>
                <w:highlight w:val="none"/>
              </w:rPr>
              <w:t>等医疗废水</w:t>
            </w:r>
          </w:p>
        </w:tc>
        <w:tc>
          <w:tcPr>
            <w:tcW w:w="3057" w:type="dxa"/>
            <w:tcBorders>
              <w:left w:val="single" w:color="auto" w:sz="4" w:space="0"/>
              <w:bottom w:val="single" w:color="auto" w:sz="4" w:space="0"/>
            </w:tcBorders>
            <w:noWrap w:val="0"/>
            <w:vAlign w:val="center"/>
          </w:tcPr>
          <w:p>
            <w:pPr>
              <w:spacing w:line="240" w:lineRule="auto"/>
              <w:ind w:left="-120" w:leftChars="-50" w:right="-120" w:rightChars="-50"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color w:val="auto"/>
                <w:sz w:val="21"/>
                <w:szCs w:val="21"/>
                <w:highlight w:val="none"/>
                <w:lang w:val="en-US" w:eastAsia="zh-CN"/>
              </w:rPr>
              <w:t>食堂废水水经隔油池处理，感染楼废水经预消毒系统（10m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/h）处理后与其他废水一同进入院区污水处理站处理</w:t>
            </w:r>
            <w:r>
              <w:rPr>
                <w:rFonts w:hint="eastAsia" w:cs="宋体"/>
                <w:color w:val="auto"/>
                <w:sz w:val="21"/>
                <w:szCs w:val="21"/>
                <w:highlight w:val="none"/>
                <w:lang w:val="en-US" w:eastAsia="zh-CN"/>
              </w:rPr>
              <w:t>；</w:t>
            </w:r>
            <w:r>
              <w:rPr>
                <w:rFonts w:hint="eastAsia"/>
                <w:color w:val="auto"/>
                <w:sz w:val="21"/>
                <w:szCs w:val="21"/>
                <w:highlight w:val="none"/>
                <w:lang w:val="en-US" w:eastAsia="zh-CN"/>
              </w:rPr>
              <w:t>污水处理站工艺</w:t>
            </w:r>
            <w:r>
              <w:rPr>
                <w:rFonts w:hint="eastAsia" w:cs="宋体"/>
                <w:color w:val="auto"/>
                <w:sz w:val="21"/>
                <w:szCs w:val="21"/>
                <w:highlight w:val="none"/>
                <w:lang w:val="en-US" w:eastAsia="zh-CN"/>
              </w:rPr>
              <w:t>“</w:t>
            </w:r>
            <w:r>
              <w:rPr>
                <w:rFonts w:hint="eastAsia"/>
                <w:color w:val="auto"/>
                <w:sz w:val="21"/>
                <w:szCs w:val="21"/>
                <w:highlight w:val="none"/>
                <w:lang w:val="en-US" w:eastAsia="zh-CN"/>
              </w:rPr>
              <w:t>格栅+调节池+水解酸化+生物接触氧化+沉淀+消毒</w:t>
            </w:r>
            <w:r>
              <w:rPr>
                <w:rFonts w:hint="eastAsia" w:cs="宋体"/>
                <w:color w:val="auto"/>
                <w:sz w:val="21"/>
                <w:szCs w:val="21"/>
                <w:highlight w:val="none"/>
                <w:lang w:val="en-US" w:eastAsia="zh-CN"/>
              </w:rPr>
              <w:t>”</w:t>
            </w:r>
            <w:r>
              <w:rPr>
                <w:rFonts w:hint="eastAsia"/>
                <w:color w:val="auto"/>
                <w:sz w:val="21"/>
                <w:szCs w:val="21"/>
                <w:highlight w:val="none"/>
                <w:lang w:val="en-US" w:eastAsia="zh-CN"/>
              </w:rPr>
              <w:t>，处理规模为2000t/d</w:t>
            </w:r>
          </w:p>
        </w:tc>
        <w:tc>
          <w:tcPr>
            <w:tcW w:w="2613" w:type="dxa"/>
            <w:noWrap w:val="0"/>
            <w:vAlign w:val="center"/>
          </w:tcPr>
          <w:p>
            <w:pPr>
              <w:spacing w:line="240" w:lineRule="auto"/>
              <w:ind w:left="-120" w:leftChars="-50" w:right="-120" w:rightChars="-50"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rPr>
              <w:t>满足《医疗机构水污染物排放标准》（GB18466-2005）表</w:t>
            </w:r>
            <w:r>
              <w:rPr>
                <w:rFonts w:hint="eastAsia"/>
                <w:color w:val="auto"/>
                <w:sz w:val="21"/>
                <w:szCs w:val="21"/>
                <w:highlight w:val="none"/>
                <w:lang w:val="en-US" w:eastAsia="zh-CN"/>
              </w:rPr>
              <w:t>2</w:t>
            </w:r>
            <w:r>
              <w:rPr>
                <w:rFonts w:hint="eastAsia"/>
                <w:color w:val="auto"/>
                <w:sz w:val="21"/>
                <w:szCs w:val="21"/>
                <w:highlight w:val="none"/>
              </w:rPr>
              <w:t>预处理标准</w:t>
            </w:r>
            <w:r>
              <w:rPr>
                <w:rFonts w:hint="eastAsia"/>
                <w:color w:val="auto"/>
                <w:sz w:val="21"/>
                <w:szCs w:val="21"/>
                <w:highlight w:val="none"/>
                <w:lang w:val="en-US" w:eastAsia="zh-CN"/>
              </w:rPr>
              <w:t>及</w:t>
            </w:r>
            <w:r>
              <w:rPr>
                <w:rFonts w:hint="eastAsia"/>
                <w:color w:val="auto"/>
                <w:sz w:val="21"/>
                <w:szCs w:val="21"/>
                <w:highlight w:val="none"/>
                <w:lang w:eastAsia="zh-CN"/>
              </w:rPr>
              <w:t>十五里河污水处理厂</w:t>
            </w:r>
            <w:r>
              <w:rPr>
                <w:rFonts w:hint="eastAsia"/>
                <w:color w:val="auto"/>
                <w:sz w:val="21"/>
                <w:szCs w:val="21"/>
                <w:highlight w:val="none"/>
              </w:rPr>
              <w:t>接管标准</w:t>
            </w:r>
          </w:p>
        </w:tc>
        <w:tc>
          <w:tcPr>
            <w:tcW w:w="951" w:type="dxa"/>
            <w:vMerge w:val="restart"/>
            <w:tcBorders>
              <w:right w:val="single" w:color="auto" w:sz="4" w:space="0"/>
            </w:tcBorders>
            <w:noWrap w:val="0"/>
            <w:vAlign w:val="center"/>
          </w:tcPr>
          <w:p>
            <w:pPr>
              <w:spacing w:line="240" w:lineRule="auto"/>
              <w:ind w:left="-120" w:leftChars="-50" w:right="-120" w:rightChars="-50" w:firstLine="0" w:firstLineChars="0"/>
              <w:jc w:val="center"/>
              <w:rPr>
                <w:color w:val="auto"/>
                <w:sz w:val="21"/>
                <w:szCs w:val="21"/>
              </w:rPr>
            </w:pPr>
            <w:r>
              <w:rPr>
                <w:rFonts w:hint="eastAsia"/>
                <w:bCs/>
                <w:color w:val="auto"/>
                <w:sz w:val="21"/>
                <w:szCs w:val="21"/>
              </w:rPr>
              <w:t>与主体工程同时设计，同时</w:t>
            </w:r>
            <w:r>
              <w:rPr>
                <w:rFonts w:hint="eastAsia"/>
                <w:color w:val="auto"/>
                <w:sz w:val="21"/>
                <w:szCs w:val="21"/>
              </w:rPr>
              <w:t>施工</w:t>
            </w:r>
            <w:r>
              <w:rPr>
                <w:rFonts w:hint="eastAsia"/>
                <w:bCs/>
                <w:color w:val="auto"/>
                <w:sz w:val="21"/>
                <w:szCs w:val="21"/>
              </w:rPr>
              <w:t>，同时投产使用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84" w:hRule="atLeast"/>
          <w:jc w:val="center"/>
        </w:trPr>
        <w:tc>
          <w:tcPr>
            <w:tcW w:w="683" w:type="dxa"/>
            <w:vMerge w:val="restart"/>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废气</w:t>
            </w:r>
          </w:p>
        </w:tc>
        <w:tc>
          <w:tcPr>
            <w:tcW w:w="1224" w:type="dxa"/>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柴油</w:t>
            </w:r>
            <w:r>
              <w:rPr>
                <w:rFonts w:hint="eastAsia"/>
                <w:color w:val="auto"/>
                <w:sz w:val="21"/>
                <w:szCs w:val="21"/>
                <w:lang w:val="en-US" w:eastAsia="zh-CN"/>
              </w:rPr>
              <w:t>发电机</w:t>
            </w:r>
            <w:r>
              <w:rPr>
                <w:rFonts w:hint="eastAsia"/>
                <w:color w:val="auto"/>
                <w:sz w:val="21"/>
                <w:szCs w:val="21"/>
              </w:rPr>
              <w:t>废气</w:t>
            </w:r>
          </w:p>
        </w:tc>
        <w:tc>
          <w:tcPr>
            <w:tcW w:w="3057" w:type="dxa"/>
            <w:noWrap w:val="0"/>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应急发电机房燃烧柴油产生的烟气经尾气净化系统（DPF黑烟颗粒捕捉器）处理后，</w:t>
            </w:r>
            <w:r>
              <w:rPr>
                <w:rFonts w:hint="eastAsia"/>
                <w:color w:val="auto"/>
                <w:sz w:val="21"/>
                <w:szCs w:val="21"/>
                <w:highlight w:val="none"/>
              </w:rPr>
              <w:t>尾气引至</w:t>
            </w:r>
            <w:r>
              <w:rPr>
                <w:rFonts w:hint="eastAsia"/>
                <w:color w:val="auto"/>
                <w:sz w:val="21"/>
                <w:szCs w:val="21"/>
                <w:highlight w:val="none"/>
                <w:lang w:eastAsia="zh-CN"/>
              </w:rPr>
              <w:t>综合住院部大楼</w:t>
            </w:r>
            <w:r>
              <w:rPr>
                <w:rFonts w:hint="eastAsia"/>
                <w:color w:val="auto"/>
                <w:sz w:val="21"/>
                <w:szCs w:val="21"/>
                <w:highlight w:val="none"/>
              </w:rPr>
              <w:t>顶</w:t>
            </w:r>
            <w:r>
              <w:rPr>
                <w:rFonts w:hint="eastAsia"/>
                <w:color w:val="auto"/>
                <w:sz w:val="21"/>
                <w:szCs w:val="21"/>
                <w:highlight w:val="none"/>
              </w:rPr>
              <w:t>层排放</w:t>
            </w:r>
          </w:p>
        </w:tc>
        <w:tc>
          <w:tcPr>
            <w:tcW w:w="2613" w:type="dxa"/>
            <w:noWrap w:val="0"/>
            <w:vAlign w:val="center"/>
          </w:tcPr>
          <w:p>
            <w:pPr>
              <w:spacing w:line="240" w:lineRule="auto"/>
              <w:ind w:left="-120" w:leftChars="-50" w:right="-120" w:rightChars="-50" w:firstLine="0" w:firstLineChars="0"/>
              <w:jc w:val="center"/>
              <w:rPr>
                <w:rFonts w:hint="eastAsia"/>
                <w:color w:val="auto"/>
                <w:sz w:val="21"/>
                <w:szCs w:val="21"/>
                <w:lang w:val="en-US" w:eastAsia="zh-CN"/>
              </w:rPr>
            </w:pPr>
            <w:r>
              <w:rPr>
                <w:rFonts w:hint="eastAsia"/>
                <w:color w:val="auto"/>
                <w:sz w:val="21"/>
                <w:szCs w:val="21"/>
                <w:lang w:val="en-US" w:eastAsia="zh-CN"/>
              </w:rPr>
              <w:t>满足</w:t>
            </w:r>
            <w:r>
              <w:rPr>
                <w:rFonts w:hint="default"/>
                <w:color w:val="auto"/>
                <w:sz w:val="21"/>
                <w:szCs w:val="21"/>
              </w:rPr>
              <w:t>《大气污染物综合排放标准》（GB16297-1996）中新污染源二级标准</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84" w:hRule="atLeast"/>
          <w:jc w:val="center"/>
        </w:trPr>
        <w:tc>
          <w:tcPr>
            <w:tcW w:w="683" w:type="dxa"/>
            <w:vMerge w:val="continue"/>
            <w:noWrap w:val="0"/>
            <w:vAlign w:val="center"/>
          </w:tcPr>
          <w:p>
            <w:pPr>
              <w:spacing w:line="240" w:lineRule="auto"/>
              <w:ind w:left="-120" w:leftChars="-50" w:right="-120" w:rightChars="-50" w:firstLine="0" w:firstLineChars="0"/>
              <w:jc w:val="center"/>
              <w:rPr>
                <w:b/>
                <w:color w:val="auto"/>
                <w:sz w:val="21"/>
                <w:szCs w:val="21"/>
              </w:rPr>
            </w:pPr>
          </w:p>
        </w:tc>
        <w:tc>
          <w:tcPr>
            <w:tcW w:w="1224" w:type="dxa"/>
            <w:noWrap w:val="0"/>
            <w:vAlign w:val="center"/>
          </w:tcPr>
          <w:p>
            <w:pPr>
              <w:spacing w:line="240" w:lineRule="auto"/>
              <w:ind w:left="-120" w:leftChars="-50" w:right="-120" w:rightChars="-50" w:firstLine="0" w:firstLineChars="0"/>
              <w:jc w:val="center"/>
              <w:rPr>
                <w:rFonts w:hint="eastAsia" w:eastAsia="宋体"/>
                <w:color w:val="auto"/>
                <w:sz w:val="21"/>
                <w:szCs w:val="21"/>
                <w:lang w:eastAsia="zh-CN"/>
              </w:rPr>
            </w:pPr>
            <w:r>
              <w:rPr>
                <w:rFonts w:hint="eastAsia"/>
                <w:color w:val="auto"/>
                <w:sz w:val="21"/>
                <w:szCs w:val="21"/>
                <w:lang w:eastAsia="zh-CN"/>
              </w:rPr>
              <w:t>污泥压滤间暂存间</w:t>
            </w:r>
            <w:r>
              <w:rPr>
                <w:rFonts w:hint="eastAsia"/>
                <w:color w:val="auto"/>
                <w:sz w:val="21"/>
                <w:szCs w:val="21"/>
              </w:rPr>
              <w:t>恶臭</w:t>
            </w:r>
          </w:p>
        </w:tc>
        <w:tc>
          <w:tcPr>
            <w:tcW w:w="3057" w:type="dxa"/>
            <w:noWrap w:val="0"/>
            <w:vAlign w:val="center"/>
          </w:tcPr>
          <w:p>
            <w:pPr>
              <w:spacing w:line="240" w:lineRule="auto"/>
              <w:ind w:left="-120" w:leftChars="-50" w:right="-120" w:rightChars="-50" w:firstLine="0" w:firstLineChars="0"/>
              <w:jc w:val="center"/>
              <w:rPr>
                <w:rFonts w:hint="default"/>
                <w:color w:val="auto"/>
                <w:sz w:val="21"/>
                <w:szCs w:val="21"/>
                <w:lang w:val="en-US" w:eastAsia="zh-CN"/>
              </w:rPr>
            </w:pPr>
            <w:r>
              <w:rPr>
                <w:rFonts w:hint="eastAsia"/>
                <w:color w:val="auto"/>
                <w:sz w:val="21"/>
                <w:szCs w:val="21"/>
                <w:lang w:val="en-US" w:eastAsia="zh-CN"/>
              </w:rPr>
              <w:t>设置管线引入生物滤池装置处理后经1根15m高排气筒排放</w:t>
            </w:r>
          </w:p>
        </w:tc>
        <w:tc>
          <w:tcPr>
            <w:tcW w:w="2613" w:type="dxa"/>
            <w:vMerge w:val="restart"/>
            <w:noWrap w:val="0"/>
            <w:vAlign w:val="center"/>
          </w:tcPr>
          <w:p>
            <w:pPr>
              <w:spacing w:line="240" w:lineRule="auto"/>
              <w:ind w:left="-120" w:leftChars="-50" w:right="-120" w:rightChars="-50" w:firstLine="0" w:firstLineChars="0"/>
              <w:jc w:val="center"/>
              <w:rPr>
                <w:rFonts w:hint="default" w:eastAsia="宋体"/>
                <w:b/>
                <w:color w:val="auto"/>
                <w:sz w:val="21"/>
                <w:szCs w:val="21"/>
                <w:lang w:val="en-US" w:eastAsia="zh-CN"/>
              </w:rPr>
            </w:pPr>
            <w:r>
              <w:rPr>
                <w:rFonts w:hint="eastAsia"/>
                <w:color w:val="auto"/>
                <w:sz w:val="21"/>
                <w:szCs w:val="21"/>
                <w:lang w:val="en-US" w:eastAsia="zh-CN"/>
              </w:rPr>
              <w:t>有组织废气满足《恶臭污染物排放标准》（GB14554-93）标准要求，无组织废气满足</w:t>
            </w:r>
            <w:r>
              <w:rPr>
                <w:rFonts w:hint="eastAsia"/>
                <w:color w:val="auto"/>
                <w:sz w:val="21"/>
                <w:szCs w:val="21"/>
                <w:highlight w:val="none"/>
              </w:rPr>
              <w:t>《医疗机构水污染物排放标准》（GB18466-2005）</w:t>
            </w:r>
            <w:r>
              <w:rPr>
                <w:rFonts w:hint="eastAsia"/>
                <w:color w:val="auto"/>
                <w:sz w:val="21"/>
                <w:szCs w:val="21"/>
                <w:highlight w:val="none"/>
                <w:lang w:val="en-US" w:eastAsia="zh-CN"/>
              </w:rPr>
              <w:t>表3限值要求</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84" w:hRule="atLeast"/>
          <w:jc w:val="center"/>
        </w:trPr>
        <w:tc>
          <w:tcPr>
            <w:tcW w:w="683" w:type="dxa"/>
            <w:vMerge w:val="continue"/>
            <w:noWrap w:val="0"/>
            <w:vAlign w:val="center"/>
          </w:tcPr>
          <w:p>
            <w:pPr>
              <w:spacing w:line="240" w:lineRule="auto"/>
              <w:ind w:left="-120" w:leftChars="-50" w:right="-120" w:rightChars="-50" w:firstLine="0" w:firstLineChars="0"/>
              <w:jc w:val="center"/>
              <w:rPr>
                <w:b/>
                <w:color w:val="auto"/>
                <w:sz w:val="21"/>
                <w:szCs w:val="21"/>
              </w:rPr>
            </w:pPr>
          </w:p>
        </w:tc>
        <w:tc>
          <w:tcPr>
            <w:tcW w:w="1224" w:type="dxa"/>
            <w:noWrap w:val="0"/>
            <w:vAlign w:val="center"/>
          </w:tcPr>
          <w:p>
            <w:pPr>
              <w:spacing w:line="240" w:lineRule="auto"/>
              <w:ind w:left="-120" w:leftChars="-50" w:right="-120" w:rightChars="-50" w:firstLine="0" w:firstLineChars="0"/>
              <w:jc w:val="center"/>
              <w:rPr>
                <w:rFonts w:hint="eastAsia"/>
                <w:color w:val="auto"/>
                <w:sz w:val="21"/>
                <w:szCs w:val="21"/>
              </w:rPr>
            </w:pPr>
            <w:r>
              <w:rPr>
                <w:rFonts w:hint="eastAsia"/>
                <w:color w:val="auto"/>
                <w:sz w:val="21"/>
                <w:szCs w:val="21"/>
              </w:rPr>
              <w:t>污水处理站</w:t>
            </w:r>
          </w:p>
          <w:p>
            <w:pPr>
              <w:spacing w:line="240" w:lineRule="auto"/>
              <w:ind w:left="-120" w:leftChars="-50" w:right="-120" w:rightChars="-50" w:firstLine="0" w:firstLineChars="0"/>
              <w:jc w:val="center"/>
              <w:rPr>
                <w:b/>
                <w:color w:val="auto"/>
                <w:sz w:val="21"/>
                <w:szCs w:val="21"/>
              </w:rPr>
            </w:pPr>
            <w:r>
              <w:rPr>
                <w:rFonts w:hint="eastAsia"/>
                <w:color w:val="auto"/>
                <w:sz w:val="21"/>
                <w:szCs w:val="21"/>
              </w:rPr>
              <w:t>恶臭</w:t>
            </w:r>
          </w:p>
        </w:tc>
        <w:tc>
          <w:tcPr>
            <w:tcW w:w="3057" w:type="dxa"/>
            <w:noWrap w:val="0"/>
            <w:vAlign w:val="center"/>
          </w:tcPr>
          <w:p>
            <w:pPr>
              <w:spacing w:line="240" w:lineRule="auto"/>
              <w:ind w:left="-120" w:leftChars="-50" w:right="-120" w:rightChars="-50" w:firstLine="0" w:firstLineChars="0"/>
              <w:jc w:val="center"/>
              <w:rPr>
                <w:rFonts w:hint="default" w:eastAsia="宋体"/>
                <w:color w:val="auto"/>
                <w:sz w:val="21"/>
                <w:szCs w:val="21"/>
                <w:lang w:val="en-US" w:eastAsia="zh-CN"/>
              </w:rPr>
            </w:pPr>
            <w:r>
              <w:rPr>
                <w:rFonts w:hint="eastAsia"/>
                <w:color w:val="auto"/>
                <w:sz w:val="21"/>
                <w:szCs w:val="21"/>
                <w:lang w:val="en-US" w:eastAsia="zh-CN"/>
              </w:rPr>
              <w:t>地埋式污水处理站，各个池体均密闭，各处理单元设置臭气收集风管，废气经收集后通过生物滤池处理后通过15m高排气筒排放</w:t>
            </w:r>
          </w:p>
        </w:tc>
        <w:tc>
          <w:tcPr>
            <w:tcW w:w="2613" w:type="dxa"/>
            <w:vMerge w:val="continue"/>
            <w:noWrap w:val="0"/>
            <w:vAlign w:val="center"/>
          </w:tcPr>
          <w:p>
            <w:pPr>
              <w:spacing w:line="240" w:lineRule="auto"/>
              <w:ind w:left="-120" w:leftChars="-50" w:right="-120" w:rightChars="-50" w:firstLine="0" w:firstLineChars="0"/>
              <w:jc w:val="center"/>
              <w:rPr>
                <w:rFonts w:hint="default" w:eastAsia="宋体"/>
                <w:b/>
                <w:color w:val="auto"/>
                <w:sz w:val="21"/>
                <w:szCs w:val="21"/>
                <w:lang w:val="en-US" w:eastAsia="zh-CN"/>
              </w:rPr>
            </w:pP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84" w:hRule="atLeast"/>
          <w:jc w:val="center"/>
        </w:trPr>
        <w:tc>
          <w:tcPr>
            <w:tcW w:w="683" w:type="dxa"/>
            <w:vMerge w:val="continue"/>
            <w:noWrap w:val="0"/>
            <w:vAlign w:val="center"/>
          </w:tcPr>
          <w:p>
            <w:pPr>
              <w:spacing w:line="240" w:lineRule="auto"/>
              <w:ind w:left="-120" w:leftChars="-50" w:right="-120" w:rightChars="-50" w:firstLine="0" w:firstLineChars="0"/>
              <w:jc w:val="center"/>
              <w:rPr>
                <w:b/>
                <w:color w:val="auto"/>
                <w:sz w:val="21"/>
                <w:szCs w:val="21"/>
              </w:rPr>
            </w:pPr>
          </w:p>
        </w:tc>
        <w:tc>
          <w:tcPr>
            <w:tcW w:w="1224" w:type="dxa"/>
            <w:noWrap w:val="0"/>
            <w:vAlign w:val="center"/>
          </w:tcPr>
          <w:p>
            <w:pPr>
              <w:spacing w:line="240" w:lineRule="auto"/>
              <w:ind w:left="-120" w:leftChars="-50" w:right="-120" w:rightChars="-50" w:firstLine="0" w:firstLineChars="0"/>
              <w:jc w:val="center"/>
              <w:rPr>
                <w:rFonts w:hint="default" w:eastAsia="宋体"/>
                <w:color w:val="auto"/>
                <w:sz w:val="21"/>
                <w:szCs w:val="21"/>
                <w:lang w:val="en-US" w:eastAsia="zh-CN"/>
              </w:rPr>
            </w:pPr>
            <w:r>
              <w:rPr>
                <w:rFonts w:hint="eastAsia"/>
                <w:color w:val="auto"/>
                <w:sz w:val="21"/>
                <w:szCs w:val="21"/>
                <w:lang w:val="en-US" w:eastAsia="zh-CN"/>
              </w:rPr>
              <w:t>食堂油烟</w:t>
            </w:r>
          </w:p>
        </w:tc>
        <w:tc>
          <w:tcPr>
            <w:tcW w:w="3057" w:type="dxa"/>
            <w:noWrap w:val="0"/>
            <w:vAlign w:val="center"/>
          </w:tcPr>
          <w:p>
            <w:pPr>
              <w:spacing w:line="240" w:lineRule="auto"/>
              <w:ind w:left="-120" w:leftChars="-50" w:right="-120" w:rightChars="-50" w:firstLine="0" w:firstLineChars="0"/>
              <w:jc w:val="center"/>
              <w:rPr>
                <w:rFonts w:hint="default" w:eastAsia="宋体"/>
                <w:color w:val="auto"/>
                <w:sz w:val="21"/>
                <w:szCs w:val="21"/>
                <w:lang w:val="en-US" w:eastAsia="zh-CN"/>
              </w:rPr>
            </w:pPr>
            <w:r>
              <w:rPr>
                <w:rFonts w:hint="eastAsia"/>
                <w:color w:val="auto"/>
                <w:sz w:val="21"/>
                <w:szCs w:val="21"/>
                <w:highlight w:val="none"/>
                <w:lang w:val="en-US" w:eastAsia="zh-CN"/>
              </w:rPr>
              <w:t>集气罩+油烟净化器+楼顶排放</w:t>
            </w:r>
          </w:p>
        </w:tc>
        <w:tc>
          <w:tcPr>
            <w:tcW w:w="2613" w:type="dxa"/>
            <w:noWrap w:val="0"/>
            <w:vAlign w:val="center"/>
          </w:tcPr>
          <w:p>
            <w:pPr>
              <w:spacing w:line="240" w:lineRule="auto"/>
              <w:ind w:left="-120" w:leftChars="-50" w:right="-120" w:rightChars="-50" w:firstLine="0" w:firstLineChars="0"/>
              <w:jc w:val="center"/>
              <w:rPr>
                <w:rFonts w:hint="default"/>
                <w:b/>
                <w:color w:val="auto"/>
                <w:sz w:val="21"/>
                <w:szCs w:val="21"/>
                <w:lang w:val="en-US"/>
              </w:rPr>
            </w:pPr>
            <w:r>
              <w:rPr>
                <w:rFonts w:hint="eastAsia"/>
                <w:b w:val="0"/>
                <w:bCs/>
                <w:color w:val="auto"/>
                <w:sz w:val="21"/>
                <w:szCs w:val="21"/>
                <w:lang w:val="en-US" w:eastAsia="zh-CN"/>
              </w:rPr>
              <w:t>满足</w:t>
            </w:r>
            <w:r>
              <w:rPr>
                <w:rFonts w:hint="default"/>
                <w:b w:val="0"/>
                <w:bCs/>
                <w:color w:val="auto"/>
                <w:sz w:val="21"/>
                <w:szCs w:val="21"/>
              </w:rPr>
              <w:t>《饮食业油烟排放标准》（GB18483-2001）</w:t>
            </w:r>
            <w:r>
              <w:rPr>
                <w:rFonts w:hint="eastAsia"/>
                <w:b w:val="0"/>
                <w:bCs/>
                <w:color w:val="auto"/>
                <w:sz w:val="21"/>
                <w:szCs w:val="21"/>
                <w:lang w:val="en-US" w:eastAsia="zh-CN"/>
              </w:rPr>
              <w:t>表2大型规模净化效率不低于85%</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84" w:hRule="atLeast"/>
          <w:jc w:val="center"/>
        </w:trPr>
        <w:tc>
          <w:tcPr>
            <w:tcW w:w="683" w:type="dxa"/>
            <w:vMerge w:val="continue"/>
            <w:noWrap w:val="0"/>
            <w:vAlign w:val="center"/>
          </w:tcPr>
          <w:p>
            <w:pPr>
              <w:spacing w:line="240" w:lineRule="auto"/>
              <w:ind w:left="-120" w:leftChars="-50" w:right="-120" w:rightChars="-50" w:firstLine="0" w:firstLineChars="0"/>
              <w:jc w:val="center"/>
              <w:rPr>
                <w:b/>
                <w:color w:val="auto"/>
                <w:sz w:val="21"/>
                <w:szCs w:val="21"/>
              </w:rPr>
            </w:pPr>
          </w:p>
        </w:tc>
        <w:tc>
          <w:tcPr>
            <w:tcW w:w="1224" w:type="dxa"/>
            <w:noWrap w:val="0"/>
            <w:vAlign w:val="center"/>
          </w:tcPr>
          <w:p>
            <w:pPr>
              <w:spacing w:line="240" w:lineRule="auto"/>
              <w:ind w:left="-120" w:leftChars="-50" w:right="-120" w:rightChars="-50" w:firstLine="0" w:firstLineChars="0"/>
              <w:jc w:val="center"/>
              <w:rPr>
                <w:rFonts w:hint="default"/>
                <w:color w:val="auto"/>
                <w:sz w:val="21"/>
                <w:szCs w:val="21"/>
                <w:lang w:val="en-US" w:eastAsia="zh-CN"/>
              </w:rPr>
            </w:pPr>
            <w:r>
              <w:rPr>
                <w:rFonts w:hint="eastAsia"/>
                <w:color w:val="auto"/>
                <w:sz w:val="21"/>
                <w:szCs w:val="21"/>
                <w:lang w:val="en-US" w:eastAsia="zh-CN"/>
              </w:rPr>
              <w:t>空调燃气废气</w:t>
            </w:r>
          </w:p>
        </w:tc>
        <w:tc>
          <w:tcPr>
            <w:tcW w:w="3057" w:type="dxa"/>
            <w:noWrap w:val="0"/>
            <w:vAlign w:val="center"/>
          </w:tcPr>
          <w:p>
            <w:pPr>
              <w:spacing w:line="240" w:lineRule="auto"/>
              <w:ind w:left="-120" w:leftChars="-50" w:right="-120" w:rightChars="-50" w:firstLine="0" w:firstLineChars="0"/>
              <w:jc w:val="center"/>
              <w:rPr>
                <w:rFonts w:hint="default"/>
                <w:color w:val="auto"/>
                <w:sz w:val="21"/>
                <w:szCs w:val="21"/>
                <w:lang w:val="en-US" w:eastAsia="zh-CN"/>
              </w:rPr>
            </w:pPr>
            <w:r>
              <w:rPr>
                <w:rFonts w:hint="eastAsia"/>
                <w:color w:val="auto"/>
                <w:sz w:val="21"/>
                <w:szCs w:val="21"/>
                <w:lang w:val="en-US" w:eastAsia="zh-CN"/>
              </w:rPr>
              <w:t>低氮燃烧，</w:t>
            </w:r>
            <w:r>
              <w:rPr>
                <w:rFonts w:hint="eastAsia"/>
                <w:color w:val="auto"/>
                <w:sz w:val="21"/>
                <w:szCs w:val="21"/>
                <w:highlight w:val="none"/>
                <w:lang w:val="en-US" w:eastAsia="zh-CN"/>
              </w:rPr>
              <w:t>引至门急诊医技楼楼顶排放</w:t>
            </w:r>
          </w:p>
        </w:tc>
        <w:tc>
          <w:tcPr>
            <w:tcW w:w="2613" w:type="dxa"/>
            <w:noWrap w:val="0"/>
            <w:vAlign w:val="center"/>
          </w:tcPr>
          <w:p>
            <w:pPr>
              <w:spacing w:line="240" w:lineRule="auto"/>
              <w:ind w:left="-120" w:leftChars="-50" w:right="-120" w:rightChars="-50" w:firstLine="0" w:firstLineChars="0"/>
              <w:jc w:val="center"/>
              <w:rPr>
                <w:rFonts w:hint="default"/>
                <w:b w:val="0"/>
                <w:bCs/>
                <w:color w:val="auto"/>
                <w:sz w:val="21"/>
                <w:szCs w:val="21"/>
                <w:lang w:val="en-US" w:eastAsia="zh-CN"/>
              </w:rPr>
            </w:pPr>
            <w:r>
              <w:rPr>
                <w:rFonts w:hint="eastAsia" w:eastAsia="宋体"/>
                <w:color w:val="auto"/>
                <w:sz w:val="21"/>
                <w:szCs w:val="21"/>
                <w:lang w:val="en-US" w:eastAsia="zh-CN"/>
              </w:rPr>
              <w:t>满足《锅炉大气污染物排放标准》（GB13271-2014）表3大气污染物特别排放限值</w:t>
            </w:r>
            <w:r>
              <w:rPr>
                <w:rFonts w:hint="eastAsia"/>
                <w:color w:val="auto"/>
                <w:sz w:val="21"/>
                <w:szCs w:val="21"/>
                <w:lang w:val="en-US" w:eastAsia="zh-CN"/>
              </w:rPr>
              <w:t>，其中NO</w:t>
            </w:r>
            <w:r>
              <w:rPr>
                <w:rFonts w:hint="eastAsia"/>
                <w:color w:val="auto"/>
                <w:sz w:val="21"/>
                <w:szCs w:val="21"/>
                <w:vertAlign w:val="subscript"/>
                <w:lang w:val="en-US" w:eastAsia="zh-CN"/>
              </w:rPr>
              <w:t>X</w:t>
            </w:r>
            <w:r>
              <w:rPr>
                <w:rFonts w:hint="eastAsia"/>
                <w:color w:val="auto"/>
                <w:sz w:val="21"/>
                <w:szCs w:val="21"/>
                <w:lang w:val="en-US" w:eastAsia="zh-CN"/>
              </w:rPr>
              <w:t>满足《安徽省大气办关于印发安徽省2020年大气污染防治重点工作任务的通知》（皖大气办[2020]2号）</w:t>
            </w:r>
            <w:r>
              <w:rPr>
                <w:rFonts w:hint="eastAsia" w:eastAsia="宋体" w:cs="宋体"/>
                <w:color w:val="auto"/>
                <w:kern w:val="2"/>
                <w:sz w:val="21"/>
                <w:szCs w:val="21"/>
                <w:lang w:val="en-US" w:eastAsia="zh-CN" w:bidi="ar"/>
              </w:rPr>
              <w:t>中</w:t>
            </w:r>
            <w:r>
              <w:rPr>
                <w:rFonts w:hint="eastAsia" w:cs="宋体"/>
                <w:color w:val="auto"/>
                <w:kern w:val="2"/>
                <w:sz w:val="21"/>
                <w:szCs w:val="21"/>
                <w:lang w:val="en-US" w:eastAsia="zh-CN" w:bidi="ar"/>
              </w:rPr>
              <w:t>“</w:t>
            </w:r>
            <w:r>
              <w:rPr>
                <w:rFonts w:hint="eastAsia" w:eastAsia="宋体" w:cs="宋体"/>
                <w:color w:val="auto"/>
                <w:kern w:val="2"/>
                <w:sz w:val="21"/>
                <w:szCs w:val="21"/>
                <w:lang w:val="en-US" w:eastAsia="zh-CN" w:bidi="ar"/>
              </w:rPr>
              <w:t>NO</w:t>
            </w:r>
            <w:r>
              <w:rPr>
                <w:rFonts w:hint="eastAsia" w:eastAsia="宋体" w:cs="宋体"/>
                <w:color w:val="auto"/>
                <w:kern w:val="2"/>
                <w:sz w:val="21"/>
                <w:szCs w:val="21"/>
                <w:vertAlign w:val="subscript"/>
                <w:lang w:val="en-US" w:eastAsia="zh-CN" w:bidi="ar"/>
              </w:rPr>
              <w:t>X</w:t>
            </w:r>
            <w:r>
              <w:rPr>
                <w:rFonts w:hint="eastAsia" w:eastAsia="宋体" w:cs="宋体"/>
                <w:color w:val="auto"/>
                <w:kern w:val="2"/>
                <w:sz w:val="21"/>
                <w:szCs w:val="21"/>
                <w:lang w:val="en-US" w:eastAsia="zh-CN" w:bidi="ar"/>
              </w:rPr>
              <w:t>排放浓度不高于50毫克/立方米</w:t>
            </w:r>
            <w:r>
              <w:rPr>
                <w:rFonts w:hint="eastAsia" w:cs="宋体"/>
                <w:color w:val="auto"/>
                <w:kern w:val="2"/>
                <w:sz w:val="21"/>
                <w:szCs w:val="21"/>
                <w:lang w:val="en-US" w:eastAsia="zh-CN" w:bidi="ar"/>
              </w:rPr>
              <w:t>”</w:t>
            </w:r>
            <w:r>
              <w:rPr>
                <w:rFonts w:hint="eastAsia" w:eastAsia="宋体" w:cs="宋体"/>
                <w:color w:val="auto"/>
                <w:kern w:val="2"/>
                <w:sz w:val="21"/>
                <w:szCs w:val="21"/>
                <w:lang w:val="en-US" w:eastAsia="zh-CN" w:bidi="ar"/>
              </w:rPr>
              <w:t>的要求</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83" w:type="dxa"/>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噪声</w:t>
            </w:r>
          </w:p>
        </w:tc>
        <w:tc>
          <w:tcPr>
            <w:tcW w:w="1224" w:type="dxa"/>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高噪声设备</w:t>
            </w:r>
          </w:p>
        </w:tc>
        <w:tc>
          <w:tcPr>
            <w:tcW w:w="3057" w:type="dxa"/>
            <w:noWrap w:val="0"/>
            <w:vAlign w:val="center"/>
          </w:tcPr>
          <w:p>
            <w:pPr>
              <w:spacing w:line="240" w:lineRule="auto"/>
              <w:ind w:left="-120" w:leftChars="-50" w:right="-120" w:rightChars="-50" w:firstLine="0" w:firstLineChars="0"/>
              <w:jc w:val="center"/>
              <w:rPr>
                <w:rFonts w:hint="eastAsia" w:eastAsia="宋体"/>
                <w:color w:val="auto"/>
                <w:sz w:val="21"/>
                <w:szCs w:val="21"/>
                <w:lang w:eastAsia="zh-CN"/>
              </w:rPr>
            </w:pPr>
            <w:r>
              <w:rPr>
                <w:rFonts w:hint="eastAsia"/>
                <w:color w:val="auto"/>
                <w:sz w:val="21"/>
                <w:szCs w:val="21"/>
                <w:highlight w:val="none"/>
              </w:rPr>
              <w:t>配电房设备</w:t>
            </w:r>
            <w:r>
              <w:rPr>
                <w:rFonts w:hint="eastAsia"/>
                <w:color w:val="auto"/>
                <w:sz w:val="21"/>
                <w:szCs w:val="21"/>
                <w:highlight w:val="none"/>
                <w:lang w:eastAsia="zh-CN"/>
              </w:rPr>
              <w:t>、空调机组</w:t>
            </w:r>
            <w:r>
              <w:rPr>
                <w:rFonts w:hint="eastAsia"/>
                <w:color w:val="auto"/>
                <w:sz w:val="21"/>
                <w:szCs w:val="21"/>
                <w:highlight w:val="none"/>
              </w:rPr>
              <w:t>和水泵采用基础采取减振措施，并且单独置于专门设备房内，设备房采取隔声窗和在墙体内侧敷设吸声材料</w:t>
            </w:r>
            <w:r>
              <w:rPr>
                <w:rFonts w:hint="eastAsia" w:cs="宋体"/>
                <w:color w:val="auto"/>
                <w:sz w:val="21"/>
                <w:szCs w:val="21"/>
                <w:highlight w:val="none"/>
                <w:lang w:eastAsia="zh-CN"/>
              </w:rPr>
              <w:t>；</w:t>
            </w:r>
            <w:r>
              <w:rPr>
                <w:rFonts w:hint="eastAsia"/>
                <w:color w:val="auto"/>
                <w:sz w:val="21"/>
                <w:szCs w:val="21"/>
                <w:highlight w:val="none"/>
              </w:rPr>
              <w:t>合理布局地下车库排风口、空调主机，空调主机排风口装设片式消声器，机组外设置为隔声屏</w:t>
            </w:r>
            <w:r>
              <w:rPr>
                <w:rFonts w:hint="eastAsia" w:ascii="Times New Roman" w:hAnsi="Times New Roman" w:eastAsia="宋体" w:cs="Times New Roman"/>
                <w:color w:val="auto"/>
                <w:sz w:val="21"/>
                <w:szCs w:val="21"/>
                <w:highlight w:val="none"/>
              </w:rPr>
              <w:t>障，机组基础采用减</w:t>
            </w:r>
            <w:r>
              <w:rPr>
                <w:rFonts w:hint="eastAsia" w:ascii="Times New Roman" w:hAnsi="Times New Roman" w:eastAsia="宋体" w:cs="Times New Roman"/>
                <w:color w:val="auto"/>
                <w:sz w:val="21"/>
                <w:szCs w:val="21"/>
                <w:highlight w:val="none"/>
                <w:lang w:eastAsia="zh-CN"/>
              </w:rPr>
              <w:t>振</w:t>
            </w:r>
            <w:r>
              <w:rPr>
                <w:rFonts w:hint="eastAsia" w:ascii="Times New Roman" w:hAnsi="Times New Roman" w:eastAsia="宋体" w:cs="Times New Roman"/>
                <w:color w:val="auto"/>
                <w:sz w:val="21"/>
                <w:szCs w:val="21"/>
                <w:highlight w:val="none"/>
              </w:rPr>
              <w:t>隔声材料</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冷却塔选用飘水量小、低噪声型设备，设隔振基础、配变频风机等</w:t>
            </w:r>
          </w:p>
        </w:tc>
        <w:tc>
          <w:tcPr>
            <w:tcW w:w="2613" w:type="dxa"/>
            <w:noWrap w:val="0"/>
            <w:vAlign w:val="center"/>
          </w:tcPr>
          <w:p>
            <w:pPr>
              <w:spacing w:line="240" w:lineRule="auto"/>
              <w:ind w:left="-120" w:leftChars="-50" w:right="-120" w:rightChars="-50" w:firstLine="0" w:firstLineChars="0"/>
              <w:jc w:val="center"/>
              <w:rPr>
                <w:rFonts w:hint="default" w:eastAsia="宋体"/>
                <w:color w:val="auto"/>
                <w:sz w:val="21"/>
                <w:szCs w:val="21"/>
                <w:lang w:val="en-US" w:eastAsia="zh-CN"/>
              </w:rPr>
            </w:pPr>
            <w:r>
              <w:rPr>
                <w:rFonts w:hint="eastAsia"/>
                <w:color w:val="auto"/>
                <w:sz w:val="21"/>
                <w:szCs w:val="21"/>
                <w:lang w:val="en-US" w:eastAsia="zh-CN"/>
              </w:rPr>
              <w:t>院区边界满足</w:t>
            </w:r>
            <w:r>
              <w:rPr>
                <w:rFonts w:hint="eastAsia"/>
                <w:color w:val="auto"/>
                <w:sz w:val="21"/>
                <w:szCs w:val="21"/>
              </w:rPr>
              <w:t>《</w:t>
            </w:r>
            <w:r>
              <w:rPr>
                <w:color w:val="auto"/>
                <w:sz w:val="21"/>
                <w:szCs w:val="21"/>
              </w:rPr>
              <w:t>工业企业厂界环境噪声排放标准》（GB12348-2008）中的</w:t>
            </w:r>
            <w:r>
              <w:rPr>
                <w:rFonts w:hint="eastAsia"/>
                <w:color w:val="auto"/>
                <w:sz w:val="21"/>
                <w:szCs w:val="21"/>
                <w:lang w:val="en-US" w:eastAsia="zh-CN"/>
              </w:rPr>
              <w:t>2</w:t>
            </w:r>
            <w:r>
              <w:rPr>
                <w:color w:val="auto"/>
                <w:sz w:val="21"/>
                <w:szCs w:val="21"/>
              </w:rPr>
              <w:t>类标准</w:t>
            </w:r>
            <w:r>
              <w:rPr>
                <w:rFonts w:hint="eastAsia"/>
                <w:color w:val="auto"/>
                <w:sz w:val="21"/>
                <w:szCs w:val="21"/>
                <w:lang w:eastAsia="zh-CN"/>
              </w:rPr>
              <w:t>，北</w:t>
            </w:r>
            <w:r>
              <w:rPr>
                <w:rFonts w:hint="eastAsia"/>
                <w:color w:val="auto"/>
                <w:sz w:val="21"/>
                <w:szCs w:val="21"/>
                <w:lang w:val="en-US" w:eastAsia="zh-CN"/>
              </w:rPr>
              <w:t>、西场界临路</w:t>
            </w:r>
            <w:r>
              <w:rPr>
                <w:rFonts w:hint="eastAsia" w:ascii="Times New Roman" w:hAnsi="Times New Roman" w:cs="Times New Roman"/>
                <w:color w:val="auto"/>
                <w:kern w:val="2"/>
                <w:sz w:val="21"/>
                <w:szCs w:val="21"/>
                <w:vertAlign w:val="baseline"/>
                <w:lang w:val="en-US" w:eastAsia="zh-CN" w:bidi="ar-SA"/>
              </w:rPr>
              <w:t>35m±5m范围</w:t>
            </w:r>
            <w:r>
              <w:rPr>
                <w:rFonts w:hint="eastAsia"/>
                <w:color w:val="auto"/>
                <w:sz w:val="21"/>
                <w:szCs w:val="21"/>
                <w:lang w:val="en-US" w:eastAsia="zh-CN"/>
              </w:rPr>
              <w:t>满足</w:t>
            </w:r>
            <w:r>
              <w:rPr>
                <w:rFonts w:hint="eastAsia"/>
                <w:color w:val="auto"/>
                <w:sz w:val="21"/>
                <w:szCs w:val="21"/>
              </w:rPr>
              <w:t>《</w:t>
            </w:r>
            <w:r>
              <w:rPr>
                <w:color w:val="auto"/>
                <w:sz w:val="21"/>
                <w:szCs w:val="21"/>
              </w:rPr>
              <w:t>工业企业厂界环境噪声排放标准》（GB12348-2008）中的</w:t>
            </w:r>
            <w:r>
              <w:rPr>
                <w:rFonts w:hint="eastAsia"/>
                <w:color w:val="auto"/>
                <w:sz w:val="21"/>
                <w:szCs w:val="21"/>
                <w:lang w:val="en-US" w:eastAsia="zh-CN"/>
              </w:rPr>
              <w:t>4</w:t>
            </w:r>
            <w:r>
              <w:rPr>
                <w:color w:val="auto"/>
                <w:sz w:val="21"/>
                <w:szCs w:val="21"/>
              </w:rPr>
              <w:t>类标准</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07" w:type="dxa"/>
            <w:gridSpan w:val="2"/>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固废</w:t>
            </w:r>
          </w:p>
        </w:tc>
        <w:tc>
          <w:tcPr>
            <w:tcW w:w="5670" w:type="dxa"/>
            <w:gridSpan w:val="2"/>
            <w:noWrap w:val="0"/>
            <w:vAlign w:val="center"/>
          </w:tcPr>
          <w:p>
            <w:pPr>
              <w:pStyle w:val="89"/>
              <w:spacing w:line="240" w:lineRule="auto"/>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医疗废物暂存间、危废暂存间</w:t>
            </w:r>
            <w:r>
              <w:rPr>
                <w:rFonts w:hint="eastAsia" w:eastAsia="宋体"/>
                <w:color w:val="auto"/>
                <w:sz w:val="21"/>
                <w:szCs w:val="21"/>
                <w:highlight w:val="none"/>
              </w:rPr>
              <w:t>采用防渗、防腐处理，安全分类储存</w:t>
            </w:r>
            <w:r>
              <w:rPr>
                <w:rFonts w:hint="eastAsia" w:eastAsia="宋体"/>
                <w:color w:val="auto"/>
                <w:sz w:val="21"/>
                <w:szCs w:val="21"/>
                <w:highlight w:val="none"/>
                <w:lang w:eastAsia="zh-CN"/>
              </w:rPr>
              <w:t>；生活垃圾设置集中收集点；一般固废暂存间</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2" w:hRule="atLeast"/>
          <w:jc w:val="center"/>
        </w:trPr>
        <w:tc>
          <w:tcPr>
            <w:tcW w:w="1907" w:type="dxa"/>
            <w:gridSpan w:val="2"/>
            <w:noWrap w:val="0"/>
            <w:vAlign w:val="center"/>
          </w:tcPr>
          <w:p>
            <w:pPr>
              <w:spacing w:line="240" w:lineRule="auto"/>
              <w:ind w:left="-120" w:leftChars="-50" w:right="-120" w:rightChars="-50" w:firstLine="0" w:firstLineChars="0"/>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val="0"/>
                <w:bCs/>
                <w:color w:val="auto"/>
                <w:sz w:val="21"/>
                <w:szCs w:val="21"/>
                <w:lang w:val="en-US" w:eastAsia="zh-CN"/>
              </w:rPr>
              <w:t>环境风险防范</w:t>
            </w:r>
          </w:p>
        </w:tc>
        <w:tc>
          <w:tcPr>
            <w:tcW w:w="5670" w:type="dxa"/>
            <w:gridSpan w:val="2"/>
            <w:noWrap w:val="0"/>
            <w:vAlign w:val="center"/>
          </w:tcPr>
          <w:p>
            <w:pPr>
              <w:pStyle w:val="89"/>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sz w:val="21"/>
                <w:szCs w:val="21"/>
                <w:u w:val="none"/>
                <w:lang w:val="en-US" w:eastAsia="zh-CN"/>
              </w:rPr>
              <w:t>本次新建</w:t>
            </w:r>
            <w:r>
              <w:rPr>
                <w:rFonts w:hint="eastAsia" w:eastAsia="宋体" w:cs="Times New Roman"/>
                <w:i w:val="0"/>
                <w:color w:val="auto"/>
                <w:sz w:val="21"/>
                <w:szCs w:val="21"/>
                <w:u w:val="none"/>
                <w:lang w:val="en-US" w:eastAsia="zh-CN"/>
              </w:rPr>
              <w:t>600</w:t>
            </w:r>
            <w:r>
              <w:rPr>
                <w:rFonts w:hint="default" w:ascii="Times New Roman" w:hAnsi="Times New Roman" w:eastAsia="宋体" w:cs="Times New Roman"/>
                <w:i w:val="0"/>
                <w:color w:val="auto"/>
                <w:kern w:val="0"/>
                <w:sz w:val="21"/>
                <w:szCs w:val="21"/>
                <w:u w:val="none"/>
                <w:lang w:val="en-US" w:eastAsia="zh-CN" w:bidi="ar"/>
              </w:rPr>
              <w:t>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vertAlign w:val="baseline"/>
                <w:lang w:val="en-US" w:eastAsia="zh-CN" w:bidi="ar"/>
              </w:rPr>
              <w:t>应急事故池</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rFonts w:hint="eastAsia"/>
                <w:b/>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34" w:hRule="atLeast"/>
          <w:jc w:val="center"/>
        </w:trPr>
        <w:tc>
          <w:tcPr>
            <w:tcW w:w="683" w:type="dxa"/>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地下水</w:t>
            </w:r>
          </w:p>
        </w:tc>
        <w:tc>
          <w:tcPr>
            <w:tcW w:w="1224" w:type="dxa"/>
            <w:noWrap w:val="0"/>
            <w:vAlign w:val="center"/>
          </w:tcPr>
          <w:p>
            <w:pPr>
              <w:spacing w:line="240" w:lineRule="auto"/>
              <w:ind w:left="-120" w:leftChars="-50" w:right="-120" w:rightChars="-50" w:firstLine="0" w:firstLineChars="0"/>
              <w:jc w:val="center"/>
              <w:rPr>
                <w:color w:val="auto"/>
                <w:sz w:val="21"/>
                <w:szCs w:val="21"/>
              </w:rPr>
            </w:pPr>
            <w:r>
              <w:rPr>
                <w:color w:val="auto"/>
                <w:sz w:val="21"/>
                <w:szCs w:val="21"/>
              </w:rPr>
              <w:t>分区防渗</w:t>
            </w:r>
          </w:p>
        </w:tc>
        <w:tc>
          <w:tcPr>
            <w:tcW w:w="5670" w:type="dxa"/>
            <w:gridSpan w:val="2"/>
            <w:noWrap w:val="0"/>
            <w:vAlign w:val="center"/>
          </w:tcPr>
          <w:p>
            <w:pPr>
              <w:spacing w:line="240" w:lineRule="auto"/>
              <w:ind w:left="-120" w:leftChars="-50" w:right="-120" w:rightChars="-50" w:firstLine="0" w:firstLineChars="0"/>
              <w:jc w:val="center"/>
              <w:rPr>
                <w:rFonts w:hint="eastAsia" w:eastAsia="宋体"/>
                <w:color w:val="auto"/>
                <w:sz w:val="21"/>
                <w:szCs w:val="21"/>
                <w:lang w:eastAsia="zh-CN"/>
              </w:rPr>
            </w:pPr>
            <w:r>
              <w:rPr>
                <w:color w:val="auto"/>
                <w:sz w:val="21"/>
                <w:szCs w:val="21"/>
                <w:highlight w:val="none"/>
              </w:rPr>
              <w:t>根据区域的不同，采取不同的防渗措施</w:t>
            </w:r>
            <w:r>
              <w:rPr>
                <w:rFonts w:hint="eastAsia"/>
                <w:color w:val="auto"/>
                <w:sz w:val="21"/>
                <w:szCs w:val="21"/>
                <w:highlight w:val="none"/>
                <w:lang w:eastAsia="zh-CN"/>
              </w:rPr>
              <w:t>，</w:t>
            </w:r>
            <w:r>
              <w:rPr>
                <w:rFonts w:hint="eastAsia"/>
                <w:color w:val="auto"/>
                <w:sz w:val="21"/>
                <w:szCs w:val="21"/>
                <w:highlight w:val="none"/>
                <w:lang w:val="en-US" w:eastAsia="zh-CN"/>
              </w:rPr>
              <w:t>储油间（柴油发电机房内侧）、危废暂存间、医疗废物暂存间、污水处理站（含调节池）、事故池，</w:t>
            </w:r>
            <w:r>
              <w:rPr>
                <w:rFonts w:hint="eastAsia"/>
                <w:color w:val="auto"/>
                <w:sz w:val="21"/>
                <w:szCs w:val="21"/>
                <w:highlight w:val="none"/>
                <w:lang w:eastAsia="zh-CN"/>
              </w:rPr>
              <w:t>渗透系数小于10</w:t>
            </w:r>
            <w:r>
              <w:rPr>
                <w:rFonts w:hint="eastAsia"/>
                <w:color w:val="auto"/>
                <w:sz w:val="21"/>
                <w:szCs w:val="21"/>
                <w:highlight w:val="none"/>
                <w:vertAlign w:val="superscript"/>
                <w:lang w:eastAsia="zh-CN"/>
              </w:rPr>
              <w:t>-10</w:t>
            </w:r>
            <w:r>
              <w:rPr>
                <w:rFonts w:hint="eastAsia"/>
                <w:color w:val="auto"/>
                <w:sz w:val="21"/>
                <w:szCs w:val="21"/>
                <w:highlight w:val="none"/>
                <w:lang w:eastAsia="zh-CN"/>
              </w:rPr>
              <w:t>cm/s</w:t>
            </w:r>
          </w:p>
        </w:tc>
        <w:tc>
          <w:tcPr>
            <w:tcW w:w="951" w:type="dxa"/>
            <w:vMerge w:val="continue"/>
            <w:tcBorders>
              <w:right w:val="single" w:color="auto" w:sz="4" w:space="0"/>
            </w:tcBorders>
            <w:noWrap w:val="0"/>
            <w:vAlign w:val="center"/>
          </w:tcPr>
          <w:p>
            <w:pPr>
              <w:spacing w:line="240" w:lineRule="auto"/>
              <w:ind w:left="-120" w:leftChars="-50" w:right="-120" w:rightChars="-50" w:firstLine="422"/>
              <w:jc w:val="center"/>
              <w:rPr>
                <w:b/>
                <w:color w:val="auto"/>
                <w:sz w:val="21"/>
                <w:szCs w:val="21"/>
              </w:rPr>
            </w:pPr>
          </w:p>
        </w:tc>
      </w:tr>
    </w:tbl>
    <w:p>
      <w:pPr>
        <w:pStyle w:val="3"/>
        <w:pageBreakBefore w:val="0"/>
        <w:widowControl w:val="0"/>
        <w:numPr>
          <w:ilvl w:val="0"/>
          <w:numId w:val="0"/>
        </w:numPr>
        <w:kinsoku/>
        <w:wordWrap/>
        <w:overflowPunct/>
        <w:topLinePunct w:val="0"/>
        <w:autoSpaceDE/>
        <w:autoSpaceDN/>
        <w:bidi w:val="0"/>
        <w:adjustRightInd/>
        <w:snapToGrid w:val="0"/>
        <w:spacing w:line="240" w:lineRule="auto"/>
        <w:ind w:leftChars="0"/>
        <w:jc w:val="center"/>
        <w:textAlignment w:val="auto"/>
        <w:rPr>
          <w:rFonts w:hint="eastAsia"/>
          <w:color w:val="auto"/>
        </w:rPr>
      </w:pPr>
      <w:r>
        <w:rPr>
          <w:rFonts w:hint="eastAsia"/>
          <w:b/>
          <w:bCs/>
          <w:color w:val="auto"/>
          <w:lang w:eastAsia="zh-CN"/>
        </w:rPr>
        <w:br w:type="page"/>
      </w:r>
      <w:bookmarkStart w:id="121" w:name="_Toc24195"/>
      <w:r>
        <w:rPr>
          <w:rFonts w:hint="eastAsia"/>
          <w:b/>
          <w:bCs/>
          <w:color w:val="auto"/>
          <w:kern w:val="44"/>
          <w:sz w:val="36"/>
          <w:szCs w:val="44"/>
          <w:lang w:val="en-US" w:eastAsia="zh-CN" w:bidi="ar-SA"/>
        </w:rPr>
        <w:t>10</w:t>
      </w:r>
      <w:r>
        <w:rPr>
          <w:rFonts w:hint="eastAsia"/>
          <w:b/>
          <w:bCs/>
          <w:color w:val="auto"/>
          <w:lang w:val="en-US" w:eastAsia="zh-CN"/>
        </w:rPr>
        <w:t>结论</w:t>
      </w:r>
      <w:r>
        <w:rPr>
          <w:rFonts w:hint="eastAsia"/>
          <w:b/>
          <w:bCs/>
          <w:color w:val="auto"/>
          <w:kern w:val="44"/>
          <w:sz w:val="36"/>
          <w:szCs w:val="44"/>
          <w:lang w:val="en-US" w:eastAsia="zh-CN" w:bidi="ar-SA"/>
        </w:rPr>
        <w:t>与建议</w:t>
      </w:r>
      <w:bookmarkEnd w:id="121"/>
    </w:p>
    <w:p>
      <w:pPr>
        <w:pStyle w:val="4"/>
        <w:keepNext/>
        <w:keepLines/>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Chars="0"/>
        <w:textAlignment w:val="auto"/>
        <w:rPr>
          <w:rFonts w:hint="eastAsia"/>
          <w:color w:val="auto"/>
        </w:rPr>
      </w:pPr>
      <w:bookmarkStart w:id="122" w:name="_Toc349380741"/>
      <w:bookmarkStart w:id="123" w:name="_Toc26907"/>
      <w:r>
        <w:rPr>
          <w:rFonts w:hint="eastAsia"/>
          <w:color w:val="auto"/>
          <w:lang w:val="en-US" w:eastAsia="zh-CN"/>
        </w:rPr>
        <w:t>10.1</w:t>
      </w:r>
      <w:r>
        <w:rPr>
          <w:rFonts w:hint="eastAsia"/>
          <w:color w:val="auto"/>
        </w:rPr>
        <w:t>结论</w:t>
      </w:r>
      <w:bookmarkEnd w:id="122"/>
      <w:bookmarkEnd w:id="123"/>
    </w:p>
    <w:p>
      <w:pPr>
        <w:pStyle w:val="5"/>
        <w:pageBreakBefore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120" w:after="0"/>
        <w:ind w:leftChars="0"/>
        <w:textAlignment w:val="auto"/>
        <w:rPr>
          <w:rFonts w:hint="eastAsia"/>
          <w:color w:val="auto"/>
        </w:rPr>
      </w:pPr>
      <w:r>
        <w:rPr>
          <w:rFonts w:hint="eastAsia"/>
          <w:color w:val="auto"/>
          <w:lang w:val="en-US" w:eastAsia="zh-CN"/>
        </w:rPr>
        <w:t>10.1.1</w:t>
      </w:r>
      <w:r>
        <w:rPr>
          <w:rFonts w:hint="eastAsia"/>
          <w:color w:val="auto"/>
        </w:rPr>
        <w:t>项目概况</w:t>
      </w:r>
    </w:p>
    <w:p>
      <w:pPr>
        <w:pageBreakBefore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360" w:lineRule="auto"/>
        <w:ind w:leftChars="0" w:firstLine="480"/>
        <w:textAlignment w:val="auto"/>
        <w:rPr>
          <w:rFonts w:hint="eastAsia"/>
          <w:bCs/>
          <w:color w:val="auto"/>
          <w:highlight w:val="none"/>
        </w:rPr>
      </w:pPr>
      <w:r>
        <w:rPr>
          <w:rFonts w:hint="eastAsia"/>
          <w:color w:val="auto"/>
          <w:highlight w:val="none"/>
          <w:lang w:eastAsia="zh-CN"/>
        </w:rPr>
        <w:t>安徽省立医院（中国科大附一院）滨湖院区项目拟投资</w:t>
      </w:r>
      <w:r>
        <w:rPr>
          <w:rFonts w:hint="eastAsia"/>
          <w:color w:val="auto"/>
          <w:highlight w:val="none"/>
          <w:lang w:val="en-US" w:eastAsia="zh-CN"/>
        </w:rPr>
        <w:t>274800万元</w:t>
      </w:r>
      <w:r>
        <w:rPr>
          <w:rFonts w:hint="eastAsia"/>
          <w:color w:val="auto"/>
          <w:highlight w:val="none"/>
          <w:lang w:eastAsia="zh-CN"/>
        </w:rPr>
        <w:t>（其中滨湖院区项目总投资为</w:t>
      </w:r>
      <w:r>
        <w:rPr>
          <w:rFonts w:hint="eastAsia"/>
          <w:color w:val="auto"/>
          <w:highlight w:val="none"/>
          <w:lang w:val="en-US" w:eastAsia="zh-CN"/>
        </w:rPr>
        <w:t>237100万元，滨湖老年保健中心37700万元</w:t>
      </w:r>
      <w:r>
        <w:rPr>
          <w:rFonts w:hint="eastAsia"/>
          <w:color w:val="auto"/>
          <w:highlight w:val="none"/>
          <w:lang w:eastAsia="zh-CN"/>
        </w:rPr>
        <w:t>）在</w:t>
      </w:r>
      <w:r>
        <w:rPr>
          <w:rFonts w:hint="eastAsia"/>
          <w:color w:val="auto"/>
          <w:highlight w:val="none"/>
          <w:lang w:val="en-US" w:eastAsia="zh-CN"/>
        </w:rPr>
        <w:t>合肥市滨湖新区锦绣大道与江苏路交口西南侧建设</w:t>
      </w:r>
      <w:r>
        <w:rPr>
          <w:rFonts w:hint="eastAsia"/>
          <w:bCs/>
          <w:color w:val="auto"/>
          <w:lang w:eastAsia="zh-CN"/>
        </w:rPr>
        <w:t>安徽省立医院（中国科大附一院）滨湖院区项目。</w:t>
      </w:r>
      <w:r>
        <w:rPr>
          <w:rFonts w:hint="eastAsia" w:ascii="Times New Roman" w:hAnsi="Times New Roman" w:eastAsia="宋体" w:cs="Times New Roman"/>
          <w:color w:val="auto"/>
          <w:kern w:val="0"/>
          <w:sz w:val="24"/>
          <w:szCs w:val="24"/>
          <w:highlight w:val="none"/>
          <w:lang w:val="en-US" w:eastAsia="zh-CN" w:bidi="ar"/>
        </w:rPr>
        <w:t>本项目已于202</w:t>
      </w:r>
      <w:r>
        <w:rPr>
          <w:rFonts w:hint="eastAsia" w:cs="Times New Roman"/>
          <w:color w:val="auto"/>
          <w:kern w:val="0"/>
          <w:sz w:val="24"/>
          <w:szCs w:val="24"/>
          <w:highlight w:val="none"/>
          <w:lang w:val="en-US" w:eastAsia="zh-CN" w:bidi="ar"/>
        </w:rPr>
        <w:t>2</w:t>
      </w:r>
      <w:r>
        <w:rPr>
          <w:rFonts w:hint="eastAsia" w:ascii="Times New Roman" w:hAnsi="Times New Roman" w:eastAsia="宋体" w:cs="Times New Roman"/>
          <w:color w:val="auto"/>
          <w:kern w:val="0"/>
          <w:sz w:val="24"/>
          <w:szCs w:val="24"/>
          <w:highlight w:val="none"/>
          <w:lang w:val="en-US" w:eastAsia="zh-CN" w:bidi="ar"/>
        </w:rPr>
        <w:t>年</w:t>
      </w:r>
      <w:r>
        <w:rPr>
          <w:rFonts w:hint="eastAsia" w:cs="Times New Roman"/>
          <w:color w:val="auto"/>
          <w:kern w:val="0"/>
          <w:sz w:val="24"/>
          <w:szCs w:val="24"/>
          <w:highlight w:val="none"/>
          <w:lang w:val="en-US" w:eastAsia="zh-CN" w:bidi="ar"/>
        </w:rPr>
        <w:t>2</w:t>
      </w:r>
      <w:r>
        <w:rPr>
          <w:rFonts w:hint="eastAsia" w:ascii="Times New Roman" w:hAnsi="Times New Roman" w:eastAsia="宋体" w:cs="Times New Roman"/>
          <w:color w:val="auto"/>
          <w:kern w:val="0"/>
          <w:sz w:val="24"/>
          <w:szCs w:val="24"/>
          <w:highlight w:val="none"/>
          <w:lang w:val="en-US" w:eastAsia="zh-CN" w:bidi="ar"/>
        </w:rPr>
        <w:t>月</w:t>
      </w:r>
      <w:r>
        <w:rPr>
          <w:rFonts w:hint="eastAsia" w:cs="Times New Roman"/>
          <w:color w:val="auto"/>
          <w:kern w:val="0"/>
          <w:sz w:val="24"/>
          <w:szCs w:val="24"/>
          <w:highlight w:val="none"/>
          <w:lang w:val="en-US" w:eastAsia="zh-CN" w:bidi="ar"/>
        </w:rPr>
        <w:t>23</w:t>
      </w:r>
      <w:r>
        <w:rPr>
          <w:rFonts w:hint="eastAsia" w:ascii="Times New Roman" w:hAnsi="Times New Roman" w:eastAsia="宋体" w:cs="Times New Roman"/>
          <w:color w:val="auto"/>
          <w:kern w:val="0"/>
          <w:sz w:val="24"/>
          <w:szCs w:val="24"/>
          <w:highlight w:val="none"/>
          <w:lang w:val="en-US" w:eastAsia="zh-CN" w:bidi="ar"/>
        </w:rPr>
        <w:t>日经</w:t>
      </w:r>
      <w:r>
        <w:rPr>
          <w:rFonts w:hint="eastAsia" w:cs="Times New Roman"/>
          <w:color w:val="auto"/>
          <w:kern w:val="0"/>
          <w:sz w:val="24"/>
          <w:szCs w:val="24"/>
          <w:highlight w:val="none"/>
          <w:lang w:val="en-US" w:eastAsia="zh-CN" w:bidi="ar"/>
        </w:rPr>
        <w:t>合肥市发展和改革委员会</w:t>
      </w:r>
      <w:r>
        <w:rPr>
          <w:rFonts w:hint="eastAsia" w:ascii="Times New Roman" w:hAnsi="Times New Roman" w:eastAsia="宋体" w:cs="Times New Roman"/>
          <w:color w:val="auto"/>
          <w:kern w:val="0"/>
          <w:sz w:val="24"/>
          <w:szCs w:val="24"/>
          <w:highlight w:val="none"/>
          <w:lang w:val="en-US" w:eastAsia="zh-CN" w:bidi="ar"/>
        </w:rPr>
        <w:t>备案（</w:t>
      </w:r>
      <w:r>
        <w:rPr>
          <w:rFonts w:hint="eastAsia" w:cs="Times New Roman"/>
          <w:color w:val="auto"/>
          <w:kern w:val="0"/>
          <w:sz w:val="24"/>
          <w:szCs w:val="24"/>
          <w:highlight w:val="none"/>
          <w:lang w:val="en-US" w:eastAsia="zh-CN" w:bidi="ar"/>
        </w:rPr>
        <w:t>合发改备</w:t>
      </w:r>
      <w:r>
        <w:rPr>
          <w:rFonts w:hint="eastAsia" w:ascii="Times New Roman" w:hAnsi="Times New Roman" w:eastAsia="宋体" w:cs="Times New Roman"/>
          <w:color w:val="auto"/>
          <w:kern w:val="0"/>
          <w:sz w:val="24"/>
          <w:szCs w:val="24"/>
          <w:highlight w:val="none"/>
          <w:lang w:val="en-US" w:eastAsia="zh-CN" w:bidi="ar"/>
        </w:rPr>
        <w:t>[202</w:t>
      </w:r>
      <w:r>
        <w:rPr>
          <w:rFonts w:hint="eastAsia" w:cs="Times New Roman"/>
          <w:color w:val="auto"/>
          <w:kern w:val="0"/>
          <w:sz w:val="24"/>
          <w:szCs w:val="24"/>
          <w:highlight w:val="none"/>
          <w:lang w:val="en-US" w:eastAsia="zh-CN" w:bidi="ar"/>
        </w:rPr>
        <w:t>2</w:t>
      </w:r>
      <w:r>
        <w:rPr>
          <w:rFonts w:hint="eastAsia" w:ascii="Times New Roman" w:hAnsi="Times New Roman" w:eastAsia="宋体" w:cs="Times New Roman"/>
          <w:color w:val="auto"/>
          <w:kern w:val="0"/>
          <w:sz w:val="24"/>
          <w:szCs w:val="24"/>
          <w:highlight w:val="none"/>
          <w:lang w:val="en-US" w:eastAsia="zh-CN" w:bidi="ar"/>
        </w:rPr>
        <w:t>]1</w:t>
      </w:r>
      <w:r>
        <w:rPr>
          <w:rFonts w:hint="eastAsia" w:cs="Times New Roman"/>
          <w:color w:val="auto"/>
          <w:kern w:val="0"/>
          <w:sz w:val="24"/>
          <w:szCs w:val="24"/>
          <w:highlight w:val="none"/>
          <w:lang w:val="en-US" w:eastAsia="zh-CN" w:bidi="ar"/>
        </w:rPr>
        <w:t>0</w:t>
      </w:r>
      <w:r>
        <w:rPr>
          <w:rFonts w:hint="eastAsia" w:ascii="Times New Roman" w:hAnsi="Times New Roman" w:eastAsia="宋体" w:cs="Times New Roman"/>
          <w:color w:val="auto"/>
          <w:kern w:val="0"/>
          <w:sz w:val="24"/>
          <w:szCs w:val="24"/>
          <w:highlight w:val="none"/>
          <w:lang w:val="en-US" w:eastAsia="zh-CN" w:bidi="ar"/>
        </w:rPr>
        <w:t>号文）</w:t>
      </w:r>
      <w:r>
        <w:rPr>
          <w:rFonts w:hint="eastAsia"/>
          <w:color w:val="auto"/>
          <w:szCs w:val="21"/>
          <w:highlight w:val="none"/>
        </w:rPr>
        <w:t>，</w:t>
      </w:r>
      <w:r>
        <w:rPr>
          <w:rFonts w:hint="default" w:ascii="Times New Roman" w:hAnsi="Times New Roman" w:cs="Times New Roman"/>
          <w:color w:val="auto"/>
        </w:rPr>
        <w:t>总占地面积约</w:t>
      </w:r>
      <w:r>
        <w:rPr>
          <w:rFonts w:hint="eastAsia" w:cs="Times New Roman"/>
          <w:color w:val="auto"/>
          <w:lang w:val="en-US" w:eastAsia="zh-CN"/>
        </w:rPr>
        <w:t>118</w:t>
      </w:r>
      <w:r>
        <w:rPr>
          <w:rFonts w:hint="default" w:ascii="Times New Roman" w:hAnsi="Times New Roman" w:cs="Times New Roman"/>
          <w:color w:val="auto"/>
        </w:rPr>
        <w:t>亩</w:t>
      </w:r>
      <w:r>
        <w:rPr>
          <w:rFonts w:hint="eastAsia" w:ascii="Times New Roman" w:hAnsi="Times New Roman" w:cs="Times New Roman"/>
          <w:color w:val="auto"/>
          <w:lang w:eastAsia="zh-CN"/>
        </w:rPr>
        <w:t>，</w:t>
      </w:r>
      <w:r>
        <w:rPr>
          <w:rFonts w:hint="default" w:ascii="Times New Roman" w:hAnsi="Times New Roman" w:cs="Times New Roman"/>
          <w:color w:val="auto"/>
        </w:rPr>
        <w:t>建设</w:t>
      </w:r>
      <w:r>
        <w:rPr>
          <w:rFonts w:hint="eastAsia" w:cs="Times New Roman"/>
          <w:color w:val="auto"/>
          <w:lang w:eastAsia="zh-CN"/>
        </w:rPr>
        <w:t>门急诊医技楼</w:t>
      </w:r>
      <w:r>
        <w:rPr>
          <w:rFonts w:hint="default" w:ascii="Times New Roman" w:hAnsi="Times New Roman" w:cs="Times New Roman"/>
          <w:color w:val="auto"/>
        </w:rPr>
        <w:t>、</w:t>
      </w:r>
      <w:r>
        <w:rPr>
          <w:rFonts w:hint="eastAsia" w:cs="Times New Roman"/>
          <w:color w:val="auto"/>
          <w:lang w:eastAsia="zh-CN"/>
        </w:rPr>
        <w:t>妇幼保健中心大楼、综合住院部大楼、拓展住院部大楼、特殊门诊大楼（感染楼）</w:t>
      </w:r>
      <w:r>
        <w:rPr>
          <w:rFonts w:hint="default" w:ascii="Times New Roman" w:hAnsi="Times New Roman" w:cs="Times New Roman"/>
          <w:color w:val="auto"/>
        </w:rPr>
        <w:t>、</w:t>
      </w:r>
      <w:r>
        <w:rPr>
          <w:rFonts w:hint="eastAsia" w:cs="Times New Roman"/>
          <w:color w:val="auto"/>
          <w:lang w:eastAsia="zh-CN"/>
        </w:rPr>
        <w:t>门诊保健医技楼、老年保健住院楼、综合管理中心等</w:t>
      </w:r>
      <w:r>
        <w:rPr>
          <w:rFonts w:hint="default" w:ascii="Times New Roman" w:hAnsi="Times New Roman" w:cs="Times New Roman"/>
          <w:color w:val="auto"/>
        </w:rPr>
        <w:t>以及配套工程</w:t>
      </w:r>
      <w:r>
        <w:rPr>
          <w:rFonts w:hint="eastAsia"/>
          <w:bCs/>
          <w:color w:val="auto"/>
          <w:highlight w:val="none"/>
        </w:rPr>
        <w:t>。</w:t>
      </w:r>
      <w:r>
        <w:rPr>
          <w:rFonts w:hint="eastAsia"/>
          <w:color w:val="auto"/>
          <w:highlight w:val="none"/>
          <w:lang w:eastAsia="zh-CN"/>
        </w:rPr>
        <w:t>本项目建成后预计新增</w:t>
      </w:r>
      <w:r>
        <w:rPr>
          <w:rFonts w:hint="eastAsia"/>
          <w:color w:val="auto"/>
          <w:highlight w:val="none"/>
          <w:lang w:val="en-US" w:eastAsia="zh-CN"/>
        </w:rPr>
        <w:t>1500张床位，</w:t>
      </w:r>
      <w:r>
        <w:rPr>
          <w:rFonts w:hint="eastAsia"/>
          <w:color w:val="auto"/>
          <w:highlight w:val="none"/>
          <w:lang w:eastAsia="zh-CN"/>
        </w:rPr>
        <w:t>能够</w:t>
      </w:r>
      <w:r>
        <w:rPr>
          <w:rFonts w:hint="eastAsia" w:ascii="宋体" w:hAnsi="宋体" w:eastAsia="宋体" w:cs="宋体"/>
          <w:color w:val="auto"/>
          <w:kern w:val="0"/>
          <w:sz w:val="24"/>
          <w:szCs w:val="24"/>
          <w:lang w:val="en-US" w:eastAsia="zh-CN" w:bidi="ar"/>
        </w:rPr>
        <w:t>进一步提高</w:t>
      </w:r>
      <w:r>
        <w:rPr>
          <w:rFonts w:hint="eastAsia" w:ascii="宋体" w:hAnsi="宋体" w:cs="宋体"/>
          <w:color w:val="auto"/>
          <w:kern w:val="0"/>
          <w:sz w:val="24"/>
          <w:szCs w:val="24"/>
          <w:lang w:val="en-US" w:eastAsia="zh-CN" w:bidi="ar"/>
        </w:rPr>
        <w:t>合肥市的</w:t>
      </w:r>
      <w:r>
        <w:rPr>
          <w:rFonts w:hint="eastAsia" w:ascii="宋体" w:hAnsi="宋体" w:eastAsia="宋体" w:cs="宋体"/>
          <w:color w:val="auto"/>
          <w:kern w:val="0"/>
          <w:sz w:val="24"/>
          <w:szCs w:val="24"/>
          <w:lang w:val="en-US" w:eastAsia="zh-CN" w:bidi="ar"/>
        </w:rPr>
        <w:t>综合医疗服务能力</w:t>
      </w:r>
      <w:r>
        <w:rPr>
          <w:rFonts w:hint="eastAsia"/>
          <w:color w:val="auto"/>
          <w:highlight w:val="none"/>
          <w:lang w:val="en-US" w:eastAsia="zh-CN"/>
        </w:rPr>
        <w:t>。</w:t>
      </w:r>
    </w:p>
    <w:p>
      <w:pPr>
        <w:pStyle w:val="5"/>
        <w:pageBreakBefore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120" w:after="0"/>
        <w:ind w:leftChars="0"/>
        <w:textAlignment w:val="auto"/>
        <w:rPr>
          <w:rFonts w:hint="eastAsia"/>
          <w:color w:val="auto"/>
        </w:rPr>
      </w:pPr>
      <w:r>
        <w:rPr>
          <w:rFonts w:hint="eastAsia"/>
          <w:color w:val="auto"/>
          <w:lang w:val="en-US" w:eastAsia="zh-CN"/>
        </w:rPr>
        <w:t>10.1.2</w:t>
      </w:r>
      <w:r>
        <w:rPr>
          <w:rFonts w:hint="eastAsia"/>
          <w:color w:val="auto"/>
        </w:rPr>
        <w:t>产业政策符合性</w:t>
      </w:r>
    </w:p>
    <w:p>
      <w:pPr>
        <w:pStyle w:val="180"/>
        <w:widowControl w:val="0"/>
        <w:autoSpaceDE w:val="0"/>
        <w:autoSpaceDN w:val="0"/>
        <w:spacing w:before="0" w:after="0" w:line="360" w:lineRule="auto"/>
        <w:ind w:firstLine="480" w:firstLineChars="200"/>
        <w:jc w:val="left"/>
        <w:rPr>
          <w:rFonts w:eastAsia="宋体"/>
          <w:color w:val="auto"/>
          <w:sz w:val="24"/>
          <w:highlight w:val="none"/>
          <w:lang w:eastAsia="zh-CN"/>
        </w:rPr>
      </w:pPr>
      <w:r>
        <w:rPr>
          <w:color w:val="auto"/>
          <w:sz w:val="24"/>
          <w:highlight w:val="none"/>
          <w:lang w:eastAsia="zh-CN"/>
        </w:rPr>
        <w:t>对照《产业结构调整指导目录</w:t>
      </w:r>
      <w:r>
        <w:rPr>
          <w:rFonts w:hint="eastAsia"/>
          <w:color w:val="auto"/>
          <w:sz w:val="24"/>
          <w:highlight w:val="none"/>
          <w:lang w:eastAsia="zh-CN"/>
        </w:rPr>
        <w:t>(</w:t>
      </w:r>
      <w:r>
        <w:rPr>
          <w:color w:val="auto"/>
          <w:sz w:val="24"/>
          <w:highlight w:val="none"/>
          <w:lang w:eastAsia="zh-CN"/>
        </w:rPr>
        <w:t>201</w:t>
      </w:r>
      <w:r>
        <w:rPr>
          <w:rFonts w:hint="eastAsia"/>
          <w:color w:val="auto"/>
          <w:sz w:val="24"/>
          <w:highlight w:val="none"/>
          <w:lang w:val="en-US" w:eastAsia="zh-CN"/>
        </w:rPr>
        <w:t>9</w:t>
      </w:r>
      <w:r>
        <w:rPr>
          <w:color w:val="auto"/>
          <w:sz w:val="24"/>
          <w:highlight w:val="none"/>
          <w:lang w:eastAsia="zh-CN"/>
        </w:rPr>
        <w:t>年本)中</w:t>
      </w:r>
      <w:r>
        <w:rPr>
          <w:rFonts w:hint="eastAsia"/>
          <w:color w:val="auto"/>
          <w:sz w:val="24"/>
          <w:highlight w:val="none"/>
          <w:lang w:val="en-US" w:eastAsia="zh-CN"/>
        </w:rPr>
        <w:t>的</w:t>
      </w:r>
      <w:r>
        <w:rPr>
          <w:color w:val="auto"/>
          <w:sz w:val="24"/>
          <w:highlight w:val="none"/>
          <w:lang w:eastAsia="zh-CN"/>
        </w:rPr>
        <w:t>内容，本项目</w:t>
      </w:r>
      <w:r>
        <w:rPr>
          <w:rFonts w:eastAsia="宋体"/>
          <w:color w:val="auto"/>
          <w:sz w:val="24"/>
          <w:highlight w:val="none"/>
          <w:lang w:val="en-US" w:eastAsia="zh-CN"/>
        </w:rPr>
        <w:t>属于</w:t>
      </w:r>
      <w:r>
        <w:rPr>
          <w:color w:val="auto"/>
          <w:sz w:val="24"/>
          <w:highlight w:val="none"/>
          <w:lang w:eastAsia="zh-CN"/>
        </w:rPr>
        <w:t>《产业结构调整指导目录</w:t>
      </w:r>
      <w:r>
        <w:rPr>
          <w:rFonts w:hint="eastAsia"/>
          <w:color w:val="auto"/>
          <w:sz w:val="24"/>
          <w:highlight w:val="none"/>
          <w:lang w:eastAsia="zh-CN"/>
        </w:rPr>
        <w:t>(</w:t>
      </w:r>
      <w:r>
        <w:rPr>
          <w:color w:val="auto"/>
          <w:sz w:val="24"/>
          <w:highlight w:val="none"/>
          <w:lang w:eastAsia="zh-CN"/>
        </w:rPr>
        <w:t>201</w:t>
      </w:r>
      <w:r>
        <w:rPr>
          <w:rFonts w:hint="eastAsia"/>
          <w:color w:val="auto"/>
          <w:sz w:val="24"/>
          <w:highlight w:val="none"/>
          <w:lang w:val="en-US" w:eastAsia="zh-CN"/>
        </w:rPr>
        <w:t>9</w:t>
      </w:r>
      <w:r>
        <w:rPr>
          <w:color w:val="auto"/>
          <w:sz w:val="24"/>
          <w:highlight w:val="none"/>
          <w:lang w:eastAsia="zh-CN"/>
        </w:rPr>
        <w:t>年本)</w:t>
      </w:r>
      <w:r>
        <w:rPr>
          <w:rFonts w:hint="eastAsia"/>
          <w:color w:val="auto"/>
          <w:sz w:val="24"/>
          <w:highlight w:val="none"/>
          <w:lang w:val="en-US" w:eastAsia="zh-CN"/>
        </w:rPr>
        <w:t>中鼓励类</w:t>
      </w:r>
      <w:r>
        <w:rPr>
          <w:rFonts w:hint="eastAsia" w:cs="宋体"/>
          <w:color w:val="auto"/>
          <w:sz w:val="24"/>
          <w:highlight w:val="none"/>
          <w:lang w:val="en-US" w:eastAsia="zh-CN"/>
        </w:rPr>
        <w:t>“</w:t>
      </w:r>
      <w:r>
        <w:rPr>
          <w:rFonts w:hint="eastAsia"/>
          <w:color w:val="auto"/>
          <w:sz w:val="24"/>
          <w:highlight w:val="none"/>
          <w:lang w:val="en-US" w:eastAsia="zh-CN"/>
        </w:rPr>
        <w:t>三十七、卫生健康——5、医疗卫生服务设施建设</w:t>
      </w:r>
      <w:r>
        <w:rPr>
          <w:rFonts w:hint="eastAsia" w:cs="宋体"/>
          <w:color w:val="auto"/>
          <w:sz w:val="24"/>
          <w:highlight w:val="none"/>
          <w:lang w:val="en-US" w:eastAsia="zh-CN"/>
        </w:rPr>
        <w:t>”</w:t>
      </w:r>
      <w:r>
        <w:rPr>
          <w:rFonts w:eastAsia="宋体"/>
          <w:snapToGrid w:val="0"/>
          <w:color w:val="auto"/>
          <w:sz w:val="24"/>
          <w:szCs w:val="24"/>
          <w:highlight w:val="none"/>
          <w:lang w:eastAsia="zh-CN"/>
        </w:rPr>
        <w:t>。因此，项目建设符合国家产业政策。</w:t>
      </w:r>
    </w:p>
    <w:p>
      <w:pPr>
        <w:pStyle w:val="5"/>
        <w:pageBreakBefore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120" w:after="0"/>
        <w:ind w:leftChars="0"/>
        <w:textAlignment w:val="auto"/>
        <w:rPr>
          <w:rFonts w:hint="eastAsia"/>
          <w:color w:val="auto"/>
        </w:rPr>
      </w:pPr>
      <w:r>
        <w:rPr>
          <w:rFonts w:hint="eastAsia"/>
          <w:color w:val="auto"/>
          <w:lang w:val="en-US" w:eastAsia="zh-CN"/>
        </w:rPr>
        <w:t>10.1.3</w:t>
      </w:r>
      <w:r>
        <w:rPr>
          <w:rFonts w:hint="eastAsia"/>
          <w:color w:val="auto"/>
        </w:rPr>
        <w:t>规划相符性</w:t>
      </w:r>
    </w:p>
    <w:p>
      <w:pPr>
        <w:widowControl/>
        <w:spacing w:line="360" w:lineRule="auto"/>
        <w:ind w:firstLine="480" w:firstLineChars="200"/>
        <w:rPr>
          <w:color w:val="auto"/>
          <w:kern w:val="0"/>
          <w:szCs w:val="22"/>
          <w:highlight w:val="none"/>
        </w:rPr>
      </w:pPr>
      <w:r>
        <w:rPr>
          <w:color w:val="auto"/>
          <w:kern w:val="0"/>
          <w:szCs w:val="22"/>
          <w:highlight w:val="none"/>
        </w:rPr>
        <w:t>本项目位于</w:t>
      </w:r>
      <w:r>
        <w:rPr>
          <w:rFonts w:hint="eastAsia"/>
          <w:color w:val="auto"/>
          <w:kern w:val="0"/>
          <w:szCs w:val="22"/>
          <w:highlight w:val="none"/>
          <w:lang w:val="en-US" w:eastAsia="zh-CN"/>
        </w:rPr>
        <w:t>合肥市滨湖新区锦绣大道与江苏路交口西南侧</w:t>
      </w:r>
      <w:r>
        <w:rPr>
          <w:color w:val="auto"/>
          <w:kern w:val="0"/>
          <w:szCs w:val="22"/>
          <w:highlight w:val="none"/>
          <w:lang w:val="zh-CN"/>
        </w:rPr>
        <w:t>，</w:t>
      </w:r>
      <w:r>
        <w:rPr>
          <w:rFonts w:hint="eastAsia"/>
          <w:color w:val="auto"/>
          <w:highlight w:val="none"/>
          <w:lang w:val="en-US" w:eastAsia="zh-CN"/>
        </w:rPr>
        <w:t>根据建设项目选址意见书（详见附件4，用字第340111202200047）及安徽省卫生健康委员会“关于安徽省立医院（中国科大附一院）滨湖院区项目的批复”（详见附件3）、《合肥市城市总体规划（2011-2020年）》可知（详见图2.7-1），建设项目地块属于规划中的医疗卫生用地，该项目地块用地性质为医疗卫生用地</w:t>
      </w:r>
      <w:r>
        <w:rPr>
          <w:rFonts w:hint="eastAsia"/>
          <w:color w:val="auto"/>
          <w:kern w:val="0"/>
          <w:szCs w:val="22"/>
          <w:highlight w:val="none"/>
        </w:rPr>
        <w:t>，因此建设项目用地性质符合</w:t>
      </w:r>
      <w:r>
        <w:rPr>
          <w:rFonts w:hint="eastAsia"/>
          <w:color w:val="auto"/>
          <w:kern w:val="0"/>
          <w:szCs w:val="22"/>
          <w:highlight w:val="none"/>
          <w:lang w:eastAsia="zh-CN"/>
        </w:rPr>
        <w:t>区域总体</w:t>
      </w:r>
      <w:r>
        <w:rPr>
          <w:rFonts w:hint="eastAsia"/>
          <w:color w:val="auto"/>
          <w:kern w:val="0"/>
          <w:szCs w:val="22"/>
          <w:highlight w:val="none"/>
        </w:rPr>
        <w:t>规划要求</w:t>
      </w:r>
      <w:r>
        <w:rPr>
          <w:color w:val="auto"/>
          <w:kern w:val="0"/>
          <w:szCs w:val="22"/>
          <w:highlight w:val="none"/>
        </w:rPr>
        <w:t>。</w:t>
      </w:r>
    </w:p>
    <w:p>
      <w:pPr>
        <w:pStyle w:val="5"/>
        <w:pageBreakBefore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120" w:after="0"/>
        <w:ind w:leftChars="0"/>
        <w:textAlignment w:val="auto"/>
        <w:rPr>
          <w:rFonts w:hint="eastAsia"/>
          <w:color w:val="auto"/>
        </w:rPr>
      </w:pPr>
      <w:r>
        <w:rPr>
          <w:rFonts w:hint="eastAsia"/>
          <w:color w:val="auto"/>
          <w:lang w:val="en-US" w:eastAsia="zh-CN"/>
        </w:rPr>
        <w:t>10.1.4</w:t>
      </w:r>
      <w:r>
        <w:rPr>
          <w:rFonts w:hint="eastAsia"/>
          <w:color w:val="auto"/>
        </w:rPr>
        <w:t>区域环境质量现状</w:t>
      </w:r>
    </w:p>
    <w:p>
      <w:pPr>
        <w:spacing w:line="360" w:lineRule="auto"/>
        <w:ind w:firstLine="480" w:firstLineChars="200"/>
        <w:rPr>
          <w:rFonts w:hint="default" w:ascii="Times New Roman" w:hAnsi="Times New Roman" w:cs="Times New Roman"/>
          <w:color w:val="auto"/>
          <w:sz w:val="24"/>
          <w:szCs w:val="24"/>
          <w:highlight w:val="none"/>
          <w:lang w:val="en-US" w:eastAsia="zh-CN"/>
        </w:rPr>
      </w:pPr>
      <w:r>
        <w:rPr>
          <w:color w:val="auto"/>
          <w:highlight w:val="none"/>
        </w:rPr>
        <w:t>（1）大气环境现状评价：</w:t>
      </w:r>
      <w:r>
        <w:rPr>
          <w:rFonts w:hint="default" w:ascii="Times New Roman" w:hAnsi="Times New Roman" w:cs="Times New Roman"/>
          <w:color w:val="auto"/>
          <w:highlight w:val="none"/>
        </w:rPr>
        <w:t>项目选址位于</w:t>
      </w:r>
      <w:r>
        <w:rPr>
          <w:rFonts w:hint="default" w:ascii="Times New Roman" w:hAnsi="Times New Roman" w:cs="Times New Roman"/>
          <w:color w:val="auto"/>
          <w:highlight w:val="none"/>
          <w:lang w:val="en-US" w:eastAsia="zh-CN"/>
        </w:rPr>
        <w:t>合肥市滨湖新区锦绣大道与江苏路交口西南侧</w:t>
      </w:r>
      <w:r>
        <w:rPr>
          <w:rFonts w:hint="eastAsia" w:ascii="Times New Roman" w:hAnsi="Times New Roman" w:cs="Times New Roman"/>
          <w:color w:val="auto"/>
          <w:szCs w:val="21"/>
          <w:highlight w:val="none"/>
          <w:lang w:eastAsia="zh-CN"/>
        </w:rPr>
        <w:t>，</w:t>
      </w:r>
      <w:r>
        <w:rPr>
          <w:rFonts w:hint="default" w:ascii="Times New Roman" w:hAnsi="Times New Roman" w:eastAsia="宋体" w:cs="Times New Roman"/>
          <w:color w:val="auto"/>
          <w:sz w:val="24"/>
          <w:szCs w:val="24"/>
          <w:highlight w:val="none"/>
        </w:rPr>
        <w:t>根据</w:t>
      </w:r>
      <w:r>
        <w:rPr>
          <w:rFonts w:hint="eastAsia" w:cs="Times New Roman"/>
          <w:color w:val="auto"/>
          <w:sz w:val="24"/>
          <w:szCs w:val="24"/>
          <w:highlight w:val="none"/>
          <w:lang w:eastAsia="zh-CN"/>
        </w:rPr>
        <w:t>合肥市</w:t>
      </w:r>
      <w:r>
        <w:rPr>
          <w:rFonts w:hint="eastAsia" w:cs="Times New Roman"/>
          <w:color w:val="auto"/>
          <w:sz w:val="24"/>
          <w:szCs w:val="24"/>
          <w:highlight w:val="none"/>
          <w:lang w:val="en-US" w:eastAsia="zh-CN"/>
        </w:rPr>
        <w:t>生态环境局发布的</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《2021年合肥市生态环境状况公报</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合肥市</w:t>
      </w:r>
      <w:r>
        <w:rPr>
          <w:rFonts w:hint="default" w:ascii="Times New Roman" w:hAnsi="Times New Roman" w:eastAsia="宋体" w:cs="Times New Roman"/>
          <w:color w:val="auto"/>
          <w:sz w:val="24"/>
          <w:szCs w:val="24"/>
          <w:highlight w:val="none"/>
        </w:rPr>
        <w:t>环境空气质量现状满足《环境空气质量标准》（GB3095-2012）二级标准要求</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项目所在地为达标区域。</w:t>
      </w:r>
      <w:r>
        <w:rPr>
          <w:rFonts w:hint="eastAsia" w:cs="Times New Roman"/>
          <w:color w:val="auto"/>
          <w:sz w:val="24"/>
          <w:szCs w:val="24"/>
          <w:highlight w:val="none"/>
          <w:lang w:val="en-US" w:eastAsia="zh-CN"/>
        </w:rPr>
        <w:t>根据现状监测结果，其他污染物氨、硫化氢</w:t>
      </w:r>
      <w:r>
        <w:rPr>
          <w:rFonts w:hint="default" w:ascii="Times New Roman" w:hAnsi="Times New Roman" w:cs="Times New Roman"/>
          <w:color w:val="auto"/>
          <w:sz w:val="24"/>
          <w:szCs w:val="24"/>
          <w:highlight w:val="none"/>
        </w:rPr>
        <w:t>小时浓度满足</w:t>
      </w:r>
      <w:r>
        <w:rPr>
          <w:rFonts w:hint="eastAsia" w:ascii="Times New Roman" w:hAnsi="Times New Roman" w:cs="Times New Roman"/>
          <w:color w:val="auto"/>
          <w:sz w:val="24"/>
          <w:szCs w:val="24"/>
          <w:highlight w:val="none"/>
          <w:lang w:val="en-US" w:eastAsia="zh-CN"/>
        </w:rPr>
        <w:t>《环境影响评价技术导则大气环境》（HJ2.2-2018）附录D中</w:t>
      </w:r>
      <w:r>
        <w:rPr>
          <w:rFonts w:hint="eastAsia" w:cs="宋体"/>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其他污染物空气质量浓度参考限值</w:t>
      </w:r>
      <w:r>
        <w:rPr>
          <w:rFonts w:hint="eastAsia" w:cs="宋体"/>
          <w:color w:val="auto"/>
          <w:sz w:val="24"/>
          <w:szCs w:val="24"/>
          <w:highlight w:val="none"/>
          <w:lang w:val="en-US" w:eastAsia="zh-CN"/>
        </w:rPr>
        <w:t>”</w:t>
      </w:r>
      <w:r>
        <w:rPr>
          <w:rFonts w:hint="default" w:ascii="Times New Roman" w:hAnsi="Times New Roman" w:cs="Times New Roman"/>
          <w:color w:val="auto"/>
          <w:sz w:val="24"/>
          <w:szCs w:val="24"/>
          <w:highlight w:val="none"/>
        </w:rPr>
        <w:t>要求。</w:t>
      </w:r>
    </w:p>
    <w:p>
      <w:pPr>
        <w:pBdr>
          <w:top w:val="none" w:color="auto" w:sz="0" w:space="0"/>
          <w:left w:val="none" w:color="auto" w:sz="0" w:space="0"/>
          <w:bottom w:val="none" w:color="auto" w:sz="0" w:space="0"/>
          <w:right w:val="none" w:color="auto" w:sz="0" w:space="0"/>
          <w:between w:val="none" w:color="auto" w:sz="0" w:space="0"/>
        </w:pBdr>
        <w:spacing w:line="360" w:lineRule="auto"/>
        <w:ind w:firstLine="480"/>
        <w:rPr>
          <w:rFonts w:hint="eastAsia"/>
          <w:color w:val="auto"/>
        </w:rPr>
      </w:pPr>
      <w:r>
        <w:rPr>
          <w:color w:val="auto"/>
        </w:rPr>
        <w:t>（2）水环境现状评价</w:t>
      </w:r>
      <w:r>
        <w:rPr>
          <w:rFonts w:hint="eastAsia"/>
          <w:color w:val="auto"/>
          <w:lang w:eastAsia="zh-CN"/>
        </w:rPr>
        <w:t>：</w:t>
      </w:r>
      <w:r>
        <w:rPr>
          <w:rFonts w:hint="eastAsia"/>
          <w:color w:val="auto"/>
          <w:lang w:val="en-US" w:eastAsia="zh-CN"/>
        </w:rPr>
        <w:t>根据</w:t>
      </w:r>
      <w:r>
        <w:rPr>
          <w:rFonts w:hint="eastAsia"/>
          <w:color w:val="auto"/>
          <w:lang w:eastAsia="zh-CN"/>
        </w:rPr>
        <w:t>《202</w:t>
      </w:r>
      <w:r>
        <w:rPr>
          <w:rFonts w:hint="eastAsia"/>
          <w:color w:val="auto"/>
          <w:lang w:val="en-US" w:eastAsia="zh-CN"/>
        </w:rPr>
        <w:t>1</w:t>
      </w:r>
      <w:r>
        <w:rPr>
          <w:rFonts w:hint="eastAsia"/>
          <w:color w:val="auto"/>
          <w:lang w:eastAsia="zh-CN"/>
        </w:rPr>
        <w:t xml:space="preserve"> 年合肥市环境状况公报》</w:t>
      </w:r>
      <w:r>
        <w:rPr>
          <w:rFonts w:hint="eastAsia"/>
          <w:color w:val="auto"/>
          <w:lang w:val="en-US" w:eastAsia="zh-CN"/>
        </w:rPr>
        <w:t>可知，</w:t>
      </w:r>
      <w:r>
        <w:rPr>
          <w:rFonts w:hint="eastAsia"/>
          <w:color w:val="auto"/>
        </w:rPr>
        <w:t>评价区域地表水体表水体</w:t>
      </w:r>
      <w:r>
        <w:rPr>
          <w:rFonts w:hint="eastAsia"/>
          <w:color w:val="auto"/>
          <w:lang w:eastAsia="zh-CN"/>
        </w:rPr>
        <w:t>十五里河</w:t>
      </w:r>
      <w:r>
        <w:rPr>
          <w:rFonts w:hint="eastAsia"/>
          <w:color w:val="auto"/>
          <w:lang w:val="en-US" w:eastAsia="zh-CN"/>
        </w:rPr>
        <w:t>能</w:t>
      </w:r>
      <w:r>
        <w:rPr>
          <w:rFonts w:hint="eastAsia"/>
          <w:color w:val="auto"/>
        </w:rPr>
        <w:t>满足《地表水环境质量标准》（GB3838-2002）IV类标准。</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default" w:ascii="Times New Roman" w:hAnsi="Times New Roman" w:cs="Times New Roman"/>
          <w:color w:val="auto"/>
          <w:szCs w:val="21"/>
        </w:rPr>
      </w:pPr>
      <w:r>
        <w:rPr>
          <w:color w:val="auto"/>
        </w:rPr>
        <w:t>（3</w:t>
      </w:r>
      <w:r>
        <w:rPr>
          <w:rFonts w:hint="eastAsia"/>
          <w:color w:val="auto"/>
        </w:rPr>
        <w:t>）</w:t>
      </w:r>
      <w:r>
        <w:rPr>
          <w:color w:val="auto"/>
        </w:rPr>
        <w:t>声环境现状评价</w:t>
      </w:r>
      <w:r>
        <w:rPr>
          <w:rFonts w:hint="eastAsia"/>
          <w:color w:val="auto"/>
          <w:lang w:eastAsia="zh-CN"/>
        </w:rPr>
        <w:t>：</w:t>
      </w:r>
      <w:r>
        <w:rPr>
          <w:color w:val="auto"/>
        </w:rPr>
        <w:t>由</w:t>
      </w:r>
      <w:r>
        <w:rPr>
          <w:rFonts w:hint="eastAsia"/>
          <w:color w:val="auto"/>
          <w:lang w:val="en-US" w:eastAsia="zh-CN"/>
        </w:rPr>
        <w:t>现状声环境</w:t>
      </w:r>
      <w:r>
        <w:rPr>
          <w:color w:val="auto"/>
        </w:rPr>
        <w:t>监测结果可</w:t>
      </w:r>
      <w:r>
        <w:rPr>
          <w:rFonts w:hint="eastAsia"/>
          <w:color w:val="auto"/>
          <w:lang w:val="en-US" w:eastAsia="zh-CN"/>
        </w:rPr>
        <w:t>知</w:t>
      </w:r>
      <w:r>
        <w:rPr>
          <w:color w:val="auto"/>
        </w:rPr>
        <w:t>，</w:t>
      </w:r>
      <w:r>
        <w:rPr>
          <w:rFonts w:hint="default" w:ascii="Times New Roman" w:hAnsi="Times New Roman" w:cs="Times New Roman"/>
          <w:color w:val="auto"/>
        </w:rPr>
        <w:t>项目</w:t>
      </w:r>
      <w:r>
        <w:rPr>
          <w:rFonts w:hint="eastAsia" w:cs="Times New Roman"/>
          <w:color w:val="auto"/>
          <w:lang w:eastAsia="zh-CN"/>
        </w:rPr>
        <w:t>区及周边</w:t>
      </w:r>
      <w:r>
        <w:rPr>
          <w:rFonts w:hint="eastAsia" w:cs="Times New Roman"/>
          <w:color w:val="auto"/>
          <w:szCs w:val="21"/>
          <w:lang w:val="en-US" w:eastAsia="zh-CN"/>
        </w:rPr>
        <w:t>敏感目标</w:t>
      </w:r>
      <w:r>
        <w:rPr>
          <w:rFonts w:hint="default" w:ascii="Times New Roman" w:hAnsi="Times New Roman" w:cs="Times New Roman"/>
          <w:color w:val="auto"/>
          <w:szCs w:val="21"/>
        </w:rPr>
        <w:t>声环境能满足</w:t>
      </w:r>
      <w:r>
        <w:rPr>
          <w:rFonts w:hint="default" w:ascii="Times New Roman" w:hAnsi="Times New Roman" w:cs="Times New Roman"/>
          <w:color w:val="auto"/>
        </w:rPr>
        <w:t>《声环境质量标准》（GB3096</w:t>
      </w:r>
      <w:r>
        <w:rPr>
          <w:rFonts w:hint="default" w:ascii="Times New Roman" w:hAnsi="Times New Roman" w:cs="Times New Roman"/>
          <w:color w:val="auto"/>
          <w:lang w:val="en-US" w:eastAsia="zh-CN"/>
        </w:rPr>
        <w:t>-</w:t>
      </w:r>
      <w:r>
        <w:rPr>
          <w:rFonts w:hint="default" w:ascii="Times New Roman" w:hAnsi="Times New Roman" w:cs="Times New Roman"/>
          <w:color w:val="auto"/>
        </w:rPr>
        <w:t>2008）2</w:t>
      </w:r>
      <w:r>
        <w:rPr>
          <w:rFonts w:hint="default" w:ascii="Times New Roman" w:hAnsi="Times New Roman" w:cs="Times New Roman"/>
          <w:color w:val="auto"/>
          <w:szCs w:val="21"/>
        </w:rPr>
        <w:t>类区要求，</w:t>
      </w:r>
      <w:r>
        <w:rPr>
          <w:rFonts w:hint="eastAsia" w:cs="Times New Roman"/>
          <w:color w:val="auto"/>
          <w:szCs w:val="21"/>
          <w:lang w:eastAsia="zh-CN"/>
        </w:rPr>
        <w:t>西</w:t>
      </w:r>
      <w:r>
        <w:rPr>
          <w:rFonts w:hint="eastAsia" w:cs="Times New Roman"/>
          <w:color w:val="auto"/>
          <w:lang w:val="en-US" w:eastAsia="zh-CN"/>
        </w:rPr>
        <w:t>场</w:t>
      </w:r>
      <w:r>
        <w:rPr>
          <w:rFonts w:hint="default" w:ascii="Times New Roman" w:hAnsi="Times New Roman" w:cs="Times New Roman"/>
          <w:color w:val="auto"/>
          <w:szCs w:val="21"/>
        </w:rPr>
        <w:t>界</w:t>
      </w:r>
      <w:r>
        <w:rPr>
          <w:rFonts w:hint="eastAsia" w:cs="Times New Roman"/>
          <w:color w:val="auto"/>
          <w:sz w:val="24"/>
          <w:szCs w:val="24"/>
          <w:highlight w:val="none"/>
          <w:lang w:val="en-US" w:eastAsia="zh-CN"/>
        </w:rPr>
        <w:t>临路</w:t>
      </w:r>
      <w:r>
        <w:rPr>
          <w:rFonts w:hint="eastAsia"/>
          <w:color w:val="auto"/>
          <w:sz w:val="24"/>
          <w:szCs w:val="24"/>
          <w:lang w:val="en-US" w:eastAsia="zh-CN"/>
        </w:rPr>
        <w:t xml:space="preserve"> 35m±5m范围</w:t>
      </w:r>
      <w:r>
        <w:rPr>
          <w:rFonts w:hint="default" w:ascii="Times New Roman" w:hAnsi="Times New Roman" w:cs="Times New Roman"/>
          <w:color w:val="auto"/>
          <w:szCs w:val="21"/>
        </w:rPr>
        <w:t>声环境能满足</w:t>
      </w:r>
      <w:r>
        <w:rPr>
          <w:rFonts w:hint="default" w:ascii="Times New Roman" w:hAnsi="Times New Roman" w:cs="Times New Roman"/>
          <w:color w:val="auto"/>
        </w:rPr>
        <w:t>《声环境质量标准》（GB3096</w:t>
      </w:r>
      <w:r>
        <w:rPr>
          <w:rFonts w:hint="default" w:ascii="Times New Roman" w:hAnsi="Times New Roman" w:cs="Times New Roman"/>
          <w:color w:val="auto"/>
          <w:lang w:val="en-US" w:eastAsia="zh-CN"/>
        </w:rPr>
        <w:t>-</w:t>
      </w:r>
      <w:r>
        <w:rPr>
          <w:rFonts w:hint="default" w:ascii="Times New Roman" w:hAnsi="Times New Roman" w:cs="Times New Roman"/>
          <w:color w:val="auto"/>
        </w:rPr>
        <w:t>2008）中的</w:t>
      </w:r>
      <w:r>
        <w:rPr>
          <w:rFonts w:hint="eastAsia" w:ascii="Times New Roman" w:hAnsi="Times New Roman" w:cs="Times New Roman"/>
          <w:color w:val="auto"/>
          <w:lang w:val="en-US" w:eastAsia="zh-CN"/>
        </w:rPr>
        <w:t>4</w:t>
      </w:r>
      <w:r>
        <w:rPr>
          <w:rFonts w:hint="default" w:ascii="Times New Roman" w:hAnsi="Times New Roman" w:cs="Times New Roman"/>
          <w:color w:val="auto"/>
        </w:rPr>
        <w:t>a类</w:t>
      </w:r>
      <w:r>
        <w:rPr>
          <w:rFonts w:hint="default" w:ascii="Times New Roman" w:hAnsi="Times New Roman" w:cs="Times New Roman"/>
          <w:color w:val="auto"/>
          <w:szCs w:val="21"/>
        </w:rPr>
        <w:t>区</w:t>
      </w:r>
      <w:r>
        <w:rPr>
          <w:rFonts w:hint="default" w:ascii="Times New Roman" w:hAnsi="Times New Roman" w:cs="Times New Roman"/>
          <w:color w:val="auto"/>
        </w:rPr>
        <w:t>标准</w:t>
      </w:r>
      <w:r>
        <w:rPr>
          <w:rFonts w:hint="default" w:ascii="Times New Roman" w:hAnsi="Times New Roman" w:cs="Times New Roman"/>
          <w:color w:val="auto"/>
          <w:szCs w:val="21"/>
        </w:rPr>
        <w:t>。</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jc w:val="both"/>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lang w:eastAsia="zh-CN"/>
        </w:rPr>
        <w:t>）地下水</w:t>
      </w:r>
      <w:r>
        <w:rPr>
          <w:rFonts w:hint="default" w:ascii="Times New Roman" w:hAnsi="Times New Roman" w:cs="Times New Roman"/>
          <w:color w:val="auto"/>
        </w:rPr>
        <w:t>环境现状评价：评价区域内地下水水质因子满足均满足《地下水质量标准》（GB/T14848-2017）中Ⅲ类水质标准。</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480" w:lineRule="exact"/>
        <w:ind w:firstLine="480"/>
        <w:textAlignment w:val="auto"/>
        <w:rPr>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5</w:t>
      </w:r>
      <w:r>
        <w:rPr>
          <w:rFonts w:hint="eastAsia" w:ascii="Times New Roman" w:hAnsi="Times New Roman" w:eastAsia="宋体" w:cs="Times New Roman"/>
          <w:color w:val="auto"/>
          <w:lang w:eastAsia="zh-CN"/>
        </w:rPr>
        <w:t>）土壤</w:t>
      </w:r>
      <w:r>
        <w:rPr>
          <w:rFonts w:hint="default" w:ascii="Times New Roman" w:hAnsi="Times New Roman" w:cs="Times New Roman"/>
          <w:color w:val="auto"/>
        </w:rPr>
        <w:t>环境现状评价：评价范围内土壤环境质量满足《土壤环境质量标准—建设用地土壤污染风险管控标准（试行）》（GB36600-2018）表1第</w:t>
      </w:r>
      <w:r>
        <w:rPr>
          <w:rFonts w:hint="eastAsia" w:ascii="Times New Roman" w:hAnsi="Times New Roman" w:cs="Times New Roman"/>
          <w:color w:val="auto"/>
          <w:lang w:eastAsia="zh-CN"/>
        </w:rPr>
        <w:t>一</w:t>
      </w:r>
      <w:r>
        <w:rPr>
          <w:rFonts w:hint="default" w:ascii="Times New Roman" w:hAnsi="Times New Roman" w:cs="Times New Roman"/>
          <w:color w:val="auto"/>
        </w:rPr>
        <w:t>类用地筛选值。</w:t>
      </w:r>
    </w:p>
    <w:p>
      <w:pPr>
        <w:pStyle w:val="5"/>
        <w:numPr>
          <w:ilvl w:val="0"/>
          <w:numId w:val="0"/>
        </w:numPr>
        <w:spacing w:before="120"/>
        <w:ind w:left="0" w:firstLine="0"/>
        <w:rPr>
          <w:rFonts w:hint="eastAsia" w:ascii="Times New Roman" w:hAnsi="Times New Roman" w:eastAsia="宋体" w:cs="Times New Roman"/>
          <w:b/>
          <w:bCs/>
          <w:color w:val="auto"/>
        </w:rPr>
      </w:pPr>
      <w:r>
        <w:rPr>
          <w:rFonts w:hint="eastAsia" w:ascii="Times New Roman" w:hAnsi="Times New Roman" w:eastAsia="宋体" w:cs="Times New Roman"/>
          <w:b/>
          <w:bCs/>
          <w:color w:val="auto"/>
          <w:lang w:val="en-US" w:eastAsia="zh-CN"/>
        </w:rPr>
        <w:t>1</w:t>
      </w:r>
      <w:r>
        <w:rPr>
          <w:rFonts w:hint="eastAsia" w:cs="Times New Roman"/>
          <w:b/>
          <w:bCs/>
          <w:color w:val="auto"/>
          <w:lang w:val="en-US" w:eastAsia="zh-CN"/>
        </w:rPr>
        <w:t>0</w:t>
      </w:r>
      <w:r>
        <w:rPr>
          <w:rFonts w:hint="eastAsia" w:ascii="Times New Roman" w:hAnsi="Times New Roman" w:eastAsia="宋体" w:cs="Times New Roman"/>
          <w:b/>
          <w:bCs/>
          <w:color w:val="auto"/>
          <w:lang w:val="en-US" w:eastAsia="zh-CN"/>
        </w:rPr>
        <w:t>.1.5</w:t>
      </w:r>
      <w:r>
        <w:rPr>
          <w:rFonts w:hint="eastAsia" w:ascii="Times New Roman" w:hAnsi="Times New Roman" w:eastAsia="宋体" w:cs="Times New Roman"/>
          <w:b/>
          <w:bCs/>
          <w:color w:val="auto"/>
        </w:rPr>
        <w:t>污染防治及达标可行性</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（1）废水处理</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建设项目内部实施雨污分流制，雨水经项目雨水管网收集后就近排</w:t>
      </w:r>
      <w:r>
        <w:rPr>
          <w:rFonts w:hint="eastAsia"/>
          <w:color w:val="auto"/>
          <w:lang w:val="en-US" w:eastAsia="zh-CN"/>
        </w:rPr>
        <w:t>入雨水管网，排入十五里河</w:t>
      </w:r>
      <w:r>
        <w:rPr>
          <w:rFonts w:hint="eastAsia"/>
          <w:color w:val="auto"/>
        </w:rPr>
        <w:t>。感染楼废水经预消毒系统处理后与其他废水一同进入</w:t>
      </w:r>
      <w:r>
        <w:rPr>
          <w:rFonts w:hint="eastAsia"/>
          <w:color w:val="auto"/>
          <w:lang w:eastAsia="zh-CN"/>
        </w:rPr>
        <w:t>院区</w:t>
      </w:r>
      <w:r>
        <w:rPr>
          <w:rFonts w:hint="eastAsia"/>
          <w:color w:val="auto"/>
        </w:rPr>
        <w:t>污水处理站</w:t>
      </w:r>
      <w:r>
        <w:rPr>
          <w:rFonts w:hint="eastAsia"/>
          <w:color w:val="auto"/>
          <w:lang w:eastAsia="zh-CN"/>
        </w:rPr>
        <w:t>（</w:t>
      </w:r>
      <w:r>
        <w:rPr>
          <w:rFonts w:hint="eastAsia"/>
          <w:color w:val="auto"/>
        </w:rPr>
        <w:t>工艺</w:t>
      </w:r>
      <w:r>
        <w:rPr>
          <w:rFonts w:hint="eastAsia"/>
          <w:color w:val="auto"/>
          <w:lang w:eastAsia="zh-CN"/>
        </w:rPr>
        <w:t>：</w:t>
      </w:r>
      <w:r>
        <w:rPr>
          <w:rFonts w:hint="eastAsia"/>
          <w:color w:val="auto"/>
        </w:rPr>
        <w:t>格栅+调节池+水解酸化+生物接触氧化+沉淀+消毒</w:t>
      </w:r>
      <w:r>
        <w:rPr>
          <w:rFonts w:hint="eastAsia"/>
          <w:color w:val="auto"/>
          <w:lang w:eastAsia="zh-CN"/>
        </w:rPr>
        <w:t>，规模：</w:t>
      </w:r>
      <w:r>
        <w:rPr>
          <w:rFonts w:hint="eastAsia"/>
          <w:color w:val="auto"/>
          <w:lang w:val="en-US" w:eastAsia="zh-CN"/>
        </w:rPr>
        <w:t>20</w:t>
      </w:r>
      <w:r>
        <w:rPr>
          <w:rFonts w:hint="eastAsia"/>
          <w:color w:val="auto"/>
        </w:rPr>
        <w:t>00t/d</w:t>
      </w:r>
      <w:r>
        <w:rPr>
          <w:rFonts w:hint="eastAsia"/>
          <w:color w:val="auto"/>
          <w:lang w:eastAsia="zh-CN"/>
        </w:rPr>
        <w:t>）</w:t>
      </w:r>
      <w:r>
        <w:rPr>
          <w:rFonts w:hint="eastAsia"/>
          <w:color w:val="auto"/>
        </w:rPr>
        <w:t>处理</w:t>
      </w:r>
      <w:r>
        <w:rPr>
          <w:rFonts w:hint="eastAsia" w:cs="宋体"/>
          <w:color w:val="auto"/>
          <w:lang w:eastAsia="zh-CN"/>
        </w:rPr>
        <w:t>；院区</w:t>
      </w:r>
      <w:r>
        <w:rPr>
          <w:rFonts w:hint="eastAsia"/>
          <w:color w:val="auto"/>
        </w:rPr>
        <w:t>污水处理站</w:t>
      </w:r>
      <w:r>
        <w:rPr>
          <w:rFonts w:hint="eastAsia"/>
          <w:color w:val="auto"/>
          <w:lang w:eastAsia="zh-CN"/>
        </w:rPr>
        <w:t>废水达</w:t>
      </w:r>
      <w:r>
        <w:rPr>
          <w:rFonts w:hint="eastAsia"/>
          <w:color w:val="auto"/>
        </w:rPr>
        <w:t>《医疗机构水污染物排放标准》（GB18466-2005）表</w:t>
      </w:r>
      <w:r>
        <w:rPr>
          <w:rFonts w:hint="eastAsia"/>
          <w:color w:val="auto"/>
          <w:lang w:val="en-US" w:eastAsia="zh-CN"/>
        </w:rPr>
        <w:t>2</w:t>
      </w:r>
      <w:r>
        <w:rPr>
          <w:rFonts w:hint="eastAsia"/>
          <w:color w:val="auto"/>
        </w:rPr>
        <w:t>预处理标准</w:t>
      </w:r>
      <w:r>
        <w:rPr>
          <w:rFonts w:hint="eastAsia"/>
          <w:color w:val="auto"/>
          <w:lang w:eastAsia="zh-CN"/>
        </w:rPr>
        <w:t>后经总排口排入市政污水管网</w:t>
      </w:r>
      <w:r>
        <w:rPr>
          <w:rFonts w:hint="eastAsia"/>
          <w:color w:val="auto"/>
        </w:rPr>
        <w:t>，最终进入</w:t>
      </w:r>
      <w:r>
        <w:rPr>
          <w:rFonts w:hint="eastAsia"/>
          <w:color w:val="auto"/>
          <w:lang w:eastAsia="zh-CN"/>
        </w:rPr>
        <w:t>十五里河污水处理厂</w:t>
      </w:r>
      <w:r>
        <w:rPr>
          <w:rFonts w:hint="eastAsia"/>
          <w:color w:val="auto"/>
        </w:rPr>
        <w:t>处理。经</w:t>
      </w:r>
      <w:r>
        <w:rPr>
          <w:rFonts w:hint="eastAsia"/>
          <w:color w:val="auto"/>
          <w:lang w:eastAsia="zh-CN"/>
        </w:rPr>
        <w:t>十五里河污水处理厂</w:t>
      </w:r>
      <w:r>
        <w:rPr>
          <w:rFonts w:hint="eastAsia"/>
          <w:color w:val="auto"/>
        </w:rPr>
        <w:t>处理达标后外排，对区域地表水影响较小。</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（2）废气处理</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color w:val="auto"/>
        </w:rPr>
        <w:t>建设项目营运期废气主要为汽车尾气</w:t>
      </w:r>
      <w:r>
        <w:rPr>
          <w:rFonts w:hint="eastAsia"/>
          <w:color w:val="auto"/>
        </w:rPr>
        <w:t>、污水处理站恶臭</w:t>
      </w:r>
      <w:r>
        <w:rPr>
          <w:rFonts w:hint="eastAsia"/>
          <w:color w:val="auto"/>
          <w:lang w:eastAsia="zh-CN"/>
        </w:rPr>
        <w:t>、</w:t>
      </w:r>
      <w:r>
        <w:rPr>
          <w:rFonts w:hint="eastAsia"/>
          <w:color w:val="auto"/>
          <w:lang w:val="en-US" w:eastAsia="zh-CN"/>
        </w:rPr>
        <w:t>食堂油烟、天然气燃烧废气</w:t>
      </w:r>
      <w:r>
        <w:rPr>
          <w:rFonts w:hint="eastAsia"/>
          <w:color w:val="auto"/>
        </w:rPr>
        <w:t>以及柴油发电机应急时产生的烟气。</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lang w:eastAsia="zh-CN"/>
        </w:rPr>
        <w:t>①</w:t>
      </w:r>
      <w:r>
        <w:rPr>
          <w:rFonts w:hint="eastAsia"/>
          <w:color w:val="auto"/>
        </w:rPr>
        <w:t>项目污水处理站恶臭通过</w:t>
      </w:r>
      <w:r>
        <w:rPr>
          <w:rFonts w:hint="eastAsia"/>
          <w:color w:val="auto"/>
          <w:lang w:eastAsia="zh-CN"/>
        </w:rPr>
        <w:t>生物滤池</w:t>
      </w:r>
      <w:r>
        <w:rPr>
          <w:rFonts w:hint="eastAsia"/>
          <w:color w:val="auto"/>
        </w:rPr>
        <w:t>处理后，通过</w:t>
      </w:r>
      <w:r>
        <w:rPr>
          <w:rFonts w:hint="eastAsia"/>
          <w:color w:val="auto"/>
          <w:lang w:val="en-US" w:eastAsia="zh-CN"/>
        </w:rPr>
        <w:t>15m高排气筒</w:t>
      </w:r>
      <w:r>
        <w:rPr>
          <w:rFonts w:hint="eastAsia"/>
          <w:color w:val="auto"/>
        </w:rPr>
        <w:t>排放，对区域大气环境影响较小。</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eastAsia="宋体"/>
          <w:color w:val="auto"/>
          <w:lang w:eastAsia="zh-CN"/>
        </w:rPr>
      </w:pPr>
      <w:r>
        <w:rPr>
          <w:rFonts w:hint="eastAsia"/>
          <w:color w:val="auto"/>
          <w:lang w:eastAsia="zh-CN"/>
        </w:rPr>
        <w:t>②</w:t>
      </w:r>
      <w:r>
        <w:rPr>
          <w:rFonts w:hint="eastAsia" w:hAnsi="宋体"/>
          <w:color w:val="auto"/>
        </w:rPr>
        <w:t>本项目地下车库设置了</w:t>
      </w:r>
      <w:r>
        <w:rPr>
          <w:color w:val="auto"/>
        </w:rPr>
        <w:t>机械排风系统</w:t>
      </w:r>
      <w:r>
        <w:rPr>
          <w:rFonts w:hint="eastAsia"/>
          <w:color w:val="auto"/>
        </w:rPr>
        <w:t>，</w:t>
      </w:r>
      <w:r>
        <w:rPr>
          <w:rFonts w:hAnsi="宋体"/>
          <w:color w:val="auto"/>
        </w:rPr>
        <w:t>以每小时</w:t>
      </w:r>
      <w:r>
        <w:rPr>
          <w:color w:val="auto"/>
        </w:rPr>
        <w:t>6</w:t>
      </w:r>
      <w:r>
        <w:rPr>
          <w:rFonts w:hAnsi="宋体"/>
          <w:color w:val="auto"/>
        </w:rPr>
        <w:t>次换气，</w:t>
      </w:r>
      <w:r>
        <w:rPr>
          <w:rFonts w:hint="eastAsia" w:hAnsi="宋体"/>
          <w:color w:val="auto"/>
        </w:rPr>
        <w:t>满足</w:t>
      </w:r>
      <w:r>
        <w:rPr>
          <w:rFonts w:hAnsi="宋体"/>
          <w:color w:val="auto"/>
        </w:rPr>
        <w:t>进风</w:t>
      </w:r>
      <w:r>
        <w:rPr>
          <w:color w:val="auto"/>
        </w:rPr>
        <w:t>≥5</w:t>
      </w:r>
      <w:r>
        <w:rPr>
          <w:rFonts w:hAnsi="宋体"/>
          <w:color w:val="auto"/>
        </w:rPr>
        <w:t>次每小时为要求</w:t>
      </w:r>
      <w:r>
        <w:rPr>
          <w:rFonts w:hint="eastAsia" w:hAnsi="宋体"/>
          <w:color w:val="auto"/>
        </w:rPr>
        <w:t>，排风口均位于绿化带内，远离人员活动区，满足上述要求，项目地下车库汽车尾气对区域居民和区内工作人员的影响较小</w:t>
      </w:r>
      <w:r>
        <w:rPr>
          <w:rFonts w:hint="eastAsia" w:cs="宋体"/>
          <w:color w:val="auto"/>
          <w:lang w:eastAsia="zh-CN"/>
        </w:rPr>
        <w:t>；</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default"/>
          <w:color w:val="auto"/>
          <w:lang w:val="en-US" w:eastAsia="zh-CN"/>
        </w:rPr>
      </w:pPr>
      <w:r>
        <w:rPr>
          <w:rFonts w:hint="eastAsia"/>
          <w:color w:val="auto"/>
          <w:lang w:eastAsia="zh-CN"/>
        </w:rPr>
        <w:t>③</w:t>
      </w:r>
      <w:r>
        <w:rPr>
          <w:rFonts w:hint="eastAsia"/>
          <w:color w:val="auto"/>
          <w:lang w:val="en-US" w:eastAsia="zh-CN"/>
        </w:rPr>
        <w:t>项目食堂油烟由集气罩收集后经风机输送至食堂楼顶经油烟净化器处理后通过楼顶排放，油烟净化器处理效率不低于85%，项目油烟排放对外环境影响较小。</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default"/>
          <w:color w:val="auto"/>
          <w:lang w:val="en-US" w:eastAsia="zh-CN"/>
        </w:rPr>
      </w:pPr>
      <w:r>
        <w:rPr>
          <w:rFonts w:hint="eastAsia"/>
          <w:color w:val="auto"/>
          <w:lang w:val="en-US" w:eastAsia="zh-CN"/>
        </w:rPr>
        <w:t>④项目燃气锅炉采用低氮燃烧器，燃烧产生的</w:t>
      </w:r>
      <w:r>
        <w:rPr>
          <w:rFonts w:hint="eastAsia"/>
          <w:color w:val="auto"/>
          <w:sz w:val="24"/>
          <w:szCs w:val="24"/>
        </w:rPr>
        <w:t>颗粒物、SO</w:t>
      </w:r>
      <w:r>
        <w:rPr>
          <w:rFonts w:hint="eastAsia"/>
          <w:color w:val="auto"/>
          <w:sz w:val="24"/>
          <w:szCs w:val="24"/>
          <w:vertAlign w:val="subscript"/>
        </w:rPr>
        <w:t>2</w:t>
      </w:r>
      <w:r>
        <w:rPr>
          <w:rFonts w:hint="eastAsia"/>
          <w:color w:val="auto"/>
          <w:sz w:val="24"/>
          <w:szCs w:val="24"/>
        </w:rPr>
        <w:t>、NO</w:t>
      </w:r>
      <w:r>
        <w:rPr>
          <w:rFonts w:hint="eastAsia"/>
          <w:color w:val="auto"/>
          <w:sz w:val="24"/>
          <w:szCs w:val="24"/>
          <w:vertAlign w:val="subscript"/>
        </w:rPr>
        <w:t>X</w:t>
      </w:r>
      <w:r>
        <w:rPr>
          <w:rFonts w:hint="eastAsia"/>
          <w:color w:val="auto"/>
          <w:sz w:val="24"/>
          <w:szCs w:val="24"/>
          <w:vertAlign w:val="baseline"/>
          <w:lang w:eastAsia="zh-CN"/>
        </w:rPr>
        <w:t>经排气筒</w:t>
      </w:r>
      <w:r>
        <w:rPr>
          <w:rFonts w:hint="eastAsia"/>
          <w:color w:val="auto"/>
          <w:lang w:val="en-US" w:eastAsia="zh-CN"/>
        </w:rPr>
        <w:t>引至综合住院部大楼楼顶排放，对区域大气环境影响较小。</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ascii="宋体" w:hAnsi="宋体" w:eastAsia="宋体" w:cs="宋体"/>
          <w:color w:val="auto"/>
          <w:szCs w:val="21"/>
        </w:rPr>
        <w:t>⑤</w:t>
      </w:r>
      <w:r>
        <w:rPr>
          <w:color w:val="auto"/>
          <w:szCs w:val="21"/>
        </w:rPr>
        <w:t>项目应急柴油发电机应急及试机过程中</w:t>
      </w:r>
      <w:r>
        <w:rPr>
          <w:rFonts w:hint="eastAsia"/>
          <w:color w:val="auto"/>
          <w:szCs w:val="21"/>
        </w:rPr>
        <w:t>会有烟气产生，烟气中主要污染物为</w:t>
      </w:r>
      <w:r>
        <w:rPr>
          <w:color w:val="auto"/>
          <w:szCs w:val="21"/>
        </w:rPr>
        <w:t>SO</w:t>
      </w:r>
      <w:r>
        <w:rPr>
          <w:color w:val="auto"/>
          <w:szCs w:val="21"/>
          <w:vertAlign w:val="subscript"/>
        </w:rPr>
        <w:t>2</w:t>
      </w:r>
      <w:r>
        <w:rPr>
          <w:color w:val="auto"/>
          <w:szCs w:val="21"/>
        </w:rPr>
        <w:t>、NOx</w:t>
      </w:r>
      <w:r>
        <w:rPr>
          <w:rFonts w:hint="eastAsia"/>
          <w:color w:val="auto"/>
          <w:szCs w:val="21"/>
        </w:rPr>
        <w:t>和</w:t>
      </w:r>
      <w:r>
        <w:rPr>
          <w:color w:val="auto"/>
          <w:szCs w:val="21"/>
        </w:rPr>
        <w:t>烟尘</w:t>
      </w:r>
      <w:r>
        <w:rPr>
          <w:rFonts w:hint="eastAsia"/>
          <w:color w:val="auto"/>
          <w:szCs w:val="21"/>
        </w:rPr>
        <w:t>，产生量较小</w:t>
      </w:r>
      <w:r>
        <w:rPr>
          <w:color w:val="auto"/>
          <w:szCs w:val="21"/>
        </w:rPr>
        <w:t>，</w:t>
      </w:r>
      <w:r>
        <w:rPr>
          <w:rFonts w:hint="eastAsia"/>
          <w:color w:val="auto"/>
          <w:szCs w:val="21"/>
        </w:rPr>
        <w:t>为了减少柴油燃烧烟气中黑烟颗粒物对大气环境的影响，应急柴油发电机</w:t>
      </w:r>
      <w:r>
        <w:rPr>
          <w:rFonts w:hint="eastAsia"/>
          <w:color w:val="auto"/>
          <w:szCs w:val="21"/>
          <w:lang w:eastAsia="zh-CN"/>
        </w:rPr>
        <w:t>废气经其</w:t>
      </w:r>
      <w:r>
        <w:rPr>
          <w:rFonts w:hint="eastAsia"/>
          <w:color w:val="auto"/>
          <w:szCs w:val="21"/>
        </w:rPr>
        <w:t>配套</w:t>
      </w:r>
      <w:r>
        <w:rPr>
          <w:rFonts w:hint="eastAsia"/>
          <w:color w:val="auto"/>
          <w:szCs w:val="21"/>
          <w:lang w:eastAsia="zh-CN"/>
        </w:rPr>
        <w:t>的</w:t>
      </w:r>
      <w:r>
        <w:rPr>
          <w:rFonts w:hint="eastAsia"/>
          <w:color w:val="auto"/>
          <w:szCs w:val="21"/>
        </w:rPr>
        <w:t>尾气净化系统（DPF黑烟颗粒捕捉器）处理后，尾气引</w:t>
      </w:r>
      <w:r>
        <w:rPr>
          <w:rFonts w:hint="eastAsia"/>
          <w:color w:val="auto"/>
          <w:szCs w:val="21"/>
          <w:lang w:val="en-US" w:eastAsia="zh-CN"/>
        </w:rPr>
        <w:t>至综合住院部大楼楼顶</w:t>
      </w:r>
      <w:r>
        <w:rPr>
          <w:rFonts w:hint="eastAsia"/>
          <w:color w:val="auto"/>
        </w:rPr>
        <w:t>排放，</w:t>
      </w:r>
      <w:r>
        <w:rPr>
          <w:rFonts w:hint="eastAsia"/>
          <w:color w:val="auto"/>
          <w:szCs w:val="21"/>
        </w:rPr>
        <w:t>颗粒物去除效率达90%以上</w:t>
      </w:r>
      <w:r>
        <w:rPr>
          <w:rFonts w:hint="eastAsia"/>
          <w:color w:val="auto"/>
        </w:rPr>
        <w:t>，对区域大气环境的影响</w:t>
      </w:r>
      <w:r>
        <w:rPr>
          <w:rFonts w:hint="eastAsia"/>
          <w:color w:val="auto"/>
          <w:lang w:eastAsia="zh-CN"/>
        </w:rPr>
        <w:t>较小</w:t>
      </w:r>
      <w:r>
        <w:rPr>
          <w:rFonts w:hint="eastAsia"/>
          <w:color w:val="auto"/>
        </w:rPr>
        <w:t>。</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color w:val="auto"/>
        </w:rPr>
      </w:pPr>
      <w:r>
        <w:rPr>
          <w:rFonts w:hint="eastAsia"/>
          <w:color w:val="auto"/>
        </w:rPr>
        <w:t>（3）噪声治理</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default" w:eastAsia="宋体"/>
          <w:color w:val="auto"/>
          <w:lang w:val="en-US" w:eastAsia="zh-CN"/>
        </w:rPr>
      </w:pPr>
      <w:r>
        <w:rPr>
          <w:rFonts w:hint="eastAsia"/>
          <w:color w:val="auto"/>
        </w:rPr>
        <w:t>建设项目噪声主要来自</w:t>
      </w:r>
      <w:r>
        <w:rPr>
          <w:color w:val="auto"/>
        </w:rPr>
        <w:t>设备噪声、交通噪声和社会活动噪声</w:t>
      </w:r>
      <w:r>
        <w:rPr>
          <w:rFonts w:hint="eastAsia"/>
          <w:color w:val="auto"/>
        </w:rPr>
        <w:t>等。针对不同的噪声源性质、振动方式，建设单位分别采取了合理有效的治理措施，削减了其对周边环境的影响</w:t>
      </w:r>
      <w:r>
        <w:rPr>
          <w:rFonts w:hint="eastAsia"/>
          <w:color w:val="auto"/>
          <w:lang w:eastAsia="zh-CN"/>
        </w:rPr>
        <w:t>，</w:t>
      </w:r>
      <w:r>
        <w:rPr>
          <w:rFonts w:hint="eastAsia"/>
          <w:color w:val="auto"/>
          <w:lang w:val="en-US" w:eastAsia="zh-CN"/>
        </w:rPr>
        <w:t>本项目排放的噪声对项目住院楼以及外环境影响均较小。</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（4）固废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color w:val="auto"/>
          <w:szCs w:val="21"/>
        </w:rPr>
      </w:pPr>
      <w:r>
        <w:rPr>
          <w:rFonts w:hint="eastAsia"/>
          <w:bCs/>
          <w:color w:val="auto"/>
        </w:rPr>
        <w:t>项目</w:t>
      </w:r>
      <w:r>
        <w:rPr>
          <w:rFonts w:hint="eastAsia"/>
          <w:color w:val="auto"/>
          <w:lang w:val="en-US" w:eastAsia="zh-CN"/>
        </w:rPr>
        <w:t>未被污染的输液瓶（袋）经统一收集后委托其他单位</w:t>
      </w:r>
      <w:r>
        <w:rPr>
          <w:rFonts w:hint="eastAsia"/>
          <w:color w:val="auto"/>
          <w:sz w:val="24"/>
          <w:lang w:val="en-US" w:eastAsia="zh-CN"/>
        </w:rPr>
        <w:t>回收处理，废离子交换树脂、废空气过滤器每次更换后由设备厂商带走；</w:t>
      </w:r>
      <w:r>
        <w:rPr>
          <w:rFonts w:hint="eastAsia"/>
          <w:bCs/>
          <w:color w:val="auto"/>
        </w:rPr>
        <w:t>医疗废物经消毒处理后</w:t>
      </w:r>
      <w:r>
        <w:rPr>
          <w:rFonts w:hint="eastAsia"/>
          <w:bCs/>
          <w:color w:val="auto"/>
          <w:lang w:eastAsia="zh-CN"/>
        </w:rPr>
        <w:t>暂存各层的医疗废物暂存间及地下二层的危废暂存间内，污水站</w:t>
      </w:r>
      <w:r>
        <w:rPr>
          <w:rFonts w:hint="eastAsia"/>
          <w:bCs/>
          <w:color w:val="auto"/>
        </w:rPr>
        <w:t>污泥经消毒处理后集中暂存在危险废物暂存场所</w:t>
      </w:r>
      <w:r>
        <w:rPr>
          <w:rFonts w:hint="eastAsia"/>
          <w:bCs/>
          <w:color w:val="auto"/>
          <w:lang w:eastAsia="zh-CN"/>
        </w:rPr>
        <w:t>，院区危废分类安全收集并</w:t>
      </w:r>
      <w:r>
        <w:rPr>
          <w:rFonts w:hint="eastAsia"/>
          <w:bCs/>
          <w:color w:val="auto"/>
        </w:rPr>
        <w:t>委托有处理资质的单位进行处理</w:t>
      </w:r>
      <w:r>
        <w:rPr>
          <w:rFonts w:hint="eastAsia" w:cs="宋体"/>
          <w:bCs/>
          <w:color w:val="auto"/>
          <w:lang w:eastAsia="zh-CN"/>
        </w:rPr>
        <w:t>；</w:t>
      </w:r>
      <w:r>
        <w:rPr>
          <w:rFonts w:hint="eastAsia"/>
          <w:bCs/>
          <w:color w:val="auto"/>
        </w:rPr>
        <w:t>生活垃圾收集后委托环卫部门及时清运处理</w:t>
      </w:r>
      <w:r>
        <w:rPr>
          <w:rFonts w:hint="eastAsia"/>
          <w:bCs/>
          <w:color w:val="auto"/>
          <w:lang w:eastAsia="zh-CN"/>
        </w:rPr>
        <w:t>。</w:t>
      </w:r>
      <w:r>
        <w:rPr>
          <w:color w:val="auto"/>
        </w:rPr>
        <w:t>项目产生的固体废弃物均能得到妥善的处置，可以做到综合利用。因此，项目产生的固体不会对周围环境产生明显的不利影响</w:t>
      </w:r>
      <w:r>
        <w:rPr>
          <w:rFonts w:hint="eastAsia"/>
          <w:color w:val="auto"/>
        </w:rPr>
        <w:t>。</w:t>
      </w:r>
    </w:p>
    <w:p>
      <w:pPr>
        <w:pStyle w:val="5"/>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Lines="0" w:line="360" w:lineRule="auto"/>
        <w:ind w:leftChars="0"/>
        <w:textAlignment w:val="auto"/>
        <w:rPr>
          <w:rFonts w:hint="eastAsia"/>
          <w:color w:val="auto"/>
        </w:rPr>
      </w:pPr>
      <w:r>
        <w:rPr>
          <w:rFonts w:hint="eastAsia"/>
          <w:color w:val="auto"/>
          <w:lang w:val="en-US" w:eastAsia="zh-CN"/>
        </w:rPr>
        <w:t>10.1.5</w:t>
      </w:r>
      <w:r>
        <w:rPr>
          <w:rFonts w:hint="eastAsia"/>
          <w:color w:val="auto"/>
        </w:rPr>
        <w:t>环境风险</w:t>
      </w:r>
    </w:p>
    <w:p>
      <w:pPr>
        <w:pageBreakBefore w:val="0"/>
        <w:widowControl w:val="0"/>
        <w:tabs>
          <w:tab w:val="left" w:pos="20520"/>
        </w:tabs>
        <w:kinsoku/>
        <w:wordWrap/>
        <w:overflowPunct/>
        <w:topLinePunct w:val="0"/>
        <w:autoSpaceDE/>
        <w:autoSpaceDN/>
        <w:bidi w:val="0"/>
        <w:adjustRightInd/>
        <w:snapToGrid/>
        <w:spacing w:line="360" w:lineRule="auto"/>
        <w:ind w:firstLine="480" w:firstLineChars="200"/>
        <w:textAlignment w:val="auto"/>
        <w:rPr>
          <w:rFonts w:hint="eastAsia"/>
          <w:bCs/>
          <w:color w:val="auto"/>
        </w:rPr>
      </w:pPr>
      <w:r>
        <w:rPr>
          <w:rFonts w:hint="eastAsia"/>
          <w:bCs/>
          <w:color w:val="auto"/>
        </w:rPr>
        <w:t>项目</w:t>
      </w:r>
      <w:r>
        <w:rPr>
          <w:rFonts w:hint="eastAsia"/>
          <w:bCs/>
          <w:color w:val="auto"/>
          <w:lang w:val="en-US" w:eastAsia="zh-CN"/>
        </w:rPr>
        <w:t>环境风险评价等级为简单分析。本次工程配套建设了一座</w:t>
      </w:r>
      <w:r>
        <w:rPr>
          <w:rFonts w:hint="eastAsia"/>
          <w:color w:val="auto"/>
          <w:spacing w:val="-5"/>
          <w:w w:val="100"/>
          <w:highlight w:val="none"/>
          <w:lang w:val="en-US" w:eastAsia="zh-CN"/>
        </w:rPr>
        <w:t>容积为600m</w:t>
      </w:r>
      <w:r>
        <w:rPr>
          <w:rFonts w:hint="eastAsia"/>
          <w:color w:val="auto"/>
          <w:spacing w:val="-5"/>
          <w:w w:val="100"/>
          <w:highlight w:val="none"/>
          <w:vertAlign w:val="superscript"/>
          <w:lang w:val="en-US" w:eastAsia="zh-CN"/>
        </w:rPr>
        <w:t>3</w:t>
      </w:r>
      <w:r>
        <w:rPr>
          <w:rFonts w:hint="eastAsia"/>
          <w:color w:val="auto"/>
          <w:spacing w:val="-5"/>
          <w:w w:val="100"/>
          <w:highlight w:val="none"/>
          <w:lang w:val="en-US" w:eastAsia="zh-CN"/>
        </w:rPr>
        <w:t>的应急事故池。</w:t>
      </w:r>
      <w:r>
        <w:rPr>
          <w:rFonts w:hint="eastAsia"/>
          <w:bCs/>
          <w:color w:val="auto"/>
          <w:lang w:val="en-US" w:eastAsia="zh-CN"/>
        </w:rPr>
        <w:t>通过</w:t>
      </w:r>
      <w:r>
        <w:rPr>
          <w:rFonts w:hint="eastAsia" w:ascii="宋体" w:hAnsi="宋体" w:cs="宋体"/>
          <w:bCs/>
          <w:color w:val="auto"/>
        </w:rPr>
        <w:t>采取一系列技术和管理措施，控制其使用风</w:t>
      </w:r>
      <w:r>
        <w:rPr>
          <w:rFonts w:hint="eastAsia"/>
          <w:bCs/>
          <w:color w:val="auto"/>
        </w:rPr>
        <w:t>险</w:t>
      </w:r>
      <w:r>
        <w:rPr>
          <w:rFonts w:hint="eastAsia" w:ascii="宋体" w:hAnsi="宋体" w:cs="宋体"/>
          <w:bCs/>
          <w:color w:val="auto"/>
        </w:rPr>
        <w:t>，项目发生风险的类型和</w:t>
      </w:r>
      <w:r>
        <w:rPr>
          <w:rFonts w:hint="eastAsia" w:ascii="宋体" w:hAnsi="宋体" w:cs="宋体"/>
          <w:bCs/>
          <w:color w:val="auto"/>
          <w:lang w:val="en-US" w:eastAsia="zh-CN"/>
        </w:rPr>
        <w:t>几率</w:t>
      </w:r>
      <w:r>
        <w:rPr>
          <w:rFonts w:hint="eastAsia" w:ascii="宋体" w:hAnsi="宋体" w:cs="宋体"/>
          <w:bCs/>
          <w:color w:val="auto"/>
        </w:rPr>
        <w:t>都很</w:t>
      </w:r>
      <w:r>
        <w:rPr>
          <w:rFonts w:hint="eastAsia"/>
          <w:bCs/>
          <w:color w:val="auto"/>
        </w:rPr>
        <w:t>小</w:t>
      </w:r>
      <w:r>
        <w:rPr>
          <w:rFonts w:hint="eastAsia" w:ascii="宋体" w:hAnsi="宋体" w:cs="宋体"/>
          <w:bCs/>
          <w:color w:val="auto"/>
        </w:rPr>
        <w:t>，通过加强管理、严格遵守各项安全操作规程、制度和落实风险评价要求的防</w:t>
      </w:r>
      <w:r>
        <w:rPr>
          <w:rFonts w:hint="eastAsia"/>
          <w:bCs/>
          <w:color w:val="auto"/>
        </w:rPr>
        <w:t>范措施</w:t>
      </w:r>
      <w:r>
        <w:rPr>
          <w:rFonts w:hint="eastAsia" w:ascii="宋体" w:hAnsi="宋体" w:cs="宋体"/>
          <w:bCs/>
          <w:color w:val="auto"/>
        </w:rPr>
        <w:t>，加强对全体员工防范事故风险能力的培训，健全环保规章制度</w:t>
      </w:r>
      <w:r>
        <w:rPr>
          <w:rFonts w:hint="eastAsia"/>
          <w:bCs/>
          <w:color w:val="auto"/>
        </w:rPr>
        <w:t>制定事故应急预案等，</w:t>
      </w:r>
      <w:r>
        <w:rPr>
          <w:rFonts w:hint="eastAsia" w:ascii="宋体" w:hAnsi="宋体" w:cs="宋体"/>
          <w:bCs/>
          <w:color w:val="auto"/>
        </w:rPr>
        <w:t>本项目发生的潜在风险事故可以避免和控制，环境风险可</w:t>
      </w:r>
      <w:r>
        <w:rPr>
          <w:rFonts w:hint="eastAsia"/>
          <w:bCs/>
          <w:color w:val="auto"/>
        </w:rPr>
        <w:t>以</w:t>
      </w:r>
      <w:r>
        <w:rPr>
          <w:rFonts w:hint="eastAsia"/>
          <w:bCs/>
          <w:color w:val="auto"/>
          <w:lang w:val="en-US" w:eastAsia="zh-CN"/>
        </w:rPr>
        <w:t>接</w:t>
      </w:r>
      <w:r>
        <w:rPr>
          <w:rFonts w:hint="eastAsia"/>
          <w:bCs/>
          <w:color w:val="auto"/>
        </w:rPr>
        <w:t>受。</w:t>
      </w:r>
    </w:p>
    <w:p>
      <w:pPr>
        <w:pStyle w:val="5"/>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Lines="0" w:line="360" w:lineRule="auto"/>
        <w:ind w:leftChars="0"/>
        <w:textAlignment w:val="auto"/>
        <w:rPr>
          <w:color w:val="auto"/>
        </w:rPr>
      </w:pPr>
      <w:r>
        <w:rPr>
          <w:rFonts w:hint="eastAsia"/>
          <w:color w:val="auto"/>
          <w:lang w:val="en-US" w:eastAsia="zh-CN"/>
        </w:rPr>
        <w:t>10.1.6</w:t>
      </w:r>
      <w:r>
        <w:rPr>
          <w:rFonts w:hint="eastAsia"/>
          <w:color w:val="auto"/>
        </w:rPr>
        <w:t>总结论</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color w:val="auto"/>
        </w:rPr>
      </w:pPr>
      <w:r>
        <w:rPr>
          <w:rFonts w:hint="eastAsia"/>
          <w:color w:val="auto"/>
        </w:rPr>
        <w:t>综上所述，</w:t>
      </w:r>
      <w:r>
        <w:rPr>
          <w:rFonts w:hint="eastAsia"/>
          <w:color w:val="auto"/>
          <w:lang w:eastAsia="zh-CN"/>
        </w:rPr>
        <w:t>安徽省立医院（中国科大附一院）滨湖院区项目</w:t>
      </w:r>
      <w:r>
        <w:rPr>
          <w:color w:val="auto"/>
        </w:rPr>
        <w:t>符合</w:t>
      </w:r>
      <w:r>
        <w:rPr>
          <w:rFonts w:hint="eastAsia"/>
          <w:color w:val="auto"/>
        </w:rPr>
        <w:t>国家</w:t>
      </w:r>
      <w:r>
        <w:rPr>
          <w:color w:val="auto"/>
        </w:rPr>
        <w:t>产业政策的要求，选址符合相关规划要求</w:t>
      </w:r>
      <w:r>
        <w:rPr>
          <w:rFonts w:hint="eastAsia"/>
          <w:color w:val="auto"/>
        </w:rPr>
        <w:t>，</w:t>
      </w:r>
      <w:r>
        <w:rPr>
          <w:color w:val="auto"/>
        </w:rPr>
        <w:t>选址合理</w:t>
      </w:r>
      <w:r>
        <w:rPr>
          <w:rFonts w:hint="eastAsia"/>
          <w:color w:val="auto"/>
        </w:rPr>
        <w:t>。</w:t>
      </w:r>
      <w:r>
        <w:rPr>
          <w:color w:val="auto"/>
        </w:rPr>
        <w:t>项目实施后在采用</w:t>
      </w:r>
      <w:r>
        <w:rPr>
          <w:rFonts w:hint="eastAsia"/>
          <w:color w:val="auto"/>
        </w:rPr>
        <w:t>报告书中提出的</w:t>
      </w:r>
      <w:r>
        <w:rPr>
          <w:color w:val="auto"/>
        </w:rPr>
        <w:t>各项污染防治措施前提条件下，各项污染物可以做到达标排放</w:t>
      </w:r>
      <w:r>
        <w:rPr>
          <w:rFonts w:hint="eastAsia"/>
          <w:color w:val="auto"/>
        </w:rPr>
        <w:t>，</w:t>
      </w:r>
      <w:r>
        <w:rPr>
          <w:color w:val="auto"/>
        </w:rPr>
        <w:t>排放的各种污染物对周围空气环境、地表水环境及</w:t>
      </w:r>
      <w:r>
        <w:rPr>
          <w:rFonts w:hint="eastAsia"/>
          <w:color w:val="auto"/>
        </w:rPr>
        <w:t>声</w:t>
      </w:r>
      <w:r>
        <w:rPr>
          <w:color w:val="auto"/>
        </w:rPr>
        <w:t>环境影响能控制在国家相关的标准要求范围内</w:t>
      </w:r>
      <w:r>
        <w:rPr>
          <w:rFonts w:hint="eastAsia"/>
          <w:color w:val="auto"/>
        </w:rPr>
        <w:t>。</w:t>
      </w:r>
      <w:r>
        <w:rPr>
          <w:color w:val="auto"/>
        </w:rPr>
        <w:t>该建设项目在建设过程中，应严格执行环保设施与主体工程同时设计、同时施工、同时投产的</w:t>
      </w:r>
      <w:r>
        <w:rPr>
          <w:rFonts w:hint="eastAsia" w:cs="宋体"/>
          <w:color w:val="auto"/>
          <w:lang w:eastAsia="zh-CN"/>
        </w:rPr>
        <w:t>“</w:t>
      </w:r>
      <w:r>
        <w:rPr>
          <w:color w:val="auto"/>
        </w:rPr>
        <w:t>三同时</w:t>
      </w:r>
      <w:r>
        <w:rPr>
          <w:rFonts w:hint="eastAsia" w:cs="宋体"/>
          <w:color w:val="auto"/>
          <w:lang w:eastAsia="zh-CN"/>
        </w:rPr>
        <w:t>”</w:t>
      </w:r>
      <w:r>
        <w:rPr>
          <w:color w:val="auto"/>
        </w:rPr>
        <w:t>制度。</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360" w:lineRule="auto"/>
        <w:ind w:firstLine="480"/>
        <w:textAlignment w:val="auto"/>
        <w:rPr>
          <w:rFonts w:hint="eastAsia" w:ascii="宋体" w:hAnsi="宋体"/>
          <w:b/>
          <w:color w:val="auto"/>
        </w:rPr>
      </w:pPr>
      <w:r>
        <w:rPr>
          <w:rFonts w:hint="eastAsia"/>
          <w:color w:val="auto"/>
        </w:rPr>
        <w:t>在此基础上，</w:t>
      </w:r>
      <w:r>
        <w:rPr>
          <w:color w:val="auto"/>
        </w:rPr>
        <w:t>从环境影响的角度出发</w:t>
      </w:r>
      <w:r>
        <w:rPr>
          <w:b w:val="0"/>
          <w:bCs w:val="0"/>
          <w:color w:val="auto"/>
        </w:rPr>
        <w:t>，该项目的建设是可行的</w:t>
      </w:r>
      <w:r>
        <w:rPr>
          <w:rFonts w:hint="eastAsia" w:ascii="宋体" w:hAnsi="宋体"/>
          <w:b w:val="0"/>
          <w:bCs w:val="0"/>
          <w:color w:val="auto"/>
        </w:rPr>
        <w:t>。</w:t>
      </w:r>
      <w:bookmarkStart w:id="124" w:name="_Toc4562466"/>
    </w:p>
    <w:p>
      <w:pPr>
        <w:pStyle w:val="4"/>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440" w:lineRule="exact"/>
        <w:ind w:leftChars="0"/>
        <w:textAlignment w:val="auto"/>
        <w:rPr>
          <w:rFonts w:hint="eastAsia"/>
          <w:color w:val="auto"/>
        </w:rPr>
      </w:pPr>
      <w:bookmarkStart w:id="125" w:name="_Toc349380742"/>
      <w:bookmarkStart w:id="126" w:name="_Toc179685027"/>
      <w:bookmarkStart w:id="127" w:name="_Toc52334948"/>
      <w:bookmarkStart w:id="128" w:name="_Toc13244"/>
      <w:r>
        <w:rPr>
          <w:rFonts w:hint="eastAsia"/>
          <w:color w:val="auto"/>
          <w:lang w:val="en-US" w:eastAsia="zh-CN"/>
        </w:rPr>
        <w:t>10.2</w:t>
      </w:r>
      <w:r>
        <w:rPr>
          <w:rFonts w:hint="eastAsia"/>
          <w:color w:val="auto"/>
        </w:rPr>
        <w:t>建议</w:t>
      </w:r>
      <w:bookmarkEnd w:id="124"/>
      <w:bookmarkEnd w:id="125"/>
      <w:bookmarkEnd w:id="126"/>
      <w:bookmarkEnd w:id="127"/>
      <w:bookmarkEnd w:id="128"/>
      <w:bookmarkStart w:id="129" w:name="_Toc494700501"/>
      <w:bookmarkStart w:id="130" w:name="_Toc494705808"/>
      <w:bookmarkStart w:id="131" w:name="_Toc494532739"/>
      <w:bookmarkStart w:id="132" w:name="_Toc494526974"/>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440" w:lineRule="exact"/>
        <w:ind w:firstLine="480"/>
        <w:textAlignment w:val="auto"/>
        <w:rPr>
          <w:color w:val="auto"/>
        </w:rPr>
      </w:pPr>
      <w:r>
        <w:rPr>
          <w:color w:val="auto"/>
        </w:rPr>
        <w:t>（1）建设项目施工期产生的噪声和扬尘应严格控制，夜间施工应办理许可证，到当地环保部门登记。施工期噪声应采取有效措施加以控制。</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440" w:lineRule="exact"/>
        <w:ind w:firstLine="480"/>
        <w:textAlignment w:val="auto"/>
        <w:rPr>
          <w:color w:val="auto"/>
        </w:rPr>
      </w:pPr>
      <w:r>
        <w:rPr>
          <w:color w:val="auto"/>
        </w:rPr>
        <w:t>（2）完善环境监测制度，加强监测人员技术培训。</w:t>
      </w:r>
    </w:p>
    <w:p>
      <w:pPr>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440" w:lineRule="exact"/>
        <w:ind w:firstLine="480"/>
        <w:textAlignment w:val="auto"/>
        <w:rPr>
          <w:rFonts w:hint="eastAsia"/>
          <w:color w:val="auto"/>
        </w:rPr>
      </w:pPr>
      <w:r>
        <w:rPr>
          <w:color w:val="auto"/>
        </w:rPr>
        <w:t>（3）强</w:t>
      </w:r>
      <w:r>
        <w:rPr>
          <w:rFonts w:hint="eastAsia"/>
          <w:color w:val="auto"/>
          <w:lang w:eastAsia="zh-CN"/>
        </w:rPr>
        <w:t>化</w:t>
      </w:r>
      <w:r>
        <w:rPr>
          <w:color w:val="auto"/>
        </w:rPr>
        <w:t>环境管理，对环境监测计划要认真组织实施，保证各项环保投资和措施落实。</w:t>
      </w:r>
      <w:bookmarkEnd w:id="129"/>
      <w:bookmarkEnd w:id="130"/>
      <w:bookmarkEnd w:id="131"/>
      <w:bookmarkEnd w:id="132"/>
      <w:bookmarkStart w:id="133" w:name="_GoBack"/>
      <w:bookmarkEnd w:id="133"/>
    </w:p>
    <w:sectPr>
      <w:pgSz w:w="11906" w:h="16838"/>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长城黑体">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_x000B__x000C_">
    <w:altName w:val="Times New Roman"/>
    <w:panose1 w:val="00000000000000000000"/>
    <w:charset w:val="00"/>
    <w:family w:val="roman"/>
    <w:pitch w:val="default"/>
    <w:sig w:usb0="00000000" w:usb1="00000000" w:usb2="00000000" w:usb3="00000000" w:csb0="00040001" w:csb1="00000000"/>
  </w:font>
  <w:font w:name="_x001A_">
    <w:altName w:val="Times New Roman"/>
    <w:panose1 w:val="00000000000000000000"/>
    <w:charset w:val="00"/>
    <w:family w:val="roman"/>
    <w:pitch w:val="default"/>
    <w:sig w:usb0="00000000" w:usb1="00000000" w:usb2="00000000" w:usb3="00000000" w:csb0="00040001" w:csb1="00000000"/>
  </w:font>
  <w:font w:name="TimesNewRoman">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603F01FF" w:csb1="FFFF0000"/>
  </w:font>
  <w:font w:name="华文仿宋">
    <w:panose1 w:val="02010600040101010101"/>
    <w:charset w:val="86"/>
    <w:family w:val="auto"/>
    <w:pitch w:val="default"/>
    <w:sig w:usb0="00000287" w:usb1="080F0000" w:usb2="00000000" w:usb3="00000000" w:csb0="0004009F" w:csb1="DFD70000"/>
  </w:font>
  <w:font w:name="楷体_GB2312">
    <w:altName w:val="楷体"/>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Verdana">
    <w:panose1 w:val="020B0604030504040204"/>
    <w:charset w:val="00"/>
    <w:family w:val="swiss"/>
    <w:pitch w:val="default"/>
    <w:sig w:usb0="A10006FF" w:usb1="4000205B" w:usb2="00000010" w:usb3="00000000" w:csb0="2000019F" w:csb1="00000000"/>
  </w:font>
  <w:font w:name="PMingLiU">
    <w:panose1 w:val="02020500000000000000"/>
    <w:charset w:val="88"/>
    <w:family w:val="auto"/>
    <w:pitch w:val="default"/>
    <w:sig w:usb0="A00002FF" w:usb1="28CFFCFA" w:usb2="00000016" w:usb3="00000000" w:csb0="001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宋?">
    <w:altName w:val="宋体"/>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auto"/>
    <w:pitch w:val="default"/>
    <w:sig w:usb0="00000000" w:usb1="00000000" w:usb2="00000000" w:usb3="00000000" w:csb0="80000000" w:csb1="00000000"/>
  </w:font>
  <w:font w:name="新宋体">
    <w:panose1 w:val="02010609030101010101"/>
    <w:charset w:val="86"/>
    <w:family w:val="auto"/>
    <w:pitch w:val="default"/>
    <w:sig w:usb0="00000003" w:usb1="288F0000" w:usb2="0000000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5"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3RH0/uIBAADDAwAADgAA&#10;AAAAAAABACAAAAAeAQAAZHJzL2Uyb0RvYy54bWxQSwUGAAAAAAYABgBZAQAAcgUAAAAA&#10;">
              <v:fill on="f" focussize="0,0"/>
              <v:stroke on="f"/>
              <v:imagedata o:title=""/>
              <o:lock v:ext="edit" aspectratio="f"/>
              <v:textbox inset="0mm,0mm,0mm,0mm" style="mso-fit-shape-to-text:t;">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20"/>
      <w:rPr>
        <w:rFonts w:hint="default" w:ascii="楷体_GB2312" w:eastAsia="楷体_GB2312"/>
        <w:sz w:val="21"/>
        <w:szCs w:val="21"/>
        <w:lang w:val="en-US" w:eastAsia="zh-CN"/>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7" name="文本框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IV</w:t>
                          </w:r>
                          <w:r>
                            <w:rPr>
                              <w:rFonts w:hint="eastAsia"/>
                              <w:lang w:eastAsia="zh-CN"/>
                            </w:rPr>
                            <w:fldChar w:fldCharType="end"/>
                          </w:r>
                        </w:p>
                      </w:txbxContent>
                    </wps:txbx>
                    <wps:bodyPr wrap="none" lIns="0" tIns="0" rIns="0" bIns="0" upright="0">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MrHfSzAEAAJ4DAAAOAAAAAAAAAAEAIAAAAB4BAABkcnMvZTJv&#10;RG9jLnhtbFBLBQYAAAAABgAGAFkBAABcBQAAAAA=&#10;">
              <v:fill on="f" focussize="0,0"/>
              <v:stroke on="f"/>
              <v:imagedata o:title=""/>
              <o:lock v:ext="edit" aspectratio="f"/>
              <v:textbox inset="0mm,0mm,0mm,0mm" style="mso-fit-shape-to-text:t;">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IV</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20"/>
      <w:jc w:val="right"/>
      <w:rPr>
        <w:rFonts w:hint="default" w:ascii="楷体_GB2312" w:eastAsia="楷体_GB2312"/>
        <w:sz w:val="21"/>
        <w:szCs w:val="21"/>
        <w:lang w:val="en-US" w:eastAsia="zh-CN"/>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6"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ind w:firstLine="420"/>
                            <w:rPr>
                              <w:rStyle w:val="54"/>
                              <w:sz w:val="21"/>
                              <w:szCs w:val="21"/>
                            </w:rPr>
                          </w:pPr>
                          <w:r>
                            <w:rPr>
                              <w:sz w:val="21"/>
                              <w:szCs w:val="21"/>
                            </w:rPr>
                            <w:fldChar w:fldCharType="begin"/>
                          </w:r>
                          <w:r>
                            <w:rPr>
                              <w:rStyle w:val="54"/>
                              <w:sz w:val="21"/>
                              <w:szCs w:val="21"/>
                            </w:rPr>
                            <w:instrText xml:space="preserve">PAGE  </w:instrText>
                          </w:r>
                          <w:r>
                            <w:rPr>
                              <w:sz w:val="21"/>
                              <w:szCs w:val="21"/>
                            </w:rPr>
                            <w:fldChar w:fldCharType="separate"/>
                          </w:r>
                          <w:r>
                            <w:rPr>
                              <w:rStyle w:val="54"/>
                              <w:sz w:val="21"/>
                              <w:szCs w:val="21"/>
                            </w:rPr>
                            <w:t>1</w:t>
                          </w:r>
                          <w:r>
                            <w:rPr>
                              <w:sz w:val="21"/>
                              <w:szCs w:val="21"/>
                            </w:rPr>
                            <w:fldChar w:fldCharType="end"/>
                          </w:r>
                        </w:p>
                      </w:txbxContent>
                    </wps:txbx>
                    <wps:bodyPr vert="horz" wrap="none" lIns="0" tIns="0" rIns="0" bIns="0" anchor="t" anchorCtr="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l5uc8AAAAFAQAADwAAAAAA&#10;AAABACAAAAAiAAAAZHJzL2Rvd25yZXYueG1sUEsBAhQAFAAAAAgAh07iQF90NOfjAQAAwwMAAA4A&#10;AAAAAAAAAQAgAAAAHgEAAGRycy9lMm9Eb2MueG1sUEsFBgAAAAAGAAYAWQEAAHMFAAAAAA==&#10;">
              <v:fill on="f" focussize="0,0"/>
              <v:stroke on="f"/>
              <v:imagedata o:title=""/>
              <o:lock v:ext="edit" aspectratio="f"/>
              <v:textbox inset="0mm,0mm,0mm,0mm" style="mso-fit-shape-to-text:t;">
                <w:txbxContent>
                  <w:p>
                    <w:pPr>
                      <w:ind w:firstLine="420"/>
                      <w:rPr>
                        <w:rStyle w:val="54"/>
                        <w:sz w:val="21"/>
                        <w:szCs w:val="21"/>
                      </w:rPr>
                    </w:pPr>
                    <w:r>
                      <w:rPr>
                        <w:sz w:val="21"/>
                        <w:szCs w:val="21"/>
                      </w:rPr>
                      <w:fldChar w:fldCharType="begin"/>
                    </w:r>
                    <w:r>
                      <w:rPr>
                        <w:rStyle w:val="54"/>
                        <w:sz w:val="21"/>
                        <w:szCs w:val="21"/>
                      </w:rPr>
                      <w:instrText xml:space="preserve">PAGE  </w:instrText>
                    </w:r>
                    <w:r>
                      <w:rPr>
                        <w:sz w:val="21"/>
                        <w:szCs w:val="21"/>
                      </w:rPr>
                      <w:fldChar w:fldCharType="separate"/>
                    </w:r>
                    <w:r>
                      <w:rPr>
                        <w:rStyle w:val="54"/>
                        <w:sz w:val="21"/>
                        <w:szCs w:val="21"/>
                      </w:rPr>
                      <w:t>1</w:t>
                    </w:r>
                    <w:r>
                      <w:rPr>
                        <w:sz w:val="21"/>
                        <w:szCs w:val="21"/>
                      </w:rPr>
                      <w:fldChar w:fldCharType="end"/>
                    </w:r>
                  </w:p>
                </w:txbxContent>
              </v:textbox>
            </v:shape>
          </w:pict>
        </mc:Fallback>
      </mc:AlternateContent>
    </w:r>
    <w:r>
      <w:rPr>
        <w:rFonts w:hint="eastAsia" w:ascii="楷体_GB2312" w:eastAsia="楷体_GB2312"/>
        <w:sz w:val="21"/>
        <w:szCs w:val="21"/>
        <w:lang w:val="en-US" w:eastAsia="zh-CN"/>
      </w:rPr>
      <w:t>安徽华境资环科技有限公司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1"/>
      </w:pBdr>
      <w:rPr>
        <w:rFonts w:hint="eastAsia"/>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420"/>
      <w:rPr>
        <w:rFonts w:hint="eastAsia" w:ascii="宋体" w:hAnsi="宋体" w:eastAsia="宋体"/>
        <w:color w:val="auto"/>
        <w:sz w:val="21"/>
        <w:szCs w:val="21"/>
        <w:lang w:eastAsia="zh-CN"/>
      </w:rPr>
    </w:pPr>
    <w:r>
      <w:rPr>
        <w:rFonts w:hint="eastAsia" w:ascii="宋体" w:hAnsi="宋体"/>
        <w:color w:val="auto"/>
        <w:sz w:val="21"/>
        <w:szCs w:val="21"/>
        <w:lang w:eastAsia="zh-CN"/>
      </w:rPr>
      <w:t>安徽省立医院（中国科大附一院）滨湖院区项目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420"/>
      <w:rPr>
        <w:rFonts w:hint="eastAsia" w:ascii="宋体" w:hAnsi="宋体" w:eastAsia="宋体"/>
        <w:color w:val="auto"/>
        <w:sz w:val="21"/>
        <w:szCs w:val="21"/>
        <w:lang w:eastAsia="zh-CN"/>
      </w:rPr>
    </w:pPr>
    <w:r>
      <w:rPr>
        <w:rFonts w:hint="eastAsia" w:ascii="宋体" w:hAnsi="宋体"/>
        <w:color w:val="auto"/>
        <w:sz w:val="21"/>
        <w:szCs w:val="21"/>
        <w:lang w:eastAsia="zh-CN"/>
      </w:rPr>
      <w:t>安徽省立医院（中国科大附一院）滨湖院区项目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019E06"/>
    <w:multiLevelType w:val="singleLevel"/>
    <w:tmpl w:val="A8019E06"/>
    <w:lvl w:ilvl="0" w:tentative="0">
      <w:start w:val="1"/>
      <w:numFmt w:val="decimal"/>
      <w:suff w:val="nothing"/>
      <w:lvlText w:val="（%1）"/>
      <w:lvlJc w:val="left"/>
    </w:lvl>
  </w:abstractNum>
  <w:abstractNum w:abstractNumId="1">
    <w:nsid w:val="ADC3028C"/>
    <w:multiLevelType w:val="singleLevel"/>
    <w:tmpl w:val="ADC3028C"/>
    <w:lvl w:ilvl="0" w:tentative="0">
      <w:start w:val="3"/>
      <w:numFmt w:val="decimal"/>
      <w:suff w:val="nothing"/>
      <w:lvlText w:val="（%1）"/>
      <w:lvlJc w:val="left"/>
    </w:lvl>
  </w:abstractNum>
  <w:abstractNum w:abstractNumId="2">
    <w:nsid w:val="BA423541"/>
    <w:multiLevelType w:val="singleLevel"/>
    <w:tmpl w:val="BA423541"/>
    <w:lvl w:ilvl="0" w:tentative="0">
      <w:start w:val="1"/>
      <w:numFmt w:val="decimal"/>
      <w:suff w:val="nothing"/>
      <w:lvlText w:val="（%1）"/>
      <w:lvlJc w:val="left"/>
    </w:lvl>
  </w:abstractNum>
  <w:abstractNum w:abstractNumId="3">
    <w:nsid w:val="F6A0A109"/>
    <w:multiLevelType w:val="singleLevel"/>
    <w:tmpl w:val="F6A0A109"/>
    <w:lvl w:ilvl="0" w:tentative="0">
      <w:start w:val="1"/>
      <w:numFmt w:val="decimal"/>
      <w:suff w:val="nothing"/>
      <w:lvlText w:val="（%1）"/>
      <w:lvlJc w:val="left"/>
    </w:lvl>
  </w:abstractNum>
  <w:abstractNum w:abstractNumId="4">
    <w:nsid w:val="FDC7EBE6"/>
    <w:multiLevelType w:val="singleLevel"/>
    <w:tmpl w:val="FDC7EBE6"/>
    <w:lvl w:ilvl="0" w:tentative="0">
      <w:start w:val="1"/>
      <w:numFmt w:val="decimal"/>
      <w:suff w:val="nothing"/>
      <w:lvlText w:val="（%1）"/>
      <w:lvlJc w:val="left"/>
    </w:lvl>
  </w:abstractNum>
  <w:abstractNum w:abstractNumId="5">
    <w:nsid w:val="08F9DABA"/>
    <w:multiLevelType w:val="singleLevel"/>
    <w:tmpl w:val="08F9DABA"/>
    <w:lvl w:ilvl="0" w:tentative="0">
      <w:start w:val="1"/>
      <w:numFmt w:val="decimal"/>
      <w:suff w:val="nothing"/>
      <w:lvlText w:val="%1、"/>
      <w:lvlJc w:val="left"/>
    </w:lvl>
  </w:abstractNum>
  <w:abstractNum w:abstractNumId="6">
    <w:nsid w:val="29FE42FD"/>
    <w:multiLevelType w:val="multilevel"/>
    <w:tmpl w:val="29FE42FD"/>
    <w:lvl w:ilvl="0" w:tentative="0">
      <w:start w:val="1"/>
      <w:numFmt w:val="decimal"/>
      <w:suff w:val="space"/>
      <w:lvlText w:val="%1"/>
      <w:lvlJc w:val="left"/>
      <w:pPr>
        <w:ind w:left="0" w:firstLine="0"/>
      </w:pPr>
      <w:rPr>
        <w:rFonts w:hint="eastAsia"/>
        <w:sz w:val="30"/>
        <w:szCs w:val="30"/>
      </w:rPr>
    </w:lvl>
    <w:lvl w:ilvl="1" w:tentative="0">
      <w:start w:val="1"/>
      <w:numFmt w:val="decimal"/>
      <w:pStyle w:val="279"/>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
    <w:nsid w:val="2A50FD3D"/>
    <w:multiLevelType w:val="singleLevel"/>
    <w:tmpl w:val="2A50FD3D"/>
    <w:lvl w:ilvl="0" w:tentative="0">
      <w:start w:val="1"/>
      <w:numFmt w:val="decimal"/>
      <w:lvlText w:val="(%1)"/>
      <w:lvlJc w:val="left"/>
      <w:pPr>
        <w:ind w:left="425" w:hanging="425"/>
      </w:pPr>
      <w:rPr>
        <w:rFonts w:hint="default"/>
      </w:rPr>
    </w:lvl>
  </w:abstractNum>
  <w:abstractNum w:abstractNumId="8">
    <w:nsid w:val="317D434D"/>
    <w:multiLevelType w:val="multilevel"/>
    <w:tmpl w:val="317D434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341A0D56"/>
    <w:multiLevelType w:val="singleLevel"/>
    <w:tmpl w:val="341A0D56"/>
    <w:lvl w:ilvl="0" w:tentative="0">
      <w:start w:val="4"/>
      <w:numFmt w:val="decimal"/>
      <w:suff w:val="nothing"/>
      <w:lvlText w:val="%1、"/>
      <w:lvlJc w:val="left"/>
    </w:lvl>
  </w:abstractNum>
  <w:abstractNum w:abstractNumId="10">
    <w:nsid w:val="587AF629"/>
    <w:multiLevelType w:val="singleLevel"/>
    <w:tmpl w:val="587AF629"/>
    <w:lvl w:ilvl="0" w:tentative="0">
      <w:start w:val="1"/>
      <w:numFmt w:val="decimal"/>
      <w:suff w:val="nothing"/>
      <w:lvlText w:val="%1、"/>
      <w:lvlJc w:val="left"/>
    </w:lvl>
  </w:abstractNum>
  <w:abstractNum w:abstractNumId="11">
    <w:nsid w:val="5AD56A49"/>
    <w:multiLevelType w:val="multilevel"/>
    <w:tmpl w:val="5AD56A49"/>
    <w:lvl w:ilvl="0" w:tentative="0">
      <w:start w:val="1"/>
      <w:numFmt w:val="decimal"/>
      <w:pStyle w:val="3"/>
      <w:suff w:val="space"/>
      <w:lvlText w:val="%1"/>
      <w:lvlJc w:val="left"/>
      <w:pPr>
        <w:ind w:left="0" w:firstLine="0"/>
      </w:pPr>
      <w:rPr>
        <w:rFonts w:hint="eastAsia"/>
        <w:sz w:val="36"/>
      </w:rPr>
    </w:lvl>
    <w:lvl w:ilvl="1" w:tentative="0">
      <w:start w:val="1"/>
      <w:numFmt w:val="decimal"/>
      <w:pStyle w:val="4"/>
      <w:suff w:val="space"/>
      <w:lvlText w:val="%1.%2"/>
      <w:lvlJc w:val="left"/>
      <w:pPr>
        <w:ind w:left="1985" w:firstLine="0"/>
      </w:pPr>
      <w:rPr>
        <w:rFonts w:hint="eastAsia"/>
        <w:b/>
      </w:rPr>
    </w:lvl>
    <w:lvl w:ilvl="2" w:tentative="0">
      <w:start w:val="1"/>
      <w:numFmt w:val="decimal"/>
      <w:pStyle w:val="5"/>
      <w:suff w:val="space"/>
      <w:lvlText w:val="%1.%2.%3"/>
      <w:lvlJc w:val="left"/>
      <w:pPr>
        <w:ind w:left="3599" w:hanging="480"/>
      </w:pPr>
    </w:lvl>
    <w:lvl w:ilvl="3" w:tentative="0">
      <w:start w:val="1"/>
      <w:numFmt w:val="decimal"/>
      <w:pStyle w:val="2"/>
      <w:suff w:val="space"/>
      <w:lvlText w:val="%1.%2.%3.%4"/>
      <w:lvlJc w:val="left"/>
      <w:pPr>
        <w:ind w:left="1331" w:hanging="480"/>
      </w:pPr>
      <w:rPr>
        <w:rFonts w:hint="default"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pStyle w:val="6"/>
      <w:lvlText w:val="%1.%2.%3.%4.%5"/>
      <w:lvlJc w:val="left"/>
      <w:pPr>
        <w:tabs>
          <w:tab w:val="left" w:pos="1488"/>
        </w:tabs>
        <w:ind w:left="1488" w:hanging="1008"/>
      </w:pPr>
      <w:rPr>
        <w:rFonts w:hint="eastAsia"/>
      </w:rPr>
    </w:lvl>
    <w:lvl w:ilvl="5" w:tentative="0">
      <w:start w:val="1"/>
      <w:numFmt w:val="decimal"/>
      <w:pStyle w:val="7"/>
      <w:lvlText w:val="%1.%2.%3.%4.%5.%6"/>
      <w:lvlJc w:val="left"/>
      <w:pPr>
        <w:tabs>
          <w:tab w:val="left" w:pos="1632"/>
        </w:tabs>
        <w:ind w:left="1632" w:hanging="1152"/>
      </w:pPr>
      <w:rPr>
        <w:rFonts w:hint="eastAsia"/>
      </w:rPr>
    </w:lvl>
    <w:lvl w:ilvl="6" w:tentative="0">
      <w:start w:val="1"/>
      <w:numFmt w:val="decimal"/>
      <w:pStyle w:val="8"/>
      <w:lvlText w:val="%1.%2.%3.%4.%5.%6.%7"/>
      <w:lvlJc w:val="left"/>
      <w:pPr>
        <w:tabs>
          <w:tab w:val="left" w:pos="1776"/>
        </w:tabs>
        <w:ind w:left="1776" w:hanging="1296"/>
      </w:pPr>
      <w:rPr>
        <w:rFonts w:hint="eastAsia"/>
      </w:rPr>
    </w:lvl>
    <w:lvl w:ilvl="7" w:tentative="0">
      <w:start w:val="1"/>
      <w:numFmt w:val="decimal"/>
      <w:pStyle w:val="9"/>
      <w:lvlText w:val="%1.%2.%3.%4.%5.%6.%7.%8"/>
      <w:lvlJc w:val="left"/>
      <w:pPr>
        <w:tabs>
          <w:tab w:val="left" w:pos="1920"/>
        </w:tabs>
        <w:ind w:left="1920" w:hanging="1440"/>
      </w:pPr>
      <w:rPr>
        <w:rFonts w:hint="eastAsia"/>
      </w:rPr>
    </w:lvl>
    <w:lvl w:ilvl="8" w:tentative="0">
      <w:start w:val="1"/>
      <w:numFmt w:val="decimal"/>
      <w:pStyle w:val="10"/>
      <w:lvlText w:val="%1.%2.%3.%4.%5.%6.%7.%8.%9"/>
      <w:lvlJc w:val="left"/>
      <w:pPr>
        <w:tabs>
          <w:tab w:val="left" w:pos="2064"/>
        </w:tabs>
        <w:ind w:left="2064" w:hanging="1584"/>
      </w:pPr>
      <w:rPr>
        <w:rFonts w:hint="eastAsia"/>
      </w:rPr>
    </w:lvl>
  </w:abstractNum>
  <w:abstractNum w:abstractNumId="12">
    <w:nsid w:val="5EBABEBE"/>
    <w:multiLevelType w:val="singleLevel"/>
    <w:tmpl w:val="5EBABEBE"/>
    <w:lvl w:ilvl="0" w:tentative="0">
      <w:start w:val="1"/>
      <w:numFmt w:val="decimal"/>
      <w:suff w:val="nothing"/>
      <w:lvlText w:val="（%1）"/>
      <w:lvlJc w:val="left"/>
    </w:lvl>
  </w:abstractNum>
  <w:abstractNum w:abstractNumId="13">
    <w:nsid w:val="61C041BF"/>
    <w:multiLevelType w:val="singleLevel"/>
    <w:tmpl w:val="61C041BF"/>
    <w:lvl w:ilvl="0" w:tentative="0">
      <w:start w:val="1"/>
      <w:numFmt w:val="decimal"/>
      <w:pStyle w:val="337"/>
      <w:lvlText w:val="(%1)"/>
      <w:lvlJc w:val="left"/>
      <w:pPr>
        <w:tabs>
          <w:tab w:val="left" w:pos="1215"/>
        </w:tabs>
        <w:ind w:left="1215" w:hanging="495"/>
      </w:pPr>
      <w:rPr>
        <w:rFonts w:hint="default"/>
      </w:rPr>
    </w:lvl>
  </w:abstractNum>
  <w:abstractNum w:abstractNumId="14">
    <w:nsid w:val="6CF0121A"/>
    <w:multiLevelType w:val="singleLevel"/>
    <w:tmpl w:val="6CF0121A"/>
    <w:lvl w:ilvl="0" w:tentative="0">
      <w:start w:val="2"/>
      <w:numFmt w:val="decimal"/>
      <w:suff w:val="nothing"/>
      <w:lvlText w:val="（%1）"/>
      <w:lvlJc w:val="left"/>
    </w:lvl>
  </w:abstractNum>
  <w:num w:numId="1">
    <w:abstractNumId w:val="11"/>
  </w:num>
  <w:num w:numId="2">
    <w:abstractNumId w:val="6"/>
  </w:num>
  <w:num w:numId="3">
    <w:abstractNumId w:val="13"/>
  </w:num>
  <w:num w:numId="4">
    <w:abstractNumId w:val="10"/>
  </w:num>
  <w:num w:numId="5">
    <w:abstractNumId w:val="4"/>
  </w:num>
  <w:num w:numId="6">
    <w:abstractNumId w:val="9"/>
  </w:num>
  <w:num w:numId="7">
    <w:abstractNumId w:val="14"/>
  </w:num>
  <w:num w:numId="8">
    <w:abstractNumId w:val="12"/>
  </w:num>
  <w:num w:numId="9">
    <w:abstractNumId w:val="1"/>
  </w:num>
  <w:num w:numId="10">
    <w:abstractNumId w:val="3"/>
  </w:num>
  <w:num w:numId="11">
    <w:abstractNumId w:val="0"/>
  </w:num>
  <w:num w:numId="12">
    <w:abstractNumId w:val="8"/>
  </w:num>
  <w:num w:numId="13">
    <w:abstractNumId w:val="2"/>
  </w:num>
  <w:num w:numId="14">
    <w:abstractNumId w:val="5"/>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E3NDY5MTJiZTkzMTAwNDYwY2JkNWE3OWU3MjM5ZGIifQ=="/>
  </w:docVars>
  <w:rsids>
    <w:rsidRoot w:val="00172A27"/>
    <w:rsid w:val="00000011"/>
    <w:rsid w:val="000002E3"/>
    <w:rsid w:val="000003BF"/>
    <w:rsid w:val="00000608"/>
    <w:rsid w:val="0000167E"/>
    <w:rsid w:val="0000174B"/>
    <w:rsid w:val="00001BFB"/>
    <w:rsid w:val="0000224B"/>
    <w:rsid w:val="000025EF"/>
    <w:rsid w:val="00002A47"/>
    <w:rsid w:val="00003014"/>
    <w:rsid w:val="000031B7"/>
    <w:rsid w:val="000037B6"/>
    <w:rsid w:val="00003BFE"/>
    <w:rsid w:val="0000411A"/>
    <w:rsid w:val="000042B9"/>
    <w:rsid w:val="000045E0"/>
    <w:rsid w:val="0000482F"/>
    <w:rsid w:val="00004F53"/>
    <w:rsid w:val="000057FA"/>
    <w:rsid w:val="00005A82"/>
    <w:rsid w:val="00005FB8"/>
    <w:rsid w:val="00006902"/>
    <w:rsid w:val="00006928"/>
    <w:rsid w:val="00006A6C"/>
    <w:rsid w:val="000070ED"/>
    <w:rsid w:val="00007491"/>
    <w:rsid w:val="000077E2"/>
    <w:rsid w:val="00007968"/>
    <w:rsid w:val="00010362"/>
    <w:rsid w:val="0001036D"/>
    <w:rsid w:val="00010687"/>
    <w:rsid w:val="000109E9"/>
    <w:rsid w:val="00010B24"/>
    <w:rsid w:val="00010E6F"/>
    <w:rsid w:val="000113BA"/>
    <w:rsid w:val="000115FD"/>
    <w:rsid w:val="000119EC"/>
    <w:rsid w:val="000127AA"/>
    <w:rsid w:val="0001281B"/>
    <w:rsid w:val="00012A48"/>
    <w:rsid w:val="00013053"/>
    <w:rsid w:val="000132FB"/>
    <w:rsid w:val="00013C4E"/>
    <w:rsid w:val="000141FA"/>
    <w:rsid w:val="000146E4"/>
    <w:rsid w:val="00014888"/>
    <w:rsid w:val="000150F6"/>
    <w:rsid w:val="0001579C"/>
    <w:rsid w:val="000158D4"/>
    <w:rsid w:val="00015950"/>
    <w:rsid w:val="00015B56"/>
    <w:rsid w:val="00015F88"/>
    <w:rsid w:val="0001601F"/>
    <w:rsid w:val="00016047"/>
    <w:rsid w:val="0001683A"/>
    <w:rsid w:val="00016E59"/>
    <w:rsid w:val="00016E8B"/>
    <w:rsid w:val="00017635"/>
    <w:rsid w:val="000178B1"/>
    <w:rsid w:val="000179B9"/>
    <w:rsid w:val="00017A57"/>
    <w:rsid w:val="000203D9"/>
    <w:rsid w:val="00020FFA"/>
    <w:rsid w:val="0002138B"/>
    <w:rsid w:val="00021D8D"/>
    <w:rsid w:val="000220FE"/>
    <w:rsid w:val="000228D1"/>
    <w:rsid w:val="000229F2"/>
    <w:rsid w:val="00022AF3"/>
    <w:rsid w:val="00022F0B"/>
    <w:rsid w:val="000233EA"/>
    <w:rsid w:val="00024D3B"/>
    <w:rsid w:val="00024EEC"/>
    <w:rsid w:val="00024F4E"/>
    <w:rsid w:val="0002545F"/>
    <w:rsid w:val="0002556C"/>
    <w:rsid w:val="00025C39"/>
    <w:rsid w:val="00025FC2"/>
    <w:rsid w:val="00026399"/>
    <w:rsid w:val="000265F2"/>
    <w:rsid w:val="000268EE"/>
    <w:rsid w:val="00026AF0"/>
    <w:rsid w:val="000271B6"/>
    <w:rsid w:val="00027546"/>
    <w:rsid w:val="00030529"/>
    <w:rsid w:val="00030774"/>
    <w:rsid w:val="00030FA3"/>
    <w:rsid w:val="000314A3"/>
    <w:rsid w:val="00031BAA"/>
    <w:rsid w:val="0003261D"/>
    <w:rsid w:val="00032BE3"/>
    <w:rsid w:val="00032F3E"/>
    <w:rsid w:val="0003374E"/>
    <w:rsid w:val="000342A9"/>
    <w:rsid w:val="000345A9"/>
    <w:rsid w:val="000349F5"/>
    <w:rsid w:val="00035DAB"/>
    <w:rsid w:val="00036F2F"/>
    <w:rsid w:val="0003707C"/>
    <w:rsid w:val="00037BD4"/>
    <w:rsid w:val="0004014B"/>
    <w:rsid w:val="000402B2"/>
    <w:rsid w:val="000404FE"/>
    <w:rsid w:val="000407E2"/>
    <w:rsid w:val="000410DA"/>
    <w:rsid w:val="00041672"/>
    <w:rsid w:val="000416BC"/>
    <w:rsid w:val="00041B77"/>
    <w:rsid w:val="00041DE7"/>
    <w:rsid w:val="00042050"/>
    <w:rsid w:val="000425BB"/>
    <w:rsid w:val="00042D73"/>
    <w:rsid w:val="00042E56"/>
    <w:rsid w:val="00043A13"/>
    <w:rsid w:val="00044405"/>
    <w:rsid w:val="0004551F"/>
    <w:rsid w:val="00046B4D"/>
    <w:rsid w:val="00046B55"/>
    <w:rsid w:val="00046F6D"/>
    <w:rsid w:val="000477EF"/>
    <w:rsid w:val="00047BF9"/>
    <w:rsid w:val="00047D71"/>
    <w:rsid w:val="00047DFA"/>
    <w:rsid w:val="00050971"/>
    <w:rsid w:val="00050EFB"/>
    <w:rsid w:val="00051832"/>
    <w:rsid w:val="00051910"/>
    <w:rsid w:val="00051CBA"/>
    <w:rsid w:val="00052ABD"/>
    <w:rsid w:val="00053B6A"/>
    <w:rsid w:val="00054C0F"/>
    <w:rsid w:val="00054CF3"/>
    <w:rsid w:val="00054E4B"/>
    <w:rsid w:val="0005630D"/>
    <w:rsid w:val="0005679E"/>
    <w:rsid w:val="000567DF"/>
    <w:rsid w:val="00056F7D"/>
    <w:rsid w:val="000570D7"/>
    <w:rsid w:val="00057950"/>
    <w:rsid w:val="000604F1"/>
    <w:rsid w:val="000610D5"/>
    <w:rsid w:val="000613E2"/>
    <w:rsid w:val="000619E3"/>
    <w:rsid w:val="00061CE4"/>
    <w:rsid w:val="00062561"/>
    <w:rsid w:val="00062B7D"/>
    <w:rsid w:val="00063105"/>
    <w:rsid w:val="0006391A"/>
    <w:rsid w:val="00064140"/>
    <w:rsid w:val="00064BE7"/>
    <w:rsid w:val="00064CD9"/>
    <w:rsid w:val="00065DF8"/>
    <w:rsid w:val="00065EFA"/>
    <w:rsid w:val="000661A6"/>
    <w:rsid w:val="000667D5"/>
    <w:rsid w:val="00066BCB"/>
    <w:rsid w:val="00066BE2"/>
    <w:rsid w:val="00067032"/>
    <w:rsid w:val="00067FB3"/>
    <w:rsid w:val="00070A34"/>
    <w:rsid w:val="00070F85"/>
    <w:rsid w:val="0007106A"/>
    <w:rsid w:val="00071A6F"/>
    <w:rsid w:val="000720CA"/>
    <w:rsid w:val="00072513"/>
    <w:rsid w:val="00072704"/>
    <w:rsid w:val="00072E4A"/>
    <w:rsid w:val="000733C0"/>
    <w:rsid w:val="00074A9C"/>
    <w:rsid w:val="00074F48"/>
    <w:rsid w:val="00074F66"/>
    <w:rsid w:val="00075D9F"/>
    <w:rsid w:val="00075F42"/>
    <w:rsid w:val="00076ED0"/>
    <w:rsid w:val="00077949"/>
    <w:rsid w:val="000807F7"/>
    <w:rsid w:val="00080F4F"/>
    <w:rsid w:val="0008170A"/>
    <w:rsid w:val="00082362"/>
    <w:rsid w:val="000823BC"/>
    <w:rsid w:val="000827FD"/>
    <w:rsid w:val="00082C64"/>
    <w:rsid w:val="00082E16"/>
    <w:rsid w:val="00082EDE"/>
    <w:rsid w:val="00082F91"/>
    <w:rsid w:val="00083EE5"/>
    <w:rsid w:val="00084FA8"/>
    <w:rsid w:val="000853F2"/>
    <w:rsid w:val="00085868"/>
    <w:rsid w:val="00085C55"/>
    <w:rsid w:val="00085CBE"/>
    <w:rsid w:val="00085D83"/>
    <w:rsid w:val="00086507"/>
    <w:rsid w:val="00086ABB"/>
    <w:rsid w:val="000875F3"/>
    <w:rsid w:val="00087EA7"/>
    <w:rsid w:val="00090226"/>
    <w:rsid w:val="000903AD"/>
    <w:rsid w:val="00090749"/>
    <w:rsid w:val="00091427"/>
    <w:rsid w:val="00091692"/>
    <w:rsid w:val="0009198E"/>
    <w:rsid w:val="000921A0"/>
    <w:rsid w:val="000922D1"/>
    <w:rsid w:val="00092841"/>
    <w:rsid w:val="00092A45"/>
    <w:rsid w:val="00092F0F"/>
    <w:rsid w:val="00093904"/>
    <w:rsid w:val="0009394B"/>
    <w:rsid w:val="00093FCE"/>
    <w:rsid w:val="00093FFF"/>
    <w:rsid w:val="00095472"/>
    <w:rsid w:val="00095AA9"/>
    <w:rsid w:val="00096FD5"/>
    <w:rsid w:val="00096FE2"/>
    <w:rsid w:val="00097386"/>
    <w:rsid w:val="000973A1"/>
    <w:rsid w:val="000974BB"/>
    <w:rsid w:val="000978DE"/>
    <w:rsid w:val="00097C1F"/>
    <w:rsid w:val="000A010C"/>
    <w:rsid w:val="000A025B"/>
    <w:rsid w:val="000A027E"/>
    <w:rsid w:val="000A06F9"/>
    <w:rsid w:val="000A1416"/>
    <w:rsid w:val="000A1811"/>
    <w:rsid w:val="000A1D34"/>
    <w:rsid w:val="000A230C"/>
    <w:rsid w:val="000A2380"/>
    <w:rsid w:val="000A26E5"/>
    <w:rsid w:val="000A2AC0"/>
    <w:rsid w:val="000A332A"/>
    <w:rsid w:val="000A35C1"/>
    <w:rsid w:val="000A36EB"/>
    <w:rsid w:val="000A3A76"/>
    <w:rsid w:val="000A3C66"/>
    <w:rsid w:val="000A3CD4"/>
    <w:rsid w:val="000A4134"/>
    <w:rsid w:val="000A422E"/>
    <w:rsid w:val="000A4538"/>
    <w:rsid w:val="000A5046"/>
    <w:rsid w:val="000A589A"/>
    <w:rsid w:val="000A5E4C"/>
    <w:rsid w:val="000A621B"/>
    <w:rsid w:val="000A70BA"/>
    <w:rsid w:val="000A74A2"/>
    <w:rsid w:val="000A7CD6"/>
    <w:rsid w:val="000A7E35"/>
    <w:rsid w:val="000A7EC4"/>
    <w:rsid w:val="000B04E2"/>
    <w:rsid w:val="000B07A2"/>
    <w:rsid w:val="000B0E76"/>
    <w:rsid w:val="000B1536"/>
    <w:rsid w:val="000B1758"/>
    <w:rsid w:val="000B1BE7"/>
    <w:rsid w:val="000B2075"/>
    <w:rsid w:val="000B32DB"/>
    <w:rsid w:val="000B3304"/>
    <w:rsid w:val="000B3345"/>
    <w:rsid w:val="000B35FB"/>
    <w:rsid w:val="000B3936"/>
    <w:rsid w:val="000B4652"/>
    <w:rsid w:val="000B4936"/>
    <w:rsid w:val="000B4BAE"/>
    <w:rsid w:val="000B4F51"/>
    <w:rsid w:val="000B5237"/>
    <w:rsid w:val="000B5D99"/>
    <w:rsid w:val="000B5DDE"/>
    <w:rsid w:val="000B5FDC"/>
    <w:rsid w:val="000B7702"/>
    <w:rsid w:val="000B7DE4"/>
    <w:rsid w:val="000C004F"/>
    <w:rsid w:val="000C14B7"/>
    <w:rsid w:val="000C1C40"/>
    <w:rsid w:val="000C2035"/>
    <w:rsid w:val="000C228D"/>
    <w:rsid w:val="000C2B89"/>
    <w:rsid w:val="000C2E84"/>
    <w:rsid w:val="000C2ECE"/>
    <w:rsid w:val="000C406E"/>
    <w:rsid w:val="000C4186"/>
    <w:rsid w:val="000C475D"/>
    <w:rsid w:val="000C4852"/>
    <w:rsid w:val="000C4ABC"/>
    <w:rsid w:val="000C4BE7"/>
    <w:rsid w:val="000C4F51"/>
    <w:rsid w:val="000C62A7"/>
    <w:rsid w:val="000C6756"/>
    <w:rsid w:val="000C7164"/>
    <w:rsid w:val="000C73EB"/>
    <w:rsid w:val="000C751E"/>
    <w:rsid w:val="000C780B"/>
    <w:rsid w:val="000C79E4"/>
    <w:rsid w:val="000C7C15"/>
    <w:rsid w:val="000C7DBD"/>
    <w:rsid w:val="000D0235"/>
    <w:rsid w:val="000D0753"/>
    <w:rsid w:val="000D0A9D"/>
    <w:rsid w:val="000D169D"/>
    <w:rsid w:val="000D19FD"/>
    <w:rsid w:val="000D216B"/>
    <w:rsid w:val="000D2535"/>
    <w:rsid w:val="000D3465"/>
    <w:rsid w:val="000D3A64"/>
    <w:rsid w:val="000D4090"/>
    <w:rsid w:val="000D412E"/>
    <w:rsid w:val="000D4AC8"/>
    <w:rsid w:val="000D4C85"/>
    <w:rsid w:val="000D533D"/>
    <w:rsid w:val="000D5691"/>
    <w:rsid w:val="000D57D8"/>
    <w:rsid w:val="000D5B73"/>
    <w:rsid w:val="000D5DA7"/>
    <w:rsid w:val="000D63CF"/>
    <w:rsid w:val="000D653C"/>
    <w:rsid w:val="000D6891"/>
    <w:rsid w:val="000D6EAF"/>
    <w:rsid w:val="000D72DC"/>
    <w:rsid w:val="000D73DC"/>
    <w:rsid w:val="000D749C"/>
    <w:rsid w:val="000D7784"/>
    <w:rsid w:val="000D778D"/>
    <w:rsid w:val="000D77B5"/>
    <w:rsid w:val="000D77EB"/>
    <w:rsid w:val="000D7B4C"/>
    <w:rsid w:val="000D7C60"/>
    <w:rsid w:val="000D7E8C"/>
    <w:rsid w:val="000E00BC"/>
    <w:rsid w:val="000E06A5"/>
    <w:rsid w:val="000E0843"/>
    <w:rsid w:val="000E0BB8"/>
    <w:rsid w:val="000E1150"/>
    <w:rsid w:val="000E1352"/>
    <w:rsid w:val="000E2F86"/>
    <w:rsid w:val="000E35F0"/>
    <w:rsid w:val="000E3BCC"/>
    <w:rsid w:val="000E4175"/>
    <w:rsid w:val="000E41CD"/>
    <w:rsid w:val="000E4240"/>
    <w:rsid w:val="000E46C7"/>
    <w:rsid w:val="000E490D"/>
    <w:rsid w:val="000E493F"/>
    <w:rsid w:val="000E4945"/>
    <w:rsid w:val="000E55B2"/>
    <w:rsid w:val="000E5952"/>
    <w:rsid w:val="000E62EE"/>
    <w:rsid w:val="000E6931"/>
    <w:rsid w:val="000E6ABD"/>
    <w:rsid w:val="000E6FB8"/>
    <w:rsid w:val="000E7070"/>
    <w:rsid w:val="000E72B8"/>
    <w:rsid w:val="000E7551"/>
    <w:rsid w:val="000E7A87"/>
    <w:rsid w:val="000E7AB1"/>
    <w:rsid w:val="000E7C5B"/>
    <w:rsid w:val="000E7E4D"/>
    <w:rsid w:val="000F0492"/>
    <w:rsid w:val="000F0719"/>
    <w:rsid w:val="000F0753"/>
    <w:rsid w:val="000F0A1B"/>
    <w:rsid w:val="000F0BA3"/>
    <w:rsid w:val="000F0DC8"/>
    <w:rsid w:val="000F0E69"/>
    <w:rsid w:val="000F0F06"/>
    <w:rsid w:val="000F1306"/>
    <w:rsid w:val="000F1F30"/>
    <w:rsid w:val="000F2106"/>
    <w:rsid w:val="000F23D4"/>
    <w:rsid w:val="000F2633"/>
    <w:rsid w:val="000F270A"/>
    <w:rsid w:val="000F2961"/>
    <w:rsid w:val="000F2EF5"/>
    <w:rsid w:val="000F3220"/>
    <w:rsid w:val="000F35FA"/>
    <w:rsid w:val="000F3612"/>
    <w:rsid w:val="000F3F59"/>
    <w:rsid w:val="000F40A0"/>
    <w:rsid w:val="000F52F9"/>
    <w:rsid w:val="000F57F7"/>
    <w:rsid w:val="000F5CFB"/>
    <w:rsid w:val="000F635A"/>
    <w:rsid w:val="000F7196"/>
    <w:rsid w:val="000F762D"/>
    <w:rsid w:val="000F76D3"/>
    <w:rsid w:val="000F7DD1"/>
    <w:rsid w:val="001000DF"/>
    <w:rsid w:val="00100836"/>
    <w:rsid w:val="00100FDD"/>
    <w:rsid w:val="0010129F"/>
    <w:rsid w:val="001015D1"/>
    <w:rsid w:val="00101DCE"/>
    <w:rsid w:val="001022B3"/>
    <w:rsid w:val="00102305"/>
    <w:rsid w:val="00102564"/>
    <w:rsid w:val="00102670"/>
    <w:rsid w:val="00102978"/>
    <w:rsid w:val="00102A0F"/>
    <w:rsid w:val="00102A5D"/>
    <w:rsid w:val="00102D42"/>
    <w:rsid w:val="0010309B"/>
    <w:rsid w:val="0010334F"/>
    <w:rsid w:val="00103482"/>
    <w:rsid w:val="00103AFD"/>
    <w:rsid w:val="00103C98"/>
    <w:rsid w:val="00105560"/>
    <w:rsid w:val="001058E8"/>
    <w:rsid w:val="0010631F"/>
    <w:rsid w:val="00106773"/>
    <w:rsid w:val="00106B13"/>
    <w:rsid w:val="00106CA7"/>
    <w:rsid w:val="00106E4D"/>
    <w:rsid w:val="00106F51"/>
    <w:rsid w:val="0010740C"/>
    <w:rsid w:val="00107AF5"/>
    <w:rsid w:val="00110A53"/>
    <w:rsid w:val="0011121A"/>
    <w:rsid w:val="0011177A"/>
    <w:rsid w:val="00111B45"/>
    <w:rsid w:val="001123D8"/>
    <w:rsid w:val="00112B63"/>
    <w:rsid w:val="00112BD2"/>
    <w:rsid w:val="00112E7E"/>
    <w:rsid w:val="001131A4"/>
    <w:rsid w:val="001133BD"/>
    <w:rsid w:val="00113F0A"/>
    <w:rsid w:val="001141C7"/>
    <w:rsid w:val="0011456F"/>
    <w:rsid w:val="00114B49"/>
    <w:rsid w:val="0011508A"/>
    <w:rsid w:val="001157A8"/>
    <w:rsid w:val="00115A49"/>
    <w:rsid w:val="001168C3"/>
    <w:rsid w:val="00116C1C"/>
    <w:rsid w:val="00116D5E"/>
    <w:rsid w:val="00116F65"/>
    <w:rsid w:val="0011710D"/>
    <w:rsid w:val="001177DF"/>
    <w:rsid w:val="00117A62"/>
    <w:rsid w:val="00117AF3"/>
    <w:rsid w:val="00117D57"/>
    <w:rsid w:val="00117DCA"/>
    <w:rsid w:val="001209E6"/>
    <w:rsid w:val="00120B9D"/>
    <w:rsid w:val="00123043"/>
    <w:rsid w:val="001230CE"/>
    <w:rsid w:val="001236C6"/>
    <w:rsid w:val="00124009"/>
    <w:rsid w:val="00124457"/>
    <w:rsid w:val="00124465"/>
    <w:rsid w:val="00124793"/>
    <w:rsid w:val="00124F6C"/>
    <w:rsid w:val="0012582A"/>
    <w:rsid w:val="00125981"/>
    <w:rsid w:val="00126309"/>
    <w:rsid w:val="0012641C"/>
    <w:rsid w:val="00126564"/>
    <w:rsid w:val="001274E8"/>
    <w:rsid w:val="00130103"/>
    <w:rsid w:val="00130772"/>
    <w:rsid w:val="00131033"/>
    <w:rsid w:val="0013129D"/>
    <w:rsid w:val="001312BF"/>
    <w:rsid w:val="00131B0C"/>
    <w:rsid w:val="00131FEE"/>
    <w:rsid w:val="0013253B"/>
    <w:rsid w:val="00132899"/>
    <w:rsid w:val="001329BE"/>
    <w:rsid w:val="00132C89"/>
    <w:rsid w:val="00133E9F"/>
    <w:rsid w:val="00134430"/>
    <w:rsid w:val="001344EC"/>
    <w:rsid w:val="0013529E"/>
    <w:rsid w:val="0013538D"/>
    <w:rsid w:val="00135887"/>
    <w:rsid w:val="00136BED"/>
    <w:rsid w:val="0013708F"/>
    <w:rsid w:val="00137A51"/>
    <w:rsid w:val="00137ADE"/>
    <w:rsid w:val="00137CB5"/>
    <w:rsid w:val="00137EE8"/>
    <w:rsid w:val="00137EF0"/>
    <w:rsid w:val="001408B0"/>
    <w:rsid w:val="00142499"/>
    <w:rsid w:val="001426C6"/>
    <w:rsid w:val="00142A8E"/>
    <w:rsid w:val="00142C56"/>
    <w:rsid w:val="00142D08"/>
    <w:rsid w:val="00142D41"/>
    <w:rsid w:val="001431A6"/>
    <w:rsid w:val="00143251"/>
    <w:rsid w:val="00143336"/>
    <w:rsid w:val="001436CC"/>
    <w:rsid w:val="00143ABF"/>
    <w:rsid w:val="00144605"/>
    <w:rsid w:val="00144866"/>
    <w:rsid w:val="001449C4"/>
    <w:rsid w:val="00144A4D"/>
    <w:rsid w:val="00144A9E"/>
    <w:rsid w:val="00144EFB"/>
    <w:rsid w:val="00144F7A"/>
    <w:rsid w:val="00145436"/>
    <w:rsid w:val="0014585A"/>
    <w:rsid w:val="001459E1"/>
    <w:rsid w:val="00146434"/>
    <w:rsid w:val="00146BD7"/>
    <w:rsid w:val="00146ECD"/>
    <w:rsid w:val="001472DD"/>
    <w:rsid w:val="00147D06"/>
    <w:rsid w:val="00147F75"/>
    <w:rsid w:val="001505CE"/>
    <w:rsid w:val="001509AB"/>
    <w:rsid w:val="00150B32"/>
    <w:rsid w:val="0015112F"/>
    <w:rsid w:val="001514A8"/>
    <w:rsid w:val="001515D0"/>
    <w:rsid w:val="00151A5F"/>
    <w:rsid w:val="0015270D"/>
    <w:rsid w:val="00152A60"/>
    <w:rsid w:val="00152B66"/>
    <w:rsid w:val="00152C2F"/>
    <w:rsid w:val="00152FF4"/>
    <w:rsid w:val="001534AA"/>
    <w:rsid w:val="001539D6"/>
    <w:rsid w:val="00154126"/>
    <w:rsid w:val="00154182"/>
    <w:rsid w:val="001543AC"/>
    <w:rsid w:val="001545E6"/>
    <w:rsid w:val="001546A9"/>
    <w:rsid w:val="00154766"/>
    <w:rsid w:val="00154A32"/>
    <w:rsid w:val="00154CC2"/>
    <w:rsid w:val="00154F7C"/>
    <w:rsid w:val="00155C0F"/>
    <w:rsid w:val="00156089"/>
    <w:rsid w:val="0015645A"/>
    <w:rsid w:val="00156E5D"/>
    <w:rsid w:val="0015751C"/>
    <w:rsid w:val="00157783"/>
    <w:rsid w:val="001578F3"/>
    <w:rsid w:val="00160359"/>
    <w:rsid w:val="00160709"/>
    <w:rsid w:val="00160B3D"/>
    <w:rsid w:val="00161097"/>
    <w:rsid w:val="00161D16"/>
    <w:rsid w:val="00162401"/>
    <w:rsid w:val="00162AE6"/>
    <w:rsid w:val="00162BED"/>
    <w:rsid w:val="00162EE0"/>
    <w:rsid w:val="001634C1"/>
    <w:rsid w:val="001635FF"/>
    <w:rsid w:val="00163A7F"/>
    <w:rsid w:val="00163DCE"/>
    <w:rsid w:val="00163EB9"/>
    <w:rsid w:val="00164062"/>
    <w:rsid w:val="00164233"/>
    <w:rsid w:val="00164467"/>
    <w:rsid w:val="00164B3E"/>
    <w:rsid w:val="001653B1"/>
    <w:rsid w:val="001659EA"/>
    <w:rsid w:val="00165B54"/>
    <w:rsid w:val="00167177"/>
    <w:rsid w:val="00167E42"/>
    <w:rsid w:val="00167E7C"/>
    <w:rsid w:val="001702B7"/>
    <w:rsid w:val="0017034E"/>
    <w:rsid w:val="001711BC"/>
    <w:rsid w:val="001712D0"/>
    <w:rsid w:val="00171B86"/>
    <w:rsid w:val="001721EB"/>
    <w:rsid w:val="00172B9E"/>
    <w:rsid w:val="00173124"/>
    <w:rsid w:val="00173593"/>
    <w:rsid w:val="001748E6"/>
    <w:rsid w:val="00174A26"/>
    <w:rsid w:val="00174FA6"/>
    <w:rsid w:val="0017517B"/>
    <w:rsid w:val="001752D4"/>
    <w:rsid w:val="0017536E"/>
    <w:rsid w:val="001768FE"/>
    <w:rsid w:val="00177170"/>
    <w:rsid w:val="00177524"/>
    <w:rsid w:val="00177787"/>
    <w:rsid w:val="00177DDB"/>
    <w:rsid w:val="00180BB7"/>
    <w:rsid w:val="00180C6A"/>
    <w:rsid w:val="00181277"/>
    <w:rsid w:val="001813AF"/>
    <w:rsid w:val="001814BC"/>
    <w:rsid w:val="00181880"/>
    <w:rsid w:val="00181BF4"/>
    <w:rsid w:val="00181C6D"/>
    <w:rsid w:val="00182A87"/>
    <w:rsid w:val="0018330C"/>
    <w:rsid w:val="00184071"/>
    <w:rsid w:val="00184359"/>
    <w:rsid w:val="00184574"/>
    <w:rsid w:val="00184B2B"/>
    <w:rsid w:val="00184BEC"/>
    <w:rsid w:val="00184C40"/>
    <w:rsid w:val="00185DE7"/>
    <w:rsid w:val="001863D8"/>
    <w:rsid w:val="001868CB"/>
    <w:rsid w:val="00186F21"/>
    <w:rsid w:val="0018725A"/>
    <w:rsid w:val="001872AA"/>
    <w:rsid w:val="00190C03"/>
    <w:rsid w:val="00191DAE"/>
    <w:rsid w:val="0019254F"/>
    <w:rsid w:val="00192AE1"/>
    <w:rsid w:val="00192E64"/>
    <w:rsid w:val="001936B4"/>
    <w:rsid w:val="001938FE"/>
    <w:rsid w:val="00193936"/>
    <w:rsid w:val="00193D3C"/>
    <w:rsid w:val="00193E38"/>
    <w:rsid w:val="00193ECF"/>
    <w:rsid w:val="00193FC4"/>
    <w:rsid w:val="00194401"/>
    <w:rsid w:val="00194440"/>
    <w:rsid w:val="001945E3"/>
    <w:rsid w:val="00195063"/>
    <w:rsid w:val="0019513F"/>
    <w:rsid w:val="00195197"/>
    <w:rsid w:val="00196087"/>
    <w:rsid w:val="00196656"/>
    <w:rsid w:val="001976E3"/>
    <w:rsid w:val="001A066D"/>
    <w:rsid w:val="001A0881"/>
    <w:rsid w:val="001A0C19"/>
    <w:rsid w:val="001A0FFD"/>
    <w:rsid w:val="001A1146"/>
    <w:rsid w:val="001A3791"/>
    <w:rsid w:val="001A3C0A"/>
    <w:rsid w:val="001A3DE6"/>
    <w:rsid w:val="001A4A26"/>
    <w:rsid w:val="001A4BA0"/>
    <w:rsid w:val="001A57AA"/>
    <w:rsid w:val="001A5A53"/>
    <w:rsid w:val="001A645A"/>
    <w:rsid w:val="001A7001"/>
    <w:rsid w:val="001A70AE"/>
    <w:rsid w:val="001A7296"/>
    <w:rsid w:val="001A748B"/>
    <w:rsid w:val="001A76AB"/>
    <w:rsid w:val="001B0608"/>
    <w:rsid w:val="001B061F"/>
    <w:rsid w:val="001B0925"/>
    <w:rsid w:val="001B0BA8"/>
    <w:rsid w:val="001B24F5"/>
    <w:rsid w:val="001B264B"/>
    <w:rsid w:val="001B2E3E"/>
    <w:rsid w:val="001B2E57"/>
    <w:rsid w:val="001B3092"/>
    <w:rsid w:val="001B3240"/>
    <w:rsid w:val="001B3F15"/>
    <w:rsid w:val="001B4ADC"/>
    <w:rsid w:val="001B4DC6"/>
    <w:rsid w:val="001B5170"/>
    <w:rsid w:val="001B571F"/>
    <w:rsid w:val="001B5791"/>
    <w:rsid w:val="001B5F32"/>
    <w:rsid w:val="001B6A3E"/>
    <w:rsid w:val="001B6B28"/>
    <w:rsid w:val="001B74E7"/>
    <w:rsid w:val="001B764B"/>
    <w:rsid w:val="001B7BA8"/>
    <w:rsid w:val="001B7BEE"/>
    <w:rsid w:val="001B7C12"/>
    <w:rsid w:val="001B7C65"/>
    <w:rsid w:val="001C0672"/>
    <w:rsid w:val="001C07DC"/>
    <w:rsid w:val="001C12A5"/>
    <w:rsid w:val="001C1890"/>
    <w:rsid w:val="001C18AA"/>
    <w:rsid w:val="001C1A3C"/>
    <w:rsid w:val="001C1DB4"/>
    <w:rsid w:val="001C2539"/>
    <w:rsid w:val="001C2A87"/>
    <w:rsid w:val="001C2DD0"/>
    <w:rsid w:val="001C2F78"/>
    <w:rsid w:val="001C3799"/>
    <w:rsid w:val="001C47CE"/>
    <w:rsid w:val="001C4F00"/>
    <w:rsid w:val="001C5337"/>
    <w:rsid w:val="001C55C4"/>
    <w:rsid w:val="001C6034"/>
    <w:rsid w:val="001C66C9"/>
    <w:rsid w:val="001C6A87"/>
    <w:rsid w:val="001C6B6C"/>
    <w:rsid w:val="001C794C"/>
    <w:rsid w:val="001C7C54"/>
    <w:rsid w:val="001C7F95"/>
    <w:rsid w:val="001D013C"/>
    <w:rsid w:val="001D072F"/>
    <w:rsid w:val="001D07FD"/>
    <w:rsid w:val="001D0D36"/>
    <w:rsid w:val="001D1730"/>
    <w:rsid w:val="001D1D8B"/>
    <w:rsid w:val="001D1E12"/>
    <w:rsid w:val="001D213C"/>
    <w:rsid w:val="001D265C"/>
    <w:rsid w:val="001D2682"/>
    <w:rsid w:val="001D282A"/>
    <w:rsid w:val="001D2C8E"/>
    <w:rsid w:val="001D2DA2"/>
    <w:rsid w:val="001D2FD5"/>
    <w:rsid w:val="001D32C2"/>
    <w:rsid w:val="001D3704"/>
    <w:rsid w:val="001D371C"/>
    <w:rsid w:val="001D4175"/>
    <w:rsid w:val="001D47DB"/>
    <w:rsid w:val="001D4BFE"/>
    <w:rsid w:val="001D53C4"/>
    <w:rsid w:val="001D5984"/>
    <w:rsid w:val="001D5991"/>
    <w:rsid w:val="001D5E81"/>
    <w:rsid w:val="001D6486"/>
    <w:rsid w:val="001D65A0"/>
    <w:rsid w:val="001D67DE"/>
    <w:rsid w:val="001D6FC1"/>
    <w:rsid w:val="001D775A"/>
    <w:rsid w:val="001D77A9"/>
    <w:rsid w:val="001D7B73"/>
    <w:rsid w:val="001D7E44"/>
    <w:rsid w:val="001E0DDC"/>
    <w:rsid w:val="001E0FCA"/>
    <w:rsid w:val="001E11AB"/>
    <w:rsid w:val="001E12E0"/>
    <w:rsid w:val="001E192D"/>
    <w:rsid w:val="001E1969"/>
    <w:rsid w:val="001E2425"/>
    <w:rsid w:val="001E28BE"/>
    <w:rsid w:val="001E2F49"/>
    <w:rsid w:val="001E3168"/>
    <w:rsid w:val="001E34D9"/>
    <w:rsid w:val="001E45F7"/>
    <w:rsid w:val="001E5318"/>
    <w:rsid w:val="001E53FB"/>
    <w:rsid w:val="001E56A9"/>
    <w:rsid w:val="001E5C09"/>
    <w:rsid w:val="001E6002"/>
    <w:rsid w:val="001E65D5"/>
    <w:rsid w:val="001E6B47"/>
    <w:rsid w:val="001E6B9E"/>
    <w:rsid w:val="001E71D7"/>
    <w:rsid w:val="001F01E2"/>
    <w:rsid w:val="001F028E"/>
    <w:rsid w:val="001F04A4"/>
    <w:rsid w:val="001F0C5E"/>
    <w:rsid w:val="001F109C"/>
    <w:rsid w:val="001F1C8B"/>
    <w:rsid w:val="001F1D02"/>
    <w:rsid w:val="001F215F"/>
    <w:rsid w:val="001F26A9"/>
    <w:rsid w:val="001F279C"/>
    <w:rsid w:val="001F2CF1"/>
    <w:rsid w:val="001F2E98"/>
    <w:rsid w:val="001F3412"/>
    <w:rsid w:val="001F3E18"/>
    <w:rsid w:val="001F4066"/>
    <w:rsid w:val="001F51AC"/>
    <w:rsid w:val="001F526B"/>
    <w:rsid w:val="001F5C5B"/>
    <w:rsid w:val="001F5E00"/>
    <w:rsid w:val="001F7395"/>
    <w:rsid w:val="001F783A"/>
    <w:rsid w:val="001F7DC2"/>
    <w:rsid w:val="0020060B"/>
    <w:rsid w:val="0020067D"/>
    <w:rsid w:val="00200D4A"/>
    <w:rsid w:val="00200DEC"/>
    <w:rsid w:val="00201A17"/>
    <w:rsid w:val="00201A5E"/>
    <w:rsid w:val="00201BCE"/>
    <w:rsid w:val="00201E34"/>
    <w:rsid w:val="002023B8"/>
    <w:rsid w:val="002024BD"/>
    <w:rsid w:val="002029AB"/>
    <w:rsid w:val="00202CEE"/>
    <w:rsid w:val="00203B75"/>
    <w:rsid w:val="00203FD8"/>
    <w:rsid w:val="00204F06"/>
    <w:rsid w:val="00205BD5"/>
    <w:rsid w:val="00205E09"/>
    <w:rsid w:val="0020709C"/>
    <w:rsid w:val="00207DBB"/>
    <w:rsid w:val="00207F36"/>
    <w:rsid w:val="00210095"/>
    <w:rsid w:val="0021041A"/>
    <w:rsid w:val="00210F8B"/>
    <w:rsid w:val="002135D3"/>
    <w:rsid w:val="00213D34"/>
    <w:rsid w:val="0021416D"/>
    <w:rsid w:val="0021426E"/>
    <w:rsid w:val="002143D5"/>
    <w:rsid w:val="00214772"/>
    <w:rsid w:val="002147BF"/>
    <w:rsid w:val="00214DCE"/>
    <w:rsid w:val="002159A3"/>
    <w:rsid w:val="002161B7"/>
    <w:rsid w:val="002161F6"/>
    <w:rsid w:val="00216643"/>
    <w:rsid w:val="00216C53"/>
    <w:rsid w:val="00217AAA"/>
    <w:rsid w:val="00217AE2"/>
    <w:rsid w:val="00217C56"/>
    <w:rsid w:val="00217E99"/>
    <w:rsid w:val="00217FDE"/>
    <w:rsid w:val="002200B9"/>
    <w:rsid w:val="002205C2"/>
    <w:rsid w:val="0022093E"/>
    <w:rsid w:val="00220F23"/>
    <w:rsid w:val="00221700"/>
    <w:rsid w:val="00221825"/>
    <w:rsid w:val="00221AE3"/>
    <w:rsid w:val="0022224C"/>
    <w:rsid w:val="002223AE"/>
    <w:rsid w:val="00223113"/>
    <w:rsid w:val="0022347F"/>
    <w:rsid w:val="002242DD"/>
    <w:rsid w:val="00224EF8"/>
    <w:rsid w:val="00225388"/>
    <w:rsid w:val="002256AA"/>
    <w:rsid w:val="0022652A"/>
    <w:rsid w:val="00226D40"/>
    <w:rsid w:val="00227A5F"/>
    <w:rsid w:val="00227A78"/>
    <w:rsid w:val="002300D2"/>
    <w:rsid w:val="0023069B"/>
    <w:rsid w:val="0023083D"/>
    <w:rsid w:val="00230EAE"/>
    <w:rsid w:val="002310AF"/>
    <w:rsid w:val="002316BE"/>
    <w:rsid w:val="002329E4"/>
    <w:rsid w:val="00232A99"/>
    <w:rsid w:val="002331AD"/>
    <w:rsid w:val="00233659"/>
    <w:rsid w:val="00233A90"/>
    <w:rsid w:val="00233BBE"/>
    <w:rsid w:val="00234D6B"/>
    <w:rsid w:val="002351C6"/>
    <w:rsid w:val="00235500"/>
    <w:rsid w:val="00235D99"/>
    <w:rsid w:val="002360B6"/>
    <w:rsid w:val="00236235"/>
    <w:rsid w:val="00236439"/>
    <w:rsid w:val="00236826"/>
    <w:rsid w:val="00236A03"/>
    <w:rsid w:val="00236F9D"/>
    <w:rsid w:val="00237446"/>
    <w:rsid w:val="0023768D"/>
    <w:rsid w:val="0023773E"/>
    <w:rsid w:val="0024021B"/>
    <w:rsid w:val="0024022C"/>
    <w:rsid w:val="00240372"/>
    <w:rsid w:val="0024064C"/>
    <w:rsid w:val="00240BD4"/>
    <w:rsid w:val="00242060"/>
    <w:rsid w:val="00242D7B"/>
    <w:rsid w:val="002438FC"/>
    <w:rsid w:val="00243B5C"/>
    <w:rsid w:val="00243C4E"/>
    <w:rsid w:val="00243FC5"/>
    <w:rsid w:val="00244744"/>
    <w:rsid w:val="00244AD1"/>
    <w:rsid w:val="002454BA"/>
    <w:rsid w:val="00245703"/>
    <w:rsid w:val="0024580C"/>
    <w:rsid w:val="00245C0B"/>
    <w:rsid w:val="00245EFF"/>
    <w:rsid w:val="00246111"/>
    <w:rsid w:val="00246341"/>
    <w:rsid w:val="00246359"/>
    <w:rsid w:val="0024694E"/>
    <w:rsid w:val="00246D59"/>
    <w:rsid w:val="002477F1"/>
    <w:rsid w:val="00247A88"/>
    <w:rsid w:val="00250242"/>
    <w:rsid w:val="002504E8"/>
    <w:rsid w:val="002507E2"/>
    <w:rsid w:val="00250957"/>
    <w:rsid w:val="0025100A"/>
    <w:rsid w:val="002510D4"/>
    <w:rsid w:val="00251716"/>
    <w:rsid w:val="00251817"/>
    <w:rsid w:val="0025272C"/>
    <w:rsid w:val="00252A9D"/>
    <w:rsid w:val="00252C40"/>
    <w:rsid w:val="00252DE2"/>
    <w:rsid w:val="002536C5"/>
    <w:rsid w:val="00253795"/>
    <w:rsid w:val="00253E5B"/>
    <w:rsid w:val="00254757"/>
    <w:rsid w:val="00254A31"/>
    <w:rsid w:val="00254B4B"/>
    <w:rsid w:val="00254EE7"/>
    <w:rsid w:val="002559CD"/>
    <w:rsid w:val="00255AFD"/>
    <w:rsid w:val="00256243"/>
    <w:rsid w:val="0025654C"/>
    <w:rsid w:val="002571F4"/>
    <w:rsid w:val="002578BC"/>
    <w:rsid w:val="00257A25"/>
    <w:rsid w:val="00257DB8"/>
    <w:rsid w:val="00257EF7"/>
    <w:rsid w:val="002603E1"/>
    <w:rsid w:val="00260F6E"/>
    <w:rsid w:val="00261076"/>
    <w:rsid w:val="00261898"/>
    <w:rsid w:val="0026233F"/>
    <w:rsid w:val="002624F2"/>
    <w:rsid w:val="0026273C"/>
    <w:rsid w:val="002629DE"/>
    <w:rsid w:val="0026304B"/>
    <w:rsid w:val="00263099"/>
    <w:rsid w:val="00263E55"/>
    <w:rsid w:val="0026457F"/>
    <w:rsid w:val="00264C0E"/>
    <w:rsid w:val="00264E4A"/>
    <w:rsid w:val="002652A3"/>
    <w:rsid w:val="0026533A"/>
    <w:rsid w:val="0026580C"/>
    <w:rsid w:val="00265973"/>
    <w:rsid w:val="00265B22"/>
    <w:rsid w:val="00265EED"/>
    <w:rsid w:val="002666C7"/>
    <w:rsid w:val="00266D01"/>
    <w:rsid w:val="00266F8E"/>
    <w:rsid w:val="00267057"/>
    <w:rsid w:val="002673ED"/>
    <w:rsid w:val="00267886"/>
    <w:rsid w:val="0027039D"/>
    <w:rsid w:val="002703D9"/>
    <w:rsid w:val="00270A51"/>
    <w:rsid w:val="002710B5"/>
    <w:rsid w:val="00272010"/>
    <w:rsid w:val="00272746"/>
    <w:rsid w:val="00272771"/>
    <w:rsid w:val="00272E37"/>
    <w:rsid w:val="00273520"/>
    <w:rsid w:val="0027355D"/>
    <w:rsid w:val="002736B7"/>
    <w:rsid w:val="00273A6D"/>
    <w:rsid w:val="00273C6B"/>
    <w:rsid w:val="00273E3A"/>
    <w:rsid w:val="00273F0E"/>
    <w:rsid w:val="00274192"/>
    <w:rsid w:val="00274371"/>
    <w:rsid w:val="002743E6"/>
    <w:rsid w:val="00274C37"/>
    <w:rsid w:val="002756BF"/>
    <w:rsid w:val="0027583F"/>
    <w:rsid w:val="00275964"/>
    <w:rsid w:val="00275ABE"/>
    <w:rsid w:val="00275F6E"/>
    <w:rsid w:val="0027670E"/>
    <w:rsid w:val="00277CD1"/>
    <w:rsid w:val="00277DAA"/>
    <w:rsid w:val="00277ECC"/>
    <w:rsid w:val="00280939"/>
    <w:rsid w:val="00280AD2"/>
    <w:rsid w:val="00280BB7"/>
    <w:rsid w:val="00280C72"/>
    <w:rsid w:val="00280CCB"/>
    <w:rsid w:val="00280D89"/>
    <w:rsid w:val="0028115B"/>
    <w:rsid w:val="00281CB1"/>
    <w:rsid w:val="00281E96"/>
    <w:rsid w:val="00281F24"/>
    <w:rsid w:val="00282251"/>
    <w:rsid w:val="0028249A"/>
    <w:rsid w:val="00282A0A"/>
    <w:rsid w:val="00282ADD"/>
    <w:rsid w:val="00282CDC"/>
    <w:rsid w:val="00282E98"/>
    <w:rsid w:val="00282FC6"/>
    <w:rsid w:val="00283103"/>
    <w:rsid w:val="00283175"/>
    <w:rsid w:val="0028352E"/>
    <w:rsid w:val="002835F9"/>
    <w:rsid w:val="0028393A"/>
    <w:rsid w:val="00283943"/>
    <w:rsid w:val="00283C33"/>
    <w:rsid w:val="002840AB"/>
    <w:rsid w:val="0028502F"/>
    <w:rsid w:val="00285464"/>
    <w:rsid w:val="00285808"/>
    <w:rsid w:val="00285A51"/>
    <w:rsid w:val="00285E4A"/>
    <w:rsid w:val="00286422"/>
    <w:rsid w:val="002864C3"/>
    <w:rsid w:val="00287234"/>
    <w:rsid w:val="00287E49"/>
    <w:rsid w:val="002904CA"/>
    <w:rsid w:val="00291538"/>
    <w:rsid w:val="0029167A"/>
    <w:rsid w:val="00291738"/>
    <w:rsid w:val="002917C7"/>
    <w:rsid w:val="00291868"/>
    <w:rsid w:val="0029189C"/>
    <w:rsid w:val="00291BEC"/>
    <w:rsid w:val="00292325"/>
    <w:rsid w:val="00292665"/>
    <w:rsid w:val="00292969"/>
    <w:rsid w:val="00292E4A"/>
    <w:rsid w:val="00292F86"/>
    <w:rsid w:val="00292FCB"/>
    <w:rsid w:val="002934C5"/>
    <w:rsid w:val="0029351A"/>
    <w:rsid w:val="0029385A"/>
    <w:rsid w:val="00293F22"/>
    <w:rsid w:val="00294BF5"/>
    <w:rsid w:val="00294F33"/>
    <w:rsid w:val="00294F9C"/>
    <w:rsid w:val="0029572A"/>
    <w:rsid w:val="002958C4"/>
    <w:rsid w:val="0029653A"/>
    <w:rsid w:val="00296949"/>
    <w:rsid w:val="00297B36"/>
    <w:rsid w:val="00297C26"/>
    <w:rsid w:val="002A0BC1"/>
    <w:rsid w:val="002A1137"/>
    <w:rsid w:val="002A117D"/>
    <w:rsid w:val="002A158B"/>
    <w:rsid w:val="002A169D"/>
    <w:rsid w:val="002A1975"/>
    <w:rsid w:val="002A20B0"/>
    <w:rsid w:val="002A2D0A"/>
    <w:rsid w:val="002A3293"/>
    <w:rsid w:val="002A3AA3"/>
    <w:rsid w:val="002A3B54"/>
    <w:rsid w:val="002A3D53"/>
    <w:rsid w:val="002A4942"/>
    <w:rsid w:val="002A4AD5"/>
    <w:rsid w:val="002A4CB3"/>
    <w:rsid w:val="002A4ED7"/>
    <w:rsid w:val="002A4F76"/>
    <w:rsid w:val="002A546E"/>
    <w:rsid w:val="002A596B"/>
    <w:rsid w:val="002A5B66"/>
    <w:rsid w:val="002A5CE2"/>
    <w:rsid w:val="002A6702"/>
    <w:rsid w:val="002A7032"/>
    <w:rsid w:val="002A716C"/>
    <w:rsid w:val="002A71EF"/>
    <w:rsid w:val="002A78D1"/>
    <w:rsid w:val="002A7E9A"/>
    <w:rsid w:val="002B0004"/>
    <w:rsid w:val="002B005F"/>
    <w:rsid w:val="002B0487"/>
    <w:rsid w:val="002B0687"/>
    <w:rsid w:val="002B11EC"/>
    <w:rsid w:val="002B12C4"/>
    <w:rsid w:val="002B1496"/>
    <w:rsid w:val="002B1836"/>
    <w:rsid w:val="002B1EE1"/>
    <w:rsid w:val="002B233A"/>
    <w:rsid w:val="002B26DF"/>
    <w:rsid w:val="002B26EC"/>
    <w:rsid w:val="002B2B85"/>
    <w:rsid w:val="002B365C"/>
    <w:rsid w:val="002B3F68"/>
    <w:rsid w:val="002B4588"/>
    <w:rsid w:val="002B47C9"/>
    <w:rsid w:val="002B51A1"/>
    <w:rsid w:val="002B549C"/>
    <w:rsid w:val="002B5BA5"/>
    <w:rsid w:val="002B6021"/>
    <w:rsid w:val="002B6663"/>
    <w:rsid w:val="002B707F"/>
    <w:rsid w:val="002B751C"/>
    <w:rsid w:val="002B76A9"/>
    <w:rsid w:val="002B7BDC"/>
    <w:rsid w:val="002C021E"/>
    <w:rsid w:val="002C03BE"/>
    <w:rsid w:val="002C0457"/>
    <w:rsid w:val="002C048B"/>
    <w:rsid w:val="002C0754"/>
    <w:rsid w:val="002C1D3B"/>
    <w:rsid w:val="002C407F"/>
    <w:rsid w:val="002C436F"/>
    <w:rsid w:val="002C4CDE"/>
    <w:rsid w:val="002C4D58"/>
    <w:rsid w:val="002C4FCA"/>
    <w:rsid w:val="002C52B2"/>
    <w:rsid w:val="002C550A"/>
    <w:rsid w:val="002C5557"/>
    <w:rsid w:val="002C5877"/>
    <w:rsid w:val="002C5988"/>
    <w:rsid w:val="002C5B2C"/>
    <w:rsid w:val="002C5D95"/>
    <w:rsid w:val="002C5E04"/>
    <w:rsid w:val="002C608E"/>
    <w:rsid w:val="002C669C"/>
    <w:rsid w:val="002C6FAC"/>
    <w:rsid w:val="002D0226"/>
    <w:rsid w:val="002D0974"/>
    <w:rsid w:val="002D0B15"/>
    <w:rsid w:val="002D0FEC"/>
    <w:rsid w:val="002D106A"/>
    <w:rsid w:val="002D160E"/>
    <w:rsid w:val="002D1724"/>
    <w:rsid w:val="002D1A55"/>
    <w:rsid w:val="002D225A"/>
    <w:rsid w:val="002D2394"/>
    <w:rsid w:val="002D28AF"/>
    <w:rsid w:val="002D2C39"/>
    <w:rsid w:val="002D3287"/>
    <w:rsid w:val="002D33BE"/>
    <w:rsid w:val="002D353B"/>
    <w:rsid w:val="002D35EA"/>
    <w:rsid w:val="002D35F7"/>
    <w:rsid w:val="002D428A"/>
    <w:rsid w:val="002D492E"/>
    <w:rsid w:val="002D64F6"/>
    <w:rsid w:val="002D6576"/>
    <w:rsid w:val="002D6599"/>
    <w:rsid w:val="002D7428"/>
    <w:rsid w:val="002D7BC2"/>
    <w:rsid w:val="002D7E6F"/>
    <w:rsid w:val="002E0027"/>
    <w:rsid w:val="002E0137"/>
    <w:rsid w:val="002E03BF"/>
    <w:rsid w:val="002E05EA"/>
    <w:rsid w:val="002E127A"/>
    <w:rsid w:val="002E146A"/>
    <w:rsid w:val="002E1B64"/>
    <w:rsid w:val="002E1E00"/>
    <w:rsid w:val="002E1E06"/>
    <w:rsid w:val="002E240A"/>
    <w:rsid w:val="002E2CFE"/>
    <w:rsid w:val="002E301D"/>
    <w:rsid w:val="002E43DB"/>
    <w:rsid w:val="002E4593"/>
    <w:rsid w:val="002E4A3A"/>
    <w:rsid w:val="002E4B75"/>
    <w:rsid w:val="002E4DE0"/>
    <w:rsid w:val="002E63AE"/>
    <w:rsid w:val="002E679E"/>
    <w:rsid w:val="002E6848"/>
    <w:rsid w:val="002E733D"/>
    <w:rsid w:val="002E74FB"/>
    <w:rsid w:val="002E76AC"/>
    <w:rsid w:val="002F0716"/>
    <w:rsid w:val="002F0FAF"/>
    <w:rsid w:val="002F17CD"/>
    <w:rsid w:val="002F36E9"/>
    <w:rsid w:val="002F3EC5"/>
    <w:rsid w:val="002F477E"/>
    <w:rsid w:val="002F4971"/>
    <w:rsid w:val="002F499B"/>
    <w:rsid w:val="002F4D70"/>
    <w:rsid w:val="002F655F"/>
    <w:rsid w:val="002F694A"/>
    <w:rsid w:val="002F6EFB"/>
    <w:rsid w:val="002F7693"/>
    <w:rsid w:val="00300260"/>
    <w:rsid w:val="0030067B"/>
    <w:rsid w:val="003006D7"/>
    <w:rsid w:val="00300811"/>
    <w:rsid w:val="00300EA9"/>
    <w:rsid w:val="00301776"/>
    <w:rsid w:val="00301C20"/>
    <w:rsid w:val="003026DB"/>
    <w:rsid w:val="00302830"/>
    <w:rsid w:val="00302F7A"/>
    <w:rsid w:val="003032FC"/>
    <w:rsid w:val="003035FC"/>
    <w:rsid w:val="0030361B"/>
    <w:rsid w:val="0030390A"/>
    <w:rsid w:val="003039F7"/>
    <w:rsid w:val="00303A7E"/>
    <w:rsid w:val="00303E18"/>
    <w:rsid w:val="0030429C"/>
    <w:rsid w:val="00304AD4"/>
    <w:rsid w:val="00305D9F"/>
    <w:rsid w:val="00306C20"/>
    <w:rsid w:val="00307074"/>
    <w:rsid w:val="0030764F"/>
    <w:rsid w:val="00310462"/>
    <w:rsid w:val="003105E7"/>
    <w:rsid w:val="0031069B"/>
    <w:rsid w:val="003106A3"/>
    <w:rsid w:val="003106F7"/>
    <w:rsid w:val="00310C71"/>
    <w:rsid w:val="0031135B"/>
    <w:rsid w:val="0031149C"/>
    <w:rsid w:val="003115F6"/>
    <w:rsid w:val="00312009"/>
    <w:rsid w:val="00312023"/>
    <w:rsid w:val="003121A0"/>
    <w:rsid w:val="003123E0"/>
    <w:rsid w:val="003123FA"/>
    <w:rsid w:val="00313049"/>
    <w:rsid w:val="0031309E"/>
    <w:rsid w:val="0031318D"/>
    <w:rsid w:val="00313C13"/>
    <w:rsid w:val="00313E04"/>
    <w:rsid w:val="00314135"/>
    <w:rsid w:val="00314441"/>
    <w:rsid w:val="00314B41"/>
    <w:rsid w:val="00314CAD"/>
    <w:rsid w:val="0031555B"/>
    <w:rsid w:val="00315ADA"/>
    <w:rsid w:val="00315B10"/>
    <w:rsid w:val="00315E44"/>
    <w:rsid w:val="00316616"/>
    <w:rsid w:val="003168CF"/>
    <w:rsid w:val="00316C7F"/>
    <w:rsid w:val="00316CA0"/>
    <w:rsid w:val="00316DE0"/>
    <w:rsid w:val="00316FD1"/>
    <w:rsid w:val="003170F9"/>
    <w:rsid w:val="00317395"/>
    <w:rsid w:val="00317422"/>
    <w:rsid w:val="00317423"/>
    <w:rsid w:val="0031783E"/>
    <w:rsid w:val="00320B95"/>
    <w:rsid w:val="0032173B"/>
    <w:rsid w:val="0032262A"/>
    <w:rsid w:val="003226BA"/>
    <w:rsid w:val="0032284D"/>
    <w:rsid w:val="00322ABB"/>
    <w:rsid w:val="00322CD1"/>
    <w:rsid w:val="00323567"/>
    <w:rsid w:val="00323617"/>
    <w:rsid w:val="0032456F"/>
    <w:rsid w:val="00324B25"/>
    <w:rsid w:val="00325F16"/>
    <w:rsid w:val="003268C7"/>
    <w:rsid w:val="003275D8"/>
    <w:rsid w:val="00327B94"/>
    <w:rsid w:val="003301A0"/>
    <w:rsid w:val="00330647"/>
    <w:rsid w:val="00330654"/>
    <w:rsid w:val="003308B1"/>
    <w:rsid w:val="00331287"/>
    <w:rsid w:val="00331476"/>
    <w:rsid w:val="0033162A"/>
    <w:rsid w:val="00331A68"/>
    <w:rsid w:val="00331A89"/>
    <w:rsid w:val="00331F70"/>
    <w:rsid w:val="003321BA"/>
    <w:rsid w:val="00332293"/>
    <w:rsid w:val="00332533"/>
    <w:rsid w:val="003329C8"/>
    <w:rsid w:val="0033394B"/>
    <w:rsid w:val="00333A66"/>
    <w:rsid w:val="0033438B"/>
    <w:rsid w:val="00334886"/>
    <w:rsid w:val="00334954"/>
    <w:rsid w:val="00334C57"/>
    <w:rsid w:val="003354B5"/>
    <w:rsid w:val="00335D8E"/>
    <w:rsid w:val="00335F0D"/>
    <w:rsid w:val="003360BF"/>
    <w:rsid w:val="003364C5"/>
    <w:rsid w:val="00336B90"/>
    <w:rsid w:val="0033712F"/>
    <w:rsid w:val="0033785F"/>
    <w:rsid w:val="0033792F"/>
    <w:rsid w:val="0033798E"/>
    <w:rsid w:val="00337A69"/>
    <w:rsid w:val="00337D07"/>
    <w:rsid w:val="00337D93"/>
    <w:rsid w:val="00337E97"/>
    <w:rsid w:val="00337FFA"/>
    <w:rsid w:val="003407CB"/>
    <w:rsid w:val="00340C25"/>
    <w:rsid w:val="00341940"/>
    <w:rsid w:val="00341AC0"/>
    <w:rsid w:val="00341BE3"/>
    <w:rsid w:val="00341E55"/>
    <w:rsid w:val="0034207B"/>
    <w:rsid w:val="003429D9"/>
    <w:rsid w:val="00342D92"/>
    <w:rsid w:val="00343362"/>
    <w:rsid w:val="0034377D"/>
    <w:rsid w:val="003437D7"/>
    <w:rsid w:val="0034450B"/>
    <w:rsid w:val="00344D6B"/>
    <w:rsid w:val="003450E3"/>
    <w:rsid w:val="0034609A"/>
    <w:rsid w:val="00346182"/>
    <w:rsid w:val="00346F8D"/>
    <w:rsid w:val="003475AA"/>
    <w:rsid w:val="00347871"/>
    <w:rsid w:val="00350419"/>
    <w:rsid w:val="00350818"/>
    <w:rsid w:val="00351341"/>
    <w:rsid w:val="003515F1"/>
    <w:rsid w:val="00351EEC"/>
    <w:rsid w:val="00352237"/>
    <w:rsid w:val="00352700"/>
    <w:rsid w:val="00352851"/>
    <w:rsid w:val="003531C9"/>
    <w:rsid w:val="00353B0E"/>
    <w:rsid w:val="00353D04"/>
    <w:rsid w:val="00354705"/>
    <w:rsid w:val="00354E93"/>
    <w:rsid w:val="00356617"/>
    <w:rsid w:val="0035671C"/>
    <w:rsid w:val="0036049F"/>
    <w:rsid w:val="003604A7"/>
    <w:rsid w:val="00360DEE"/>
    <w:rsid w:val="00360FCF"/>
    <w:rsid w:val="00361495"/>
    <w:rsid w:val="0036168B"/>
    <w:rsid w:val="003623BA"/>
    <w:rsid w:val="003630A2"/>
    <w:rsid w:val="003647EE"/>
    <w:rsid w:val="003648FF"/>
    <w:rsid w:val="00364EDA"/>
    <w:rsid w:val="00364FEF"/>
    <w:rsid w:val="003655ED"/>
    <w:rsid w:val="0036633F"/>
    <w:rsid w:val="0036687D"/>
    <w:rsid w:val="00366C29"/>
    <w:rsid w:val="00367A23"/>
    <w:rsid w:val="003706CE"/>
    <w:rsid w:val="00371798"/>
    <w:rsid w:val="0037206D"/>
    <w:rsid w:val="003726C1"/>
    <w:rsid w:val="00372A96"/>
    <w:rsid w:val="003731EF"/>
    <w:rsid w:val="0037439E"/>
    <w:rsid w:val="00375615"/>
    <w:rsid w:val="00375FCF"/>
    <w:rsid w:val="00376005"/>
    <w:rsid w:val="0037639C"/>
    <w:rsid w:val="003764A2"/>
    <w:rsid w:val="00376F59"/>
    <w:rsid w:val="00377043"/>
    <w:rsid w:val="0037730D"/>
    <w:rsid w:val="0037762D"/>
    <w:rsid w:val="00380D45"/>
    <w:rsid w:val="00381135"/>
    <w:rsid w:val="0038134F"/>
    <w:rsid w:val="0038142B"/>
    <w:rsid w:val="00381A3A"/>
    <w:rsid w:val="00381A94"/>
    <w:rsid w:val="00381FB2"/>
    <w:rsid w:val="00382370"/>
    <w:rsid w:val="00382CA4"/>
    <w:rsid w:val="00383540"/>
    <w:rsid w:val="00383615"/>
    <w:rsid w:val="003837A2"/>
    <w:rsid w:val="00383D1A"/>
    <w:rsid w:val="00384807"/>
    <w:rsid w:val="00384AA2"/>
    <w:rsid w:val="00384DE6"/>
    <w:rsid w:val="0038528C"/>
    <w:rsid w:val="00385778"/>
    <w:rsid w:val="003857A1"/>
    <w:rsid w:val="00386155"/>
    <w:rsid w:val="003878F9"/>
    <w:rsid w:val="003879E4"/>
    <w:rsid w:val="00387E77"/>
    <w:rsid w:val="00387F5C"/>
    <w:rsid w:val="0039074D"/>
    <w:rsid w:val="003907DA"/>
    <w:rsid w:val="00390F49"/>
    <w:rsid w:val="00391298"/>
    <w:rsid w:val="00391825"/>
    <w:rsid w:val="00391AF9"/>
    <w:rsid w:val="003920FF"/>
    <w:rsid w:val="00392566"/>
    <w:rsid w:val="003925D7"/>
    <w:rsid w:val="00392633"/>
    <w:rsid w:val="00392803"/>
    <w:rsid w:val="00392A24"/>
    <w:rsid w:val="00393243"/>
    <w:rsid w:val="00393EEF"/>
    <w:rsid w:val="00393FFC"/>
    <w:rsid w:val="00394120"/>
    <w:rsid w:val="003944A2"/>
    <w:rsid w:val="00394EA6"/>
    <w:rsid w:val="0039537B"/>
    <w:rsid w:val="0039538C"/>
    <w:rsid w:val="00395460"/>
    <w:rsid w:val="0039592F"/>
    <w:rsid w:val="00395A39"/>
    <w:rsid w:val="00395D4E"/>
    <w:rsid w:val="0039621D"/>
    <w:rsid w:val="003964CA"/>
    <w:rsid w:val="003979A2"/>
    <w:rsid w:val="00397F8E"/>
    <w:rsid w:val="003A0789"/>
    <w:rsid w:val="003A09B5"/>
    <w:rsid w:val="003A1B88"/>
    <w:rsid w:val="003A2398"/>
    <w:rsid w:val="003A2816"/>
    <w:rsid w:val="003A2A9E"/>
    <w:rsid w:val="003A2E2C"/>
    <w:rsid w:val="003A341B"/>
    <w:rsid w:val="003A47BD"/>
    <w:rsid w:val="003A4A55"/>
    <w:rsid w:val="003A514E"/>
    <w:rsid w:val="003A5796"/>
    <w:rsid w:val="003A5A3C"/>
    <w:rsid w:val="003A5AB5"/>
    <w:rsid w:val="003A60F9"/>
    <w:rsid w:val="003A6335"/>
    <w:rsid w:val="003A641F"/>
    <w:rsid w:val="003A7FCB"/>
    <w:rsid w:val="003B021B"/>
    <w:rsid w:val="003B03F0"/>
    <w:rsid w:val="003B046B"/>
    <w:rsid w:val="003B0A97"/>
    <w:rsid w:val="003B0AFF"/>
    <w:rsid w:val="003B10C6"/>
    <w:rsid w:val="003B291B"/>
    <w:rsid w:val="003B3515"/>
    <w:rsid w:val="003B3A9C"/>
    <w:rsid w:val="003B3C8D"/>
    <w:rsid w:val="003B3D29"/>
    <w:rsid w:val="003B4AD7"/>
    <w:rsid w:val="003B523A"/>
    <w:rsid w:val="003B5346"/>
    <w:rsid w:val="003B5E6A"/>
    <w:rsid w:val="003B63FE"/>
    <w:rsid w:val="003B6BAD"/>
    <w:rsid w:val="003B72AF"/>
    <w:rsid w:val="003B792F"/>
    <w:rsid w:val="003B7B97"/>
    <w:rsid w:val="003B7D53"/>
    <w:rsid w:val="003C0415"/>
    <w:rsid w:val="003C0530"/>
    <w:rsid w:val="003C0963"/>
    <w:rsid w:val="003C0BC4"/>
    <w:rsid w:val="003C1A46"/>
    <w:rsid w:val="003C1F50"/>
    <w:rsid w:val="003C1F76"/>
    <w:rsid w:val="003C2C2D"/>
    <w:rsid w:val="003C2E20"/>
    <w:rsid w:val="003C3DB9"/>
    <w:rsid w:val="003C40B8"/>
    <w:rsid w:val="003C44DF"/>
    <w:rsid w:val="003C4519"/>
    <w:rsid w:val="003C468C"/>
    <w:rsid w:val="003C4E91"/>
    <w:rsid w:val="003C5CFF"/>
    <w:rsid w:val="003C5ED4"/>
    <w:rsid w:val="003C5EE2"/>
    <w:rsid w:val="003C693F"/>
    <w:rsid w:val="003C6EC7"/>
    <w:rsid w:val="003C7FC8"/>
    <w:rsid w:val="003D0DA0"/>
    <w:rsid w:val="003D13A4"/>
    <w:rsid w:val="003D1462"/>
    <w:rsid w:val="003D1E0A"/>
    <w:rsid w:val="003D2149"/>
    <w:rsid w:val="003D2758"/>
    <w:rsid w:val="003D2DC1"/>
    <w:rsid w:val="003D398E"/>
    <w:rsid w:val="003D451A"/>
    <w:rsid w:val="003D455F"/>
    <w:rsid w:val="003D5458"/>
    <w:rsid w:val="003D5E12"/>
    <w:rsid w:val="003D60D6"/>
    <w:rsid w:val="003D620A"/>
    <w:rsid w:val="003D62AB"/>
    <w:rsid w:val="003D6545"/>
    <w:rsid w:val="003D6920"/>
    <w:rsid w:val="003D6FD3"/>
    <w:rsid w:val="003D7043"/>
    <w:rsid w:val="003D7169"/>
    <w:rsid w:val="003D7277"/>
    <w:rsid w:val="003D72CE"/>
    <w:rsid w:val="003D76F4"/>
    <w:rsid w:val="003D771F"/>
    <w:rsid w:val="003D7B9D"/>
    <w:rsid w:val="003D7F59"/>
    <w:rsid w:val="003E0532"/>
    <w:rsid w:val="003E0A8A"/>
    <w:rsid w:val="003E0BAA"/>
    <w:rsid w:val="003E0BDB"/>
    <w:rsid w:val="003E1682"/>
    <w:rsid w:val="003E1EE8"/>
    <w:rsid w:val="003E2705"/>
    <w:rsid w:val="003E2B0F"/>
    <w:rsid w:val="003E3047"/>
    <w:rsid w:val="003E3828"/>
    <w:rsid w:val="003E3881"/>
    <w:rsid w:val="003E4DAD"/>
    <w:rsid w:val="003E602E"/>
    <w:rsid w:val="003E67DD"/>
    <w:rsid w:val="003E6935"/>
    <w:rsid w:val="003E6F65"/>
    <w:rsid w:val="003E7005"/>
    <w:rsid w:val="003E7420"/>
    <w:rsid w:val="003E763B"/>
    <w:rsid w:val="003E7EEA"/>
    <w:rsid w:val="003F05D0"/>
    <w:rsid w:val="003F06D6"/>
    <w:rsid w:val="003F1174"/>
    <w:rsid w:val="003F1AC1"/>
    <w:rsid w:val="003F1FEC"/>
    <w:rsid w:val="003F2079"/>
    <w:rsid w:val="003F22A0"/>
    <w:rsid w:val="003F22B4"/>
    <w:rsid w:val="003F2780"/>
    <w:rsid w:val="003F2E51"/>
    <w:rsid w:val="003F2E90"/>
    <w:rsid w:val="003F3106"/>
    <w:rsid w:val="003F3516"/>
    <w:rsid w:val="003F399F"/>
    <w:rsid w:val="003F40D9"/>
    <w:rsid w:val="003F42E2"/>
    <w:rsid w:val="003F4480"/>
    <w:rsid w:val="003F4582"/>
    <w:rsid w:val="003F45E1"/>
    <w:rsid w:val="003F4C61"/>
    <w:rsid w:val="003F52B6"/>
    <w:rsid w:val="003F6B31"/>
    <w:rsid w:val="003F707E"/>
    <w:rsid w:val="00401820"/>
    <w:rsid w:val="00401A95"/>
    <w:rsid w:val="00401DB7"/>
    <w:rsid w:val="00401DF6"/>
    <w:rsid w:val="00402072"/>
    <w:rsid w:val="00402A4A"/>
    <w:rsid w:val="00402AE9"/>
    <w:rsid w:val="00402D25"/>
    <w:rsid w:val="004030E8"/>
    <w:rsid w:val="00405354"/>
    <w:rsid w:val="00405A7B"/>
    <w:rsid w:val="00405DD0"/>
    <w:rsid w:val="004061DA"/>
    <w:rsid w:val="004064E7"/>
    <w:rsid w:val="004066D2"/>
    <w:rsid w:val="004066FB"/>
    <w:rsid w:val="00407B76"/>
    <w:rsid w:val="004104F3"/>
    <w:rsid w:val="0041060C"/>
    <w:rsid w:val="00411433"/>
    <w:rsid w:val="00411515"/>
    <w:rsid w:val="00411CA3"/>
    <w:rsid w:val="00411CA7"/>
    <w:rsid w:val="00411CB0"/>
    <w:rsid w:val="00411D26"/>
    <w:rsid w:val="00412110"/>
    <w:rsid w:val="0041289F"/>
    <w:rsid w:val="00412C1F"/>
    <w:rsid w:val="0041301E"/>
    <w:rsid w:val="004145CE"/>
    <w:rsid w:val="0041485D"/>
    <w:rsid w:val="00414919"/>
    <w:rsid w:val="0041492A"/>
    <w:rsid w:val="0041498A"/>
    <w:rsid w:val="00415682"/>
    <w:rsid w:val="004159F4"/>
    <w:rsid w:val="00415AA7"/>
    <w:rsid w:val="00415AD3"/>
    <w:rsid w:val="00415E6A"/>
    <w:rsid w:val="00416177"/>
    <w:rsid w:val="0041627D"/>
    <w:rsid w:val="00416662"/>
    <w:rsid w:val="004168F1"/>
    <w:rsid w:val="00416F54"/>
    <w:rsid w:val="00417807"/>
    <w:rsid w:val="00420976"/>
    <w:rsid w:val="00423925"/>
    <w:rsid w:val="00424197"/>
    <w:rsid w:val="00424371"/>
    <w:rsid w:val="004243B1"/>
    <w:rsid w:val="00424478"/>
    <w:rsid w:val="00424A56"/>
    <w:rsid w:val="00424C6A"/>
    <w:rsid w:val="0042503B"/>
    <w:rsid w:val="004254D1"/>
    <w:rsid w:val="0042578F"/>
    <w:rsid w:val="00425804"/>
    <w:rsid w:val="00425BE7"/>
    <w:rsid w:val="00425CA2"/>
    <w:rsid w:val="00425F13"/>
    <w:rsid w:val="00426035"/>
    <w:rsid w:val="004267CC"/>
    <w:rsid w:val="00426B9E"/>
    <w:rsid w:val="004273C1"/>
    <w:rsid w:val="00430240"/>
    <w:rsid w:val="00430393"/>
    <w:rsid w:val="00430829"/>
    <w:rsid w:val="00430DF1"/>
    <w:rsid w:val="00431410"/>
    <w:rsid w:val="00431C25"/>
    <w:rsid w:val="00431E1C"/>
    <w:rsid w:val="00432041"/>
    <w:rsid w:val="004322FF"/>
    <w:rsid w:val="004323C4"/>
    <w:rsid w:val="004337D8"/>
    <w:rsid w:val="00433938"/>
    <w:rsid w:val="00433D45"/>
    <w:rsid w:val="00434433"/>
    <w:rsid w:val="00435DDF"/>
    <w:rsid w:val="0043615B"/>
    <w:rsid w:val="00436CC5"/>
    <w:rsid w:val="00437D29"/>
    <w:rsid w:val="00440142"/>
    <w:rsid w:val="004407D8"/>
    <w:rsid w:val="0044135C"/>
    <w:rsid w:val="0044149F"/>
    <w:rsid w:val="004415FD"/>
    <w:rsid w:val="0044160D"/>
    <w:rsid w:val="00441929"/>
    <w:rsid w:val="00441A6D"/>
    <w:rsid w:val="00441B36"/>
    <w:rsid w:val="0044278A"/>
    <w:rsid w:val="004427EF"/>
    <w:rsid w:val="00442E7C"/>
    <w:rsid w:val="00443212"/>
    <w:rsid w:val="00443AD6"/>
    <w:rsid w:val="00443B30"/>
    <w:rsid w:val="00443D6B"/>
    <w:rsid w:val="004440F5"/>
    <w:rsid w:val="00444168"/>
    <w:rsid w:val="004445FB"/>
    <w:rsid w:val="00444604"/>
    <w:rsid w:val="004447A8"/>
    <w:rsid w:val="00445246"/>
    <w:rsid w:val="0044530B"/>
    <w:rsid w:val="00446287"/>
    <w:rsid w:val="0044662F"/>
    <w:rsid w:val="00446A97"/>
    <w:rsid w:val="00447061"/>
    <w:rsid w:val="0045036A"/>
    <w:rsid w:val="00450A75"/>
    <w:rsid w:val="00450DFE"/>
    <w:rsid w:val="0045117F"/>
    <w:rsid w:val="0045141B"/>
    <w:rsid w:val="00451627"/>
    <w:rsid w:val="00451EF7"/>
    <w:rsid w:val="00451FF8"/>
    <w:rsid w:val="0045273B"/>
    <w:rsid w:val="0045309B"/>
    <w:rsid w:val="00453532"/>
    <w:rsid w:val="00453DD2"/>
    <w:rsid w:val="00453F53"/>
    <w:rsid w:val="0045474A"/>
    <w:rsid w:val="0045492F"/>
    <w:rsid w:val="004550BC"/>
    <w:rsid w:val="00455204"/>
    <w:rsid w:val="004558E1"/>
    <w:rsid w:val="00455CB8"/>
    <w:rsid w:val="00455CD4"/>
    <w:rsid w:val="0045604A"/>
    <w:rsid w:val="00456A59"/>
    <w:rsid w:val="0045792B"/>
    <w:rsid w:val="0045795C"/>
    <w:rsid w:val="00457B22"/>
    <w:rsid w:val="004602F7"/>
    <w:rsid w:val="00461326"/>
    <w:rsid w:val="00461DBC"/>
    <w:rsid w:val="00462130"/>
    <w:rsid w:val="004624A5"/>
    <w:rsid w:val="0046259B"/>
    <w:rsid w:val="00462F1F"/>
    <w:rsid w:val="00463009"/>
    <w:rsid w:val="004634F9"/>
    <w:rsid w:val="00463BD6"/>
    <w:rsid w:val="00463C81"/>
    <w:rsid w:val="0046433E"/>
    <w:rsid w:val="00464493"/>
    <w:rsid w:val="00464496"/>
    <w:rsid w:val="0046470E"/>
    <w:rsid w:val="00465274"/>
    <w:rsid w:val="00465390"/>
    <w:rsid w:val="004654A3"/>
    <w:rsid w:val="0046583C"/>
    <w:rsid w:val="00466607"/>
    <w:rsid w:val="00466B36"/>
    <w:rsid w:val="00466CD0"/>
    <w:rsid w:val="00466F6E"/>
    <w:rsid w:val="00466FEA"/>
    <w:rsid w:val="004702DF"/>
    <w:rsid w:val="004708ED"/>
    <w:rsid w:val="004709A0"/>
    <w:rsid w:val="00470C95"/>
    <w:rsid w:val="00470CA3"/>
    <w:rsid w:val="00471081"/>
    <w:rsid w:val="004710E9"/>
    <w:rsid w:val="0047176A"/>
    <w:rsid w:val="00471BA6"/>
    <w:rsid w:val="004721FF"/>
    <w:rsid w:val="004730CE"/>
    <w:rsid w:val="00473299"/>
    <w:rsid w:val="00473367"/>
    <w:rsid w:val="00473737"/>
    <w:rsid w:val="004739F1"/>
    <w:rsid w:val="00473F39"/>
    <w:rsid w:val="00474186"/>
    <w:rsid w:val="004749C2"/>
    <w:rsid w:val="00474C7F"/>
    <w:rsid w:val="00475DB4"/>
    <w:rsid w:val="004761F0"/>
    <w:rsid w:val="004762E2"/>
    <w:rsid w:val="00476F98"/>
    <w:rsid w:val="00477672"/>
    <w:rsid w:val="0047780D"/>
    <w:rsid w:val="00477CAD"/>
    <w:rsid w:val="00480325"/>
    <w:rsid w:val="004803D1"/>
    <w:rsid w:val="004808A7"/>
    <w:rsid w:val="004808EA"/>
    <w:rsid w:val="0048099B"/>
    <w:rsid w:val="00481806"/>
    <w:rsid w:val="00481AED"/>
    <w:rsid w:val="00482D8B"/>
    <w:rsid w:val="00482ECD"/>
    <w:rsid w:val="00483431"/>
    <w:rsid w:val="00483911"/>
    <w:rsid w:val="004853AF"/>
    <w:rsid w:val="0048540A"/>
    <w:rsid w:val="004866DF"/>
    <w:rsid w:val="00486756"/>
    <w:rsid w:val="00486D1F"/>
    <w:rsid w:val="00486F8E"/>
    <w:rsid w:val="0048767A"/>
    <w:rsid w:val="004878B6"/>
    <w:rsid w:val="00487FED"/>
    <w:rsid w:val="00490378"/>
    <w:rsid w:val="00490384"/>
    <w:rsid w:val="00490CE2"/>
    <w:rsid w:val="00491055"/>
    <w:rsid w:val="0049200A"/>
    <w:rsid w:val="004926CD"/>
    <w:rsid w:val="0049293C"/>
    <w:rsid w:val="00492BC7"/>
    <w:rsid w:val="004930DC"/>
    <w:rsid w:val="00493403"/>
    <w:rsid w:val="00493523"/>
    <w:rsid w:val="00493E62"/>
    <w:rsid w:val="00493EE6"/>
    <w:rsid w:val="00494BB7"/>
    <w:rsid w:val="00494E3E"/>
    <w:rsid w:val="00494E73"/>
    <w:rsid w:val="0049505A"/>
    <w:rsid w:val="0049576A"/>
    <w:rsid w:val="0049635A"/>
    <w:rsid w:val="00497089"/>
    <w:rsid w:val="0049743F"/>
    <w:rsid w:val="004976BD"/>
    <w:rsid w:val="0049787B"/>
    <w:rsid w:val="004979CF"/>
    <w:rsid w:val="00497A65"/>
    <w:rsid w:val="004A0691"/>
    <w:rsid w:val="004A083B"/>
    <w:rsid w:val="004A0D69"/>
    <w:rsid w:val="004A15AE"/>
    <w:rsid w:val="004A1FE5"/>
    <w:rsid w:val="004A1FFE"/>
    <w:rsid w:val="004A2461"/>
    <w:rsid w:val="004A2955"/>
    <w:rsid w:val="004A2D31"/>
    <w:rsid w:val="004A343F"/>
    <w:rsid w:val="004A3584"/>
    <w:rsid w:val="004A3A41"/>
    <w:rsid w:val="004A3C10"/>
    <w:rsid w:val="004A3FCF"/>
    <w:rsid w:val="004A46E0"/>
    <w:rsid w:val="004A4AA9"/>
    <w:rsid w:val="004A4C5E"/>
    <w:rsid w:val="004A4E8D"/>
    <w:rsid w:val="004A52C3"/>
    <w:rsid w:val="004A5323"/>
    <w:rsid w:val="004A56AD"/>
    <w:rsid w:val="004A5918"/>
    <w:rsid w:val="004A5CAE"/>
    <w:rsid w:val="004A652C"/>
    <w:rsid w:val="004A66B3"/>
    <w:rsid w:val="004A69DF"/>
    <w:rsid w:val="004A6C50"/>
    <w:rsid w:val="004A7031"/>
    <w:rsid w:val="004A722C"/>
    <w:rsid w:val="004A79D5"/>
    <w:rsid w:val="004B064A"/>
    <w:rsid w:val="004B09E1"/>
    <w:rsid w:val="004B0D93"/>
    <w:rsid w:val="004B0DAA"/>
    <w:rsid w:val="004B11F4"/>
    <w:rsid w:val="004B20C1"/>
    <w:rsid w:val="004B231F"/>
    <w:rsid w:val="004B2BD4"/>
    <w:rsid w:val="004B2D74"/>
    <w:rsid w:val="004B303B"/>
    <w:rsid w:val="004B3392"/>
    <w:rsid w:val="004B3398"/>
    <w:rsid w:val="004B432F"/>
    <w:rsid w:val="004B491F"/>
    <w:rsid w:val="004B497D"/>
    <w:rsid w:val="004B4C26"/>
    <w:rsid w:val="004B4DE3"/>
    <w:rsid w:val="004B5571"/>
    <w:rsid w:val="004B68F1"/>
    <w:rsid w:val="004B716B"/>
    <w:rsid w:val="004B7674"/>
    <w:rsid w:val="004B76B6"/>
    <w:rsid w:val="004B7872"/>
    <w:rsid w:val="004B789D"/>
    <w:rsid w:val="004B7D8B"/>
    <w:rsid w:val="004B7E52"/>
    <w:rsid w:val="004B7FB6"/>
    <w:rsid w:val="004C0086"/>
    <w:rsid w:val="004C091A"/>
    <w:rsid w:val="004C09A3"/>
    <w:rsid w:val="004C0B76"/>
    <w:rsid w:val="004C100B"/>
    <w:rsid w:val="004C187A"/>
    <w:rsid w:val="004C19E7"/>
    <w:rsid w:val="004C25F4"/>
    <w:rsid w:val="004C2B8D"/>
    <w:rsid w:val="004C2DEC"/>
    <w:rsid w:val="004C38CB"/>
    <w:rsid w:val="004C41D5"/>
    <w:rsid w:val="004C4B2D"/>
    <w:rsid w:val="004C5EBB"/>
    <w:rsid w:val="004C725C"/>
    <w:rsid w:val="004C7BA4"/>
    <w:rsid w:val="004D004F"/>
    <w:rsid w:val="004D02CB"/>
    <w:rsid w:val="004D039C"/>
    <w:rsid w:val="004D081B"/>
    <w:rsid w:val="004D1219"/>
    <w:rsid w:val="004D188B"/>
    <w:rsid w:val="004D2060"/>
    <w:rsid w:val="004D251E"/>
    <w:rsid w:val="004D2620"/>
    <w:rsid w:val="004D27C2"/>
    <w:rsid w:val="004D28B9"/>
    <w:rsid w:val="004D2DB4"/>
    <w:rsid w:val="004D2EED"/>
    <w:rsid w:val="004D3217"/>
    <w:rsid w:val="004D49E4"/>
    <w:rsid w:val="004D4C23"/>
    <w:rsid w:val="004D5044"/>
    <w:rsid w:val="004D5280"/>
    <w:rsid w:val="004D553E"/>
    <w:rsid w:val="004D5D8B"/>
    <w:rsid w:val="004D640D"/>
    <w:rsid w:val="004D67BA"/>
    <w:rsid w:val="004D6B83"/>
    <w:rsid w:val="004D79D6"/>
    <w:rsid w:val="004E074D"/>
    <w:rsid w:val="004E0876"/>
    <w:rsid w:val="004E0920"/>
    <w:rsid w:val="004E0ABB"/>
    <w:rsid w:val="004E1738"/>
    <w:rsid w:val="004E1A17"/>
    <w:rsid w:val="004E1DFC"/>
    <w:rsid w:val="004E1F15"/>
    <w:rsid w:val="004E25B4"/>
    <w:rsid w:val="004E275D"/>
    <w:rsid w:val="004E2C5E"/>
    <w:rsid w:val="004E331C"/>
    <w:rsid w:val="004E3491"/>
    <w:rsid w:val="004E4C5B"/>
    <w:rsid w:val="004E4FCE"/>
    <w:rsid w:val="004E5280"/>
    <w:rsid w:val="004E54E7"/>
    <w:rsid w:val="004E597D"/>
    <w:rsid w:val="004E5FB7"/>
    <w:rsid w:val="004E604F"/>
    <w:rsid w:val="004E62F6"/>
    <w:rsid w:val="004E6702"/>
    <w:rsid w:val="004E6DB9"/>
    <w:rsid w:val="004E73CA"/>
    <w:rsid w:val="004E75E5"/>
    <w:rsid w:val="004E7C76"/>
    <w:rsid w:val="004F04E2"/>
    <w:rsid w:val="004F0D88"/>
    <w:rsid w:val="004F0E97"/>
    <w:rsid w:val="004F106E"/>
    <w:rsid w:val="004F10A9"/>
    <w:rsid w:val="004F10BF"/>
    <w:rsid w:val="004F122F"/>
    <w:rsid w:val="004F1D10"/>
    <w:rsid w:val="004F208D"/>
    <w:rsid w:val="004F3534"/>
    <w:rsid w:val="004F3669"/>
    <w:rsid w:val="004F3DEB"/>
    <w:rsid w:val="004F40DA"/>
    <w:rsid w:val="004F4469"/>
    <w:rsid w:val="004F5897"/>
    <w:rsid w:val="004F5D8E"/>
    <w:rsid w:val="004F656F"/>
    <w:rsid w:val="004F6700"/>
    <w:rsid w:val="004F685D"/>
    <w:rsid w:val="004F6F46"/>
    <w:rsid w:val="004F77A8"/>
    <w:rsid w:val="004F7E14"/>
    <w:rsid w:val="004F7EA9"/>
    <w:rsid w:val="00500792"/>
    <w:rsid w:val="00500B01"/>
    <w:rsid w:val="00500C3F"/>
    <w:rsid w:val="00500CF1"/>
    <w:rsid w:val="00500DE9"/>
    <w:rsid w:val="00500EA6"/>
    <w:rsid w:val="00501264"/>
    <w:rsid w:val="00501282"/>
    <w:rsid w:val="00501567"/>
    <w:rsid w:val="00501679"/>
    <w:rsid w:val="0050339D"/>
    <w:rsid w:val="005037D9"/>
    <w:rsid w:val="00504431"/>
    <w:rsid w:val="00504D4B"/>
    <w:rsid w:val="00504D98"/>
    <w:rsid w:val="00505449"/>
    <w:rsid w:val="00505EE3"/>
    <w:rsid w:val="005061B2"/>
    <w:rsid w:val="005062E6"/>
    <w:rsid w:val="00506EA9"/>
    <w:rsid w:val="00506FB5"/>
    <w:rsid w:val="0050752F"/>
    <w:rsid w:val="00507D72"/>
    <w:rsid w:val="00510814"/>
    <w:rsid w:val="005109D4"/>
    <w:rsid w:val="00510B57"/>
    <w:rsid w:val="00510CD2"/>
    <w:rsid w:val="0051131A"/>
    <w:rsid w:val="00511517"/>
    <w:rsid w:val="00512236"/>
    <w:rsid w:val="005123A4"/>
    <w:rsid w:val="0051253C"/>
    <w:rsid w:val="005126D6"/>
    <w:rsid w:val="005133D8"/>
    <w:rsid w:val="005136F1"/>
    <w:rsid w:val="005139FC"/>
    <w:rsid w:val="0051432C"/>
    <w:rsid w:val="005148D5"/>
    <w:rsid w:val="00514ED7"/>
    <w:rsid w:val="005157BF"/>
    <w:rsid w:val="00515DE4"/>
    <w:rsid w:val="00516886"/>
    <w:rsid w:val="00516F6F"/>
    <w:rsid w:val="0051745A"/>
    <w:rsid w:val="00517B4B"/>
    <w:rsid w:val="00517CE9"/>
    <w:rsid w:val="00520486"/>
    <w:rsid w:val="005206E8"/>
    <w:rsid w:val="00521BA0"/>
    <w:rsid w:val="0052327E"/>
    <w:rsid w:val="00523F29"/>
    <w:rsid w:val="0052407A"/>
    <w:rsid w:val="00524EEF"/>
    <w:rsid w:val="00524EFF"/>
    <w:rsid w:val="0052502E"/>
    <w:rsid w:val="00525C15"/>
    <w:rsid w:val="00525E33"/>
    <w:rsid w:val="00525EEE"/>
    <w:rsid w:val="0052642C"/>
    <w:rsid w:val="0052660F"/>
    <w:rsid w:val="005267CD"/>
    <w:rsid w:val="00526982"/>
    <w:rsid w:val="00526CEC"/>
    <w:rsid w:val="005270A5"/>
    <w:rsid w:val="005276CA"/>
    <w:rsid w:val="005278E8"/>
    <w:rsid w:val="0052796C"/>
    <w:rsid w:val="00527A93"/>
    <w:rsid w:val="005302FA"/>
    <w:rsid w:val="005305E3"/>
    <w:rsid w:val="00530672"/>
    <w:rsid w:val="0053079D"/>
    <w:rsid w:val="005319CF"/>
    <w:rsid w:val="00531E7C"/>
    <w:rsid w:val="00532201"/>
    <w:rsid w:val="0053226E"/>
    <w:rsid w:val="005328A7"/>
    <w:rsid w:val="00532F48"/>
    <w:rsid w:val="005334A8"/>
    <w:rsid w:val="00533A0E"/>
    <w:rsid w:val="00533C38"/>
    <w:rsid w:val="00533E7B"/>
    <w:rsid w:val="005340BB"/>
    <w:rsid w:val="0053449B"/>
    <w:rsid w:val="00534844"/>
    <w:rsid w:val="00534A9F"/>
    <w:rsid w:val="00534BB3"/>
    <w:rsid w:val="00534BED"/>
    <w:rsid w:val="00534C28"/>
    <w:rsid w:val="005350C2"/>
    <w:rsid w:val="0053536E"/>
    <w:rsid w:val="00535C07"/>
    <w:rsid w:val="00535F43"/>
    <w:rsid w:val="005361BD"/>
    <w:rsid w:val="005365B7"/>
    <w:rsid w:val="005366D3"/>
    <w:rsid w:val="00537D99"/>
    <w:rsid w:val="00540EC0"/>
    <w:rsid w:val="005410CD"/>
    <w:rsid w:val="005414C2"/>
    <w:rsid w:val="00541A1F"/>
    <w:rsid w:val="00541CC4"/>
    <w:rsid w:val="00542355"/>
    <w:rsid w:val="00542375"/>
    <w:rsid w:val="00542A3A"/>
    <w:rsid w:val="00542C6C"/>
    <w:rsid w:val="00542D4B"/>
    <w:rsid w:val="00542DBD"/>
    <w:rsid w:val="00542E86"/>
    <w:rsid w:val="005433FC"/>
    <w:rsid w:val="00543C3F"/>
    <w:rsid w:val="005441CE"/>
    <w:rsid w:val="005441E2"/>
    <w:rsid w:val="0054442A"/>
    <w:rsid w:val="00544437"/>
    <w:rsid w:val="00544641"/>
    <w:rsid w:val="005446BF"/>
    <w:rsid w:val="00545887"/>
    <w:rsid w:val="0054589C"/>
    <w:rsid w:val="00545A38"/>
    <w:rsid w:val="00545AEF"/>
    <w:rsid w:val="00545BAE"/>
    <w:rsid w:val="00545C9A"/>
    <w:rsid w:val="00545EBA"/>
    <w:rsid w:val="00545F29"/>
    <w:rsid w:val="005466A9"/>
    <w:rsid w:val="00546CFC"/>
    <w:rsid w:val="00546E06"/>
    <w:rsid w:val="00547163"/>
    <w:rsid w:val="0054728E"/>
    <w:rsid w:val="00547671"/>
    <w:rsid w:val="00547CB6"/>
    <w:rsid w:val="00550025"/>
    <w:rsid w:val="00550758"/>
    <w:rsid w:val="005509DE"/>
    <w:rsid w:val="005514EF"/>
    <w:rsid w:val="005517BD"/>
    <w:rsid w:val="00551E75"/>
    <w:rsid w:val="0055261F"/>
    <w:rsid w:val="00552C6D"/>
    <w:rsid w:val="005530D8"/>
    <w:rsid w:val="0055351A"/>
    <w:rsid w:val="00553769"/>
    <w:rsid w:val="005537FB"/>
    <w:rsid w:val="00553D96"/>
    <w:rsid w:val="005541DD"/>
    <w:rsid w:val="00554364"/>
    <w:rsid w:val="0055455C"/>
    <w:rsid w:val="005546BD"/>
    <w:rsid w:val="0055474F"/>
    <w:rsid w:val="00554AB7"/>
    <w:rsid w:val="00554F1E"/>
    <w:rsid w:val="0055552E"/>
    <w:rsid w:val="005563EB"/>
    <w:rsid w:val="0055653D"/>
    <w:rsid w:val="005566B4"/>
    <w:rsid w:val="00557847"/>
    <w:rsid w:val="00557A8A"/>
    <w:rsid w:val="00557B87"/>
    <w:rsid w:val="00557E52"/>
    <w:rsid w:val="00560CBC"/>
    <w:rsid w:val="00560E4A"/>
    <w:rsid w:val="0056123A"/>
    <w:rsid w:val="005616BC"/>
    <w:rsid w:val="0056197E"/>
    <w:rsid w:val="00561DD3"/>
    <w:rsid w:val="00561E5E"/>
    <w:rsid w:val="00562248"/>
    <w:rsid w:val="00563332"/>
    <w:rsid w:val="0056375E"/>
    <w:rsid w:val="0056382A"/>
    <w:rsid w:val="00563B63"/>
    <w:rsid w:val="00565080"/>
    <w:rsid w:val="00565255"/>
    <w:rsid w:val="005656A2"/>
    <w:rsid w:val="00565951"/>
    <w:rsid w:val="005661F1"/>
    <w:rsid w:val="00566746"/>
    <w:rsid w:val="00566A08"/>
    <w:rsid w:val="00566C13"/>
    <w:rsid w:val="0056741C"/>
    <w:rsid w:val="00567644"/>
    <w:rsid w:val="00570205"/>
    <w:rsid w:val="00570263"/>
    <w:rsid w:val="00570C9A"/>
    <w:rsid w:val="00571115"/>
    <w:rsid w:val="005711AF"/>
    <w:rsid w:val="00571685"/>
    <w:rsid w:val="00571A11"/>
    <w:rsid w:val="00571CC9"/>
    <w:rsid w:val="00572019"/>
    <w:rsid w:val="005724F1"/>
    <w:rsid w:val="00572618"/>
    <w:rsid w:val="00573426"/>
    <w:rsid w:val="00573F23"/>
    <w:rsid w:val="005747DB"/>
    <w:rsid w:val="00574839"/>
    <w:rsid w:val="00575714"/>
    <w:rsid w:val="00575CF6"/>
    <w:rsid w:val="00576170"/>
    <w:rsid w:val="00576879"/>
    <w:rsid w:val="00576C91"/>
    <w:rsid w:val="00576D41"/>
    <w:rsid w:val="00577794"/>
    <w:rsid w:val="00577EB5"/>
    <w:rsid w:val="00580BCE"/>
    <w:rsid w:val="00580CE6"/>
    <w:rsid w:val="005812CD"/>
    <w:rsid w:val="00581370"/>
    <w:rsid w:val="00581631"/>
    <w:rsid w:val="00582243"/>
    <w:rsid w:val="00582A83"/>
    <w:rsid w:val="00583398"/>
    <w:rsid w:val="00583587"/>
    <w:rsid w:val="0058459E"/>
    <w:rsid w:val="00586010"/>
    <w:rsid w:val="00587064"/>
    <w:rsid w:val="005878EC"/>
    <w:rsid w:val="00590447"/>
    <w:rsid w:val="0059052A"/>
    <w:rsid w:val="005905E0"/>
    <w:rsid w:val="00590A3E"/>
    <w:rsid w:val="00590DC6"/>
    <w:rsid w:val="00591B00"/>
    <w:rsid w:val="00591E9B"/>
    <w:rsid w:val="00591F5C"/>
    <w:rsid w:val="00592AA6"/>
    <w:rsid w:val="00592EB9"/>
    <w:rsid w:val="005931B7"/>
    <w:rsid w:val="00593326"/>
    <w:rsid w:val="00593497"/>
    <w:rsid w:val="00593817"/>
    <w:rsid w:val="00593C8E"/>
    <w:rsid w:val="005943A2"/>
    <w:rsid w:val="00594476"/>
    <w:rsid w:val="00594750"/>
    <w:rsid w:val="00595A52"/>
    <w:rsid w:val="00595E82"/>
    <w:rsid w:val="005960E1"/>
    <w:rsid w:val="0059621D"/>
    <w:rsid w:val="00596C72"/>
    <w:rsid w:val="005970AA"/>
    <w:rsid w:val="005972C2"/>
    <w:rsid w:val="00597539"/>
    <w:rsid w:val="005A0693"/>
    <w:rsid w:val="005A0BC9"/>
    <w:rsid w:val="005A0E3F"/>
    <w:rsid w:val="005A1096"/>
    <w:rsid w:val="005A1D0A"/>
    <w:rsid w:val="005A21D7"/>
    <w:rsid w:val="005A2AE0"/>
    <w:rsid w:val="005A2E4B"/>
    <w:rsid w:val="005A4518"/>
    <w:rsid w:val="005A4688"/>
    <w:rsid w:val="005A4F36"/>
    <w:rsid w:val="005A592C"/>
    <w:rsid w:val="005A667B"/>
    <w:rsid w:val="005A69D5"/>
    <w:rsid w:val="005A6B89"/>
    <w:rsid w:val="005A6F13"/>
    <w:rsid w:val="005A704B"/>
    <w:rsid w:val="005A7283"/>
    <w:rsid w:val="005A7841"/>
    <w:rsid w:val="005A7AEA"/>
    <w:rsid w:val="005B0214"/>
    <w:rsid w:val="005B0309"/>
    <w:rsid w:val="005B0FF5"/>
    <w:rsid w:val="005B1011"/>
    <w:rsid w:val="005B1D17"/>
    <w:rsid w:val="005B206C"/>
    <w:rsid w:val="005B235C"/>
    <w:rsid w:val="005B2AE1"/>
    <w:rsid w:val="005B3404"/>
    <w:rsid w:val="005B3987"/>
    <w:rsid w:val="005B3B68"/>
    <w:rsid w:val="005B4569"/>
    <w:rsid w:val="005B4B23"/>
    <w:rsid w:val="005B561A"/>
    <w:rsid w:val="005B5AFD"/>
    <w:rsid w:val="005B5C4F"/>
    <w:rsid w:val="005B5EE5"/>
    <w:rsid w:val="005B5FCB"/>
    <w:rsid w:val="005B64F6"/>
    <w:rsid w:val="005B6E17"/>
    <w:rsid w:val="005B70B5"/>
    <w:rsid w:val="005B741D"/>
    <w:rsid w:val="005B78A3"/>
    <w:rsid w:val="005B7CA8"/>
    <w:rsid w:val="005B7DA5"/>
    <w:rsid w:val="005B7F6A"/>
    <w:rsid w:val="005C0804"/>
    <w:rsid w:val="005C0859"/>
    <w:rsid w:val="005C0C9A"/>
    <w:rsid w:val="005C1107"/>
    <w:rsid w:val="005C1322"/>
    <w:rsid w:val="005C17E7"/>
    <w:rsid w:val="005C1A86"/>
    <w:rsid w:val="005C23B2"/>
    <w:rsid w:val="005C387C"/>
    <w:rsid w:val="005C3B1B"/>
    <w:rsid w:val="005C3CB3"/>
    <w:rsid w:val="005C4166"/>
    <w:rsid w:val="005C437A"/>
    <w:rsid w:val="005C4805"/>
    <w:rsid w:val="005C4CC7"/>
    <w:rsid w:val="005C50A5"/>
    <w:rsid w:val="005C50B4"/>
    <w:rsid w:val="005C5B9C"/>
    <w:rsid w:val="005C5CD7"/>
    <w:rsid w:val="005C6359"/>
    <w:rsid w:val="005C69D4"/>
    <w:rsid w:val="005C6D5D"/>
    <w:rsid w:val="005C752E"/>
    <w:rsid w:val="005C7965"/>
    <w:rsid w:val="005C7986"/>
    <w:rsid w:val="005D000A"/>
    <w:rsid w:val="005D0949"/>
    <w:rsid w:val="005D0BBC"/>
    <w:rsid w:val="005D0FE7"/>
    <w:rsid w:val="005D1268"/>
    <w:rsid w:val="005D1631"/>
    <w:rsid w:val="005D16CF"/>
    <w:rsid w:val="005D172B"/>
    <w:rsid w:val="005D177E"/>
    <w:rsid w:val="005D30EC"/>
    <w:rsid w:val="005D3113"/>
    <w:rsid w:val="005D32F3"/>
    <w:rsid w:val="005D3387"/>
    <w:rsid w:val="005D37F1"/>
    <w:rsid w:val="005D3EE8"/>
    <w:rsid w:val="005D4913"/>
    <w:rsid w:val="005D532B"/>
    <w:rsid w:val="005D54EF"/>
    <w:rsid w:val="005D5635"/>
    <w:rsid w:val="005D589B"/>
    <w:rsid w:val="005D5D28"/>
    <w:rsid w:val="005D6213"/>
    <w:rsid w:val="005D6538"/>
    <w:rsid w:val="005D6D5C"/>
    <w:rsid w:val="005D75C6"/>
    <w:rsid w:val="005D7926"/>
    <w:rsid w:val="005D7B8F"/>
    <w:rsid w:val="005E0004"/>
    <w:rsid w:val="005E097C"/>
    <w:rsid w:val="005E19F4"/>
    <w:rsid w:val="005E1DD8"/>
    <w:rsid w:val="005E200F"/>
    <w:rsid w:val="005E2755"/>
    <w:rsid w:val="005E2A91"/>
    <w:rsid w:val="005E2DF8"/>
    <w:rsid w:val="005E3557"/>
    <w:rsid w:val="005E3689"/>
    <w:rsid w:val="005E368D"/>
    <w:rsid w:val="005E374E"/>
    <w:rsid w:val="005E41FF"/>
    <w:rsid w:val="005E447F"/>
    <w:rsid w:val="005E44D4"/>
    <w:rsid w:val="005E479A"/>
    <w:rsid w:val="005E4C29"/>
    <w:rsid w:val="005E50FE"/>
    <w:rsid w:val="005E5A36"/>
    <w:rsid w:val="005E5CF6"/>
    <w:rsid w:val="005E6B7A"/>
    <w:rsid w:val="005E6C44"/>
    <w:rsid w:val="005E6CCD"/>
    <w:rsid w:val="005E7024"/>
    <w:rsid w:val="005E737C"/>
    <w:rsid w:val="005E73B2"/>
    <w:rsid w:val="005E73BC"/>
    <w:rsid w:val="005F027D"/>
    <w:rsid w:val="005F0646"/>
    <w:rsid w:val="005F104C"/>
    <w:rsid w:val="005F10E0"/>
    <w:rsid w:val="005F12B3"/>
    <w:rsid w:val="005F1540"/>
    <w:rsid w:val="005F15AC"/>
    <w:rsid w:val="005F1CEC"/>
    <w:rsid w:val="005F225C"/>
    <w:rsid w:val="005F28E2"/>
    <w:rsid w:val="005F2AEF"/>
    <w:rsid w:val="005F2C33"/>
    <w:rsid w:val="005F30AD"/>
    <w:rsid w:val="005F3289"/>
    <w:rsid w:val="005F3D7E"/>
    <w:rsid w:val="005F3FAB"/>
    <w:rsid w:val="005F5121"/>
    <w:rsid w:val="005F6080"/>
    <w:rsid w:val="005F65F0"/>
    <w:rsid w:val="005F6852"/>
    <w:rsid w:val="005F6CC6"/>
    <w:rsid w:val="005F71A8"/>
    <w:rsid w:val="005F72A1"/>
    <w:rsid w:val="005F74A0"/>
    <w:rsid w:val="005F7BDC"/>
    <w:rsid w:val="005F7E0F"/>
    <w:rsid w:val="0060013E"/>
    <w:rsid w:val="00600170"/>
    <w:rsid w:val="00600CA3"/>
    <w:rsid w:val="00600D5C"/>
    <w:rsid w:val="006013D2"/>
    <w:rsid w:val="006015F3"/>
    <w:rsid w:val="00602644"/>
    <w:rsid w:val="00602731"/>
    <w:rsid w:val="00602DC5"/>
    <w:rsid w:val="00602F8C"/>
    <w:rsid w:val="0060311E"/>
    <w:rsid w:val="00603F89"/>
    <w:rsid w:val="00604314"/>
    <w:rsid w:val="00604441"/>
    <w:rsid w:val="0060445C"/>
    <w:rsid w:val="0060507E"/>
    <w:rsid w:val="00605394"/>
    <w:rsid w:val="0060542D"/>
    <w:rsid w:val="006058AF"/>
    <w:rsid w:val="00605B65"/>
    <w:rsid w:val="00605BA8"/>
    <w:rsid w:val="0060672B"/>
    <w:rsid w:val="006067CA"/>
    <w:rsid w:val="006068C9"/>
    <w:rsid w:val="0060699E"/>
    <w:rsid w:val="0060732D"/>
    <w:rsid w:val="006073A2"/>
    <w:rsid w:val="00607E5C"/>
    <w:rsid w:val="0061090A"/>
    <w:rsid w:val="00610CD5"/>
    <w:rsid w:val="00610D09"/>
    <w:rsid w:val="00611260"/>
    <w:rsid w:val="00611B2C"/>
    <w:rsid w:val="00611BF6"/>
    <w:rsid w:val="00612033"/>
    <w:rsid w:val="006126A7"/>
    <w:rsid w:val="00613364"/>
    <w:rsid w:val="006136A4"/>
    <w:rsid w:val="006156D6"/>
    <w:rsid w:val="00615ACB"/>
    <w:rsid w:val="00615B50"/>
    <w:rsid w:val="00616944"/>
    <w:rsid w:val="00616B28"/>
    <w:rsid w:val="00616B2C"/>
    <w:rsid w:val="00616B61"/>
    <w:rsid w:val="00616F29"/>
    <w:rsid w:val="00617187"/>
    <w:rsid w:val="00617322"/>
    <w:rsid w:val="00617379"/>
    <w:rsid w:val="006174AE"/>
    <w:rsid w:val="0061755D"/>
    <w:rsid w:val="00617983"/>
    <w:rsid w:val="0062039C"/>
    <w:rsid w:val="006207B5"/>
    <w:rsid w:val="00621D98"/>
    <w:rsid w:val="00621DB0"/>
    <w:rsid w:val="00621F4E"/>
    <w:rsid w:val="006224EC"/>
    <w:rsid w:val="00622522"/>
    <w:rsid w:val="00622D43"/>
    <w:rsid w:val="00622DCC"/>
    <w:rsid w:val="00622ECD"/>
    <w:rsid w:val="00623550"/>
    <w:rsid w:val="006235D9"/>
    <w:rsid w:val="006238E7"/>
    <w:rsid w:val="00623AC1"/>
    <w:rsid w:val="00623DD7"/>
    <w:rsid w:val="00623F7F"/>
    <w:rsid w:val="00624788"/>
    <w:rsid w:val="0062498A"/>
    <w:rsid w:val="00624ABC"/>
    <w:rsid w:val="00624DEB"/>
    <w:rsid w:val="0062510E"/>
    <w:rsid w:val="0062599D"/>
    <w:rsid w:val="00625FDC"/>
    <w:rsid w:val="00626557"/>
    <w:rsid w:val="006269B9"/>
    <w:rsid w:val="00627426"/>
    <w:rsid w:val="00627450"/>
    <w:rsid w:val="006276BE"/>
    <w:rsid w:val="00627F99"/>
    <w:rsid w:val="006308E8"/>
    <w:rsid w:val="006313BC"/>
    <w:rsid w:val="00631507"/>
    <w:rsid w:val="00631D37"/>
    <w:rsid w:val="00632443"/>
    <w:rsid w:val="00632A8B"/>
    <w:rsid w:val="00632E75"/>
    <w:rsid w:val="00633072"/>
    <w:rsid w:val="00633792"/>
    <w:rsid w:val="0063383B"/>
    <w:rsid w:val="0063384A"/>
    <w:rsid w:val="00633B45"/>
    <w:rsid w:val="00634300"/>
    <w:rsid w:val="00634478"/>
    <w:rsid w:val="006345B4"/>
    <w:rsid w:val="00634809"/>
    <w:rsid w:val="00634A55"/>
    <w:rsid w:val="006359D9"/>
    <w:rsid w:val="006359DB"/>
    <w:rsid w:val="00635FB5"/>
    <w:rsid w:val="00636C89"/>
    <w:rsid w:val="00636F85"/>
    <w:rsid w:val="0063733A"/>
    <w:rsid w:val="00637348"/>
    <w:rsid w:val="0063771E"/>
    <w:rsid w:val="00637EE3"/>
    <w:rsid w:val="006401F5"/>
    <w:rsid w:val="0064028F"/>
    <w:rsid w:val="0064033C"/>
    <w:rsid w:val="00640A88"/>
    <w:rsid w:val="00640D35"/>
    <w:rsid w:val="00641746"/>
    <w:rsid w:val="00641E93"/>
    <w:rsid w:val="006420E0"/>
    <w:rsid w:val="00642F8B"/>
    <w:rsid w:val="0064360D"/>
    <w:rsid w:val="0064363C"/>
    <w:rsid w:val="006436D4"/>
    <w:rsid w:val="00643745"/>
    <w:rsid w:val="00643D61"/>
    <w:rsid w:val="006451AE"/>
    <w:rsid w:val="00645268"/>
    <w:rsid w:val="00645636"/>
    <w:rsid w:val="00645826"/>
    <w:rsid w:val="00645F29"/>
    <w:rsid w:val="00646566"/>
    <w:rsid w:val="00647219"/>
    <w:rsid w:val="00647F11"/>
    <w:rsid w:val="00647FB6"/>
    <w:rsid w:val="006501C7"/>
    <w:rsid w:val="006506FC"/>
    <w:rsid w:val="00651E68"/>
    <w:rsid w:val="006527C1"/>
    <w:rsid w:val="006541AA"/>
    <w:rsid w:val="00654924"/>
    <w:rsid w:val="00654CCA"/>
    <w:rsid w:val="00654F9C"/>
    <w:rsid w:val="00655496"/>
    <w:rsid w:val="00655D9D"/>
    <w:rsid w:val="00655EFB"/>
    <w:rsid w:val="006563C4"/>
    <w:rsid w:val="00656E93"/>
    <w:rsid w:val="00657183"/>
    <w:rsid w:val="0065735D"/>
    <w:rsid w:val="0065766F"/>
    <w:rsid w:val="006578DB"/>
    <w:rsid w:val="00657F3A"/>
    <w:rsid w:val="00660859"/>
    <w:rsid w:val="00660A8F"/>
    <w:rsid w:val="006613B6"/>
    <w:rsid w:val="00661575"/>
    <w:rsid w:val="0066173E"/>
    <w:rsid w:val="00661863"/>
    <w:rsid w:val="00661897"/>
    <w:rsid w:val="00661A6D"/>
    <w:rsid w:val="00661ABB"/>
    <w:rsid w:val="00661D23"/>
    <w:rsid w:val="00662203"/>
    <w:rsid w:val="00662450"/>
    <w:rsid w:val="00662707"/>
    <w:rsid w:val="00662EED"/>
    <w:rsid w:val="006630E8"/>
    <w:rsid w:val="00663425"/>
    <w:rsid w:val="0066372B"/>
    <w:rsid w:val="006638CC"/>
    <w:rsid w:val="00663A98"/>
    <w:rsid w:val="0066431C"/>
    <w:rsid w:val="0066546A"/>
    <w:rsid w:val="0066554C"/>
    <w:rsid w:val="006655F5"/>
    <w:rsid w:val="00665A8A"/>
    <w:rsid w:val="00665F01"/>
    <w:rsid w:val="006667C0"/>
    <w:rsid w:val="006667E4"/>
    <w:rsid w:val="00666BBE"/>
    <w:rsid w:val="00666C91"/>
    <w:rsid w:val="00666E2D"/>
    <w:rsid w:val="00667E53"/>
    <w:rsid w:val="00670161"/>
    <w:rsid w:val="00670904"/>
    <w:rsid w:val="00670D97"/>
    <w:rsid w:val="006710A7"/>
    <w:rsid w:val="0067167D"/>
    <w:rsid w:val="00672418"/>
    <w:rsid w:val="00672B0A"/>
    <w:rsid w:val="00672B31"/>
    <w:rsid w:val="00673398"/>
    <w:rsid w:val="00673870"/>
    <w:rsid w:val="006739DE"/>
    <w:rsid w:val="00673B24"/>
    <w:rsid w:val="00673D17"/>
    <w:rsid w:val="006749FB"/>
    <w:rsid w:val="00674C94"/>
    <w:rsid w:val="00675763"/>
    <w:rsid w:val="00675EB0"/>
    <w:rsid w:val="0067627C"/>
    <w:rsid w:val="006763FF"/>
    <w:rsid w:val="00676CD3"/>
    <w:rsid w:val="00677B02"/>
    <w:rsid w:val="00677EB9"/>
    <w:rsid w:val="0068001D"/>
    <w:rsid w:val="0068005F"/>
    <w:rsid w:val="006802ED"/>
    <w:rsid w:val="006802F0"/>
    <w:rsid w:val="006805A6"/>
    <w:rsid w:val="0068067F"/>
    <w:rsid w:val="006809F0"/>
    <w:rsid w:val="00680F27"/>
    <w:rsid w:val="00681368"/>
    <w:rsid w:val="0068168A"/>
    <w:rsid w:val="00681BB4"/>
    <w:rsid w:val="00681D46"/>
    <w:rsid w:val="00681EE0"/>
    <w:rsid w:val="00682466"/>
    <w:rsid w:val="006826BC"/>
    <w:rsid w:val="006827BC"/>
    <w:rsid w:val="006828FC"/>
    <w:rsid w:val="0068359C"/>
    <w:rsid w:val="006842CC"/>
    <w:rsid w:val="0068437F"/>
    <w:rsid w:val="00685607"/>
    <w:rsid w:val="006858E7"/>
    <w:rsid w:val="006859D5"/>
    <w:rsid w:val="006859DC"/>
    <w:rsid w:val="0068615E"/>
    <w:rsid w:val="0068674B"/>
    <w:rsid w:val="00686AEF"/>
    <w:rsid w:val="00686B6C"/>
    <w:rsid w:val="0068701D"/>
    <w:rsid w:val="006872AE"/>
    <w:rsid w:val="006875A8"/>
    <w:rsid w:val="0068760C"/>
    <w:rsid w:val="006878FE"/>
    <w:rsid w:val="00687CA4"/>
    <w:rsid w:val="00690978"/>
    <w:rsid w:val="00690F04"/>
    <w:rsid w:val="006914B6"/>
    <w:rsid w:val="00692411"/>
    <w:rsid w:val="00692F79"/>
    <w:rsid w:val="00693903"/>
    <w:rsid w:val="00693937"/>
    <w:rsid w:val="006958AB"/>
    <w:rsid w:val="00695917"/>
    <w:rsid w:val="00696595"/>
    <w:rsid w:val="0069659E"/>
    <w:rsid w:val="00696B67"/>
    <w:rsid w:val="00696F89"/>
    <w:rsid w:val="0069742F"/>
    <w:rsid w:val="00697898"/>
    <w:rsid w:val="006A201C"/>
    <w:rsid w:val="006A3501"/>
    <w:rsid w:val="006A3A80"/>
    <w:rsid w:val="006A3DA5"/>
    <w:rsid w:val="006A503A"/>
    <w:rsid w:val="006A52B1"/>
    <w:rsid w:val="006A613A"/>
    <w:rsid w:val="006A648D"/>
    <w:rsid w:val="006A66DC"/>
    <w:rsid w:val="006A69C9"/>
    <w:rsid w:val="006A6E7D"/>
    <w:rsid w:val="006A7FC9"/>
    <w:rsid w:val="006B0262"/>
    <w:rsid w:val="006B0694"/>
    <w:rsid w:val="006B0863"/>
    <w:rsid w:val="006B1212"/>
    <w:rsid w:val="006B13BF"/>
    <w:rsid w:val="006B1520"/>
    <w:rsid w:val="006B16E1"/>
    <w:rsid w:val="006B1919"/>
    <w:rsid w:val="006B2EA9"/>
    <w:rsid w:val="006B2F08"/>
    <w:rsid w:val="006B2F8B"/>
    <w:rsid w:val="006B3B87"/>
    <w:rsid w:val="006B4364"/>
    <w:rsid w:val="006B5281"/>
    <w:rsid w:val="006B5523"/>
    <w:rsid w:val="006B5627"/>
    <w:rsid w:val="006B5662"/>
    <w:rsid w:val="006B5924"/>
    <w:rsid w:val="006B59E5"/>
    <w:rsid w:val="006B5ABA"/>
    <w:rsid w:val="006B5DCA"/>
    <w:rsid w:val="006B5DED"/>
    <w:rsid w:val="006B615F"/>
    <w:rsid w:val="006B671C"/>
    <w:rsid w:val="006B6A4D"/>
    <w:rsid w:val="006B6EFF"/>
    <w:rsid w:val="006B6F3F"/>
    <w:rsid w:val="006B724B"/>
    <w:rsid w:val="006B7448"/>
    <w:rsid w:val="006B747C"/>
    <w:rsid w:val="006B7995"/>
    <w:rsid w:val="006C0239"/>
    <w:rsid w:val="006C02BA"/>
    <w:rsid w:val="006C035C"/>
    <w:rsid w:val="006C0381"/>
    <w:rsid w:val="006C05B6"/>
    <w:rsid w:val="006C0973"/>
    <w:rsid w:val="006C0D2B"/>
    <w:rsid w:val="006C0E72"/>
    <w:rsid w:val="006C1586"/>
    <w:rsid w:val="006C1848"/>
    <w:rsid w:val="006C22E6"/>
    <w:rsid w:val="006C391B"/>
    <w:rsid w:val="006C3C87"/>
    <w:rsid w:val="006C533B"/>
    <w:rsid w:val="006C5965"/>
    <w:rsid w:val="006C59D6"/>
    <w:rsid w:val="006C60B2"/>
    <w:rsid w:val="006C6112"/>
    <w:rsid w:val="006C7322"/>
    <w:rsid w:val="006C7983"/>
    <w:rsid w:val="006C7B34"/>
    <w:rsid w:val="006C7C09"/>
    <w:rsid w:val="006C7C3E"/>
    <w:rsid w:val="006C7E3E"/>
    <w:rsid w:val="006C7F4F"/>
    <w:rsid w:val="006D07B7"/>
    <w:rsid w:val="006D0B47"/>
    <w:rsid w:val="006D11FC"/>
    <w:rsid w:val="006D143D"/>
    <w:rsid w:val="006D14D7"/>
    <w:rsid w:val="006D155F"/>
    <w:rsid w:val="006D16DF"/>
    <w:rsid w:val="006D2900"/>
    <w:rsid w:val="006D2AF9"/>
    <w:rsid w:val="006D2B90"/>
    <w:rsid w:val="006D2C71"/>
    <w:rsid w:val="006D2CAF"/>
    <w:rsid w:val="006D2D66"/>
    <w:rsid w:val="006D3110"/>
    <w:rsid w:val="006D3677"/>
    <w:rsid w:val="006D3854"/>
    <w:rsid w:val="006D387C"/>
    <w:rsid w:val="006D3D15"/>
    <w:rsid w:val="006D439C"/>
    <w:rsid w:val="006D4E43"/>
    <w:rsid w:val="006D4F31"/>
    <w:rsid w:val="006D569D"/>
    <w:rsid w:val="006D636C"/>
    <w:rsid w:val="006D6CFC"/>
    <w:rsid w:val="006D72C0"/>
    <w:rsid w:val="006D7780"/>
    <w:rsid w:val="006D7ABC"/>
    <w:rsid w:val="006D7B29"/>
    <w:rsid w:val="006D7C17"/>
    <w:rsid w:val="006E01F8"/>
    <w:rsid w:val="006E0B7E"/>
    <w:rsid w:val="006E1460"/>
    <w:rsid w:val="006E1AFB"/>
    <w:rsid w:val="006E1E35"/>
    <w:rsid w:val="006E1EA5"/>
    <w:rsid w:val="006E1F86"/>
    <w:rsid w:val="006E2053"/>
    <w:rsid w:val="006E20A1"/>
    <w:rsid w:val="006E371E"/>
    <w:rsid w:val="006E3754"/>
    <w:rsid w:val="006E3FB4"/>
    <w:rsid w:val="006E3FD7"/>
    <w:rsid w:val="006E42E5"/>
    <w:rsid w:val="006E4B15"/>
    <w:rsid w:val="006E4B3D"/>
    <w:rsid w:val="006E4D57"/>
    <w:rsid w:val="006E4E71"/>
    <w:rsid w:val="006E5303"/>
    <w:rsid w:val="006E5933"/>
    <w:rsid w:val="006E5FDE"/>
    <w:rsid w:val="006E610E"/>
    <w:rsid w:val="006E6323"/>
    <w:rsid w:val="006E6353"/>
    <w:rsid w:val="006E6428"/>
    <w:rsid w:val="006E642C"/>
    <w:rsid w:val="006E6D0B"/>
    <w:rsid w:val="006E72A8"/>
    <w:rsid w:val="006E7BEB"/>
    <w:rsid w:val="006E7ECD"/>
    <w:rsid w:val="006F010B"/>
    <w:rsid w:val="006F037C"/>
    <w:rsid w:val="006F0754"/>
    <w:rsid w:val="006F0BFF"/>
    <w:rsid w:val="006F160A"/>
    <w:rsid w:val="006F1796"/>
    <w:rsid w:val="006F1BF9"/>
    <w:rsid w:val="006F1C3C"/>
    <w:rsid w:val="006F1E03"/>
    <w:rsid w:val="006F22FF"/>
    <w:rsid w:val="006F25B5"/>
    <w:rsid w:val="006F25C0"/>
    <w:rsid w:val="006F2724"/>
    <w:rsid w:val="006F393A"/>
    <w:rsid w:val="006F3D6F"/>
    <w:rsid w:val="006F4193"/>
    <w:rsid w:val="006F426A"/>
    <w:rsid w:val="006F4366"/>
    <w:rsid w:val="006F4753"/>
    <w:rsid w:val="006F4A8C"/>
    <w:rsid w:val="006F541C"/>
    <w:rsid w:val="006F5DC8"/>
    <w:rsid w:val="006F64EA"/>
    <w:rsid w:val="006F6B35"/>
    <w:rsid w:val="006F6FC5"/>
    <w:rsid w:val="006F7608"/>
    <w:rsid w:val="006F773D"/>
    <w:rsid w:val="006F7912"/>
    <w:rsid w:val="006F7D61"/>
    <w:rsid w:val="007006A3"/>
    <w:rsid w:val="00700857"/>
    <w:rsid w:val="00700E00"/>
    <w:rsid w:val="00700FD1"/>
    <w:rsid w:val="00700FE9"/>
    <w:rsid w:val="00701DCF"/>
    <w:rsid w:val="00701F41"/>
    <w:rsid w:val="00703A4A"/>
    <w:rsid w:val="00703E3C"/>
    <w:rsid w:val="00703F08"/>
    <w:rsid w:val="00704288"/>
    <w:rsid w:val="007049BF"/>
    <w:rsid w:val="007051D2"/>
    <w:rsid w:val="007055D3"/>
    <w:rsid w:val="00705910"/>
    <w:rsid w:val="00705A2A"/>
    <w:rsid w:val="00705F8A"/>
    <w:rsid w:val="0070663C"/>
    <w:rsid w:val="00706A0D"/>
    <w:rsid w:val="00706BDB"/>
    <w:rsid w:val="00707F33"/>
    <w:rsid w:val="00710B86"/>
    <w:rsid w:val="0071102A"/>
    <w:rsid w:val="0071164C"/>
    <w:rsid w:val="0071180E"/>
    <w:rsid w:val="0071191C"/>
    <w:rsid w:val="00711992"/>
    <w:rsid w:val="00712737"/>
    <w:rsid w:val="007128AC"/>
    <w:rsid w:val="00712FCA"/>
    <w:rsid w:val="00713D2C"/>
    <w:rsid w:val="007143AC"/>
    <w:rsid w:val="007158A7"/>
    <w:rsid w:val="007165F3"/>
    <w:rsid w:val="00716B02"/>
    <w:rsid w:val="007173E5"/>
    <w:rsid w:val="0071773A"/>
    <w:rsid w:val="007206D8"/>
    <w:rsid w:val="00720F35"/>
    <w:rsid w:val="007213E9"/>
    <w:rsid w:val="00722385"/>
    <w:rsid w:val="00722B1C"/>
    <w:rsid w:val="00722C37"/>
    <w:rsid w:val="00722CF0"/>
    <w:rsid w:val="00723E8F"/>
    <w:rsid w:val="00723EDD"/>
    <w:rsid w:val="00723F43"/>
    <w:rsid w:val="00723F87"/>
    <w:rsid w:val="007242A9"/>
    <w:rsid w:val="0072473E"/>
    <w:rsid w:val="00724D6E"/>
    <w:rsid w:val="0072561F"/>
    <w:rsid w:val="00725730"/>
    <w:rsid w:val="007259FD"/>
    <w:rsid w:val="00725A75"/>
    <w:rsid w:val="00725B61"/>
    <w:rsid w:val="0072654D"/>
    <w:rsid w:val="007267E8"/>
    <w:rsid w:val="007271C3"/>
    <w:rsid w:val="0073042E"/>
    <w:rsid w:val="007307D7"/>
    <w:rsid w:val="00731106"/>
    <w:rsid w:val="00731995"/>
    <w:rsid w:val="00731DC4"/>
    <w:rsid w:val="0073266E"/>
    <w:rsid w:val="0073379A"/>
    <w:rsid w:val="0073424F"/>
    <w:rsid w:val="0073425A"/>
    <w:rsid w:val="0073443B"/>
    <w:rsid w:val="007345D6"/>
    <w:rsid w:val="0073490B"/>
    <w:rsid w:val="0073496E"/>
    <w:rsid w:val="00734977"/>
    <w:rsid w:val="00735046"/>
    <w:rsid w:val="0073538B"/>
    <w:rsid w:val="00736B87"/>
    <w:rsid w:val="00736F58"/>
    <w:rsid w:val="0073723C"/>
    <w:rsid w:val="007378E9"/>
    <w:rsid w:val="00737C7B"/>
    <w:rsid w:val="007415FF"/>
    <w:rsid w:val="00741BE9"/>
    <w:rsid w:val="00741C8A"/>
    <w:rsid w:val="00741E62"/>
    <w:rsid w:val="00741F38"/>
    <w:rsid w:val="00742023"/>
    <w:rsid w:val="007425EE"/>
    <w:rsid w:val="00742C19"/>
    <w:rsid w:val="007435CE"/>
    <w:rsid w:val="0074365B"/>
    <w:rsid w:val="00743DD6"/>
    <w:rsid w:val="00743F8B"/>
    <w:rsid w:val="00744584"/>
    <w:rsid w:val="00744EA2"/>
    <w:rsid w:val="0074546C"/>
    <w:rsid w:val="00745F5D"/>
    <w:rsid w:val="0074620E"/>
    <w:rsid w:val="007465E3"/>
    <w:rsid w:val="00746AA6"/>
    <w:rsid w:val="00746C2C"/>
    <w:rsid w:val="00746D9E"/>
    <w:rsid w:val="007473B8"/>
    <w:rsid w:val="00747439"/>
    <w:rsid w:val="00747867"/>
    <w:rsid w:val="00747902"/>
    <w:rsid w:val="007505E0"/>
    <w:rsid w:val="007508C2"/>
    <w:rsid w:val="00751735"/>
    <w:rsid w:val="00751B1F"/>
    <w:rsid w:val="00751EC9"/>
    <w:rsid w:val="00752938"/>
    <w:rsid w:val="007529FE"/>
    <w:rsid w:val="00753246"/>
    <w:rsid w:val="00753434"/>
    <w:rsid w:val="00753786"/>
    <w:rsid w:val="007545FA"/>
    <w:rsid w:val="0075524A"/>
    <w:rsid w:val="007557B9"/>
    <w:rsid w:val="00755B19"/>
    <w:rsid w:val="007568B6"/>
    <w:rsid w:val="007569D7"/>
    <w:rsid w:val="00756B8E"/>
    <w:rsid w:val="00756F55"/>
    <w:rsid w:val="00756FC3"/>
    <w:rsid w:val="00757DE8"/>
    <w:rsid w:val="00760BEE"/>
    <w:rsid w:val="007610A7"/>
    <w:rsid w:val="0076146C"/>
    <w:rsid w:val="00761579"/>
    <w:rsid w:val="00761E86"/>
    <w:rsid w:val="00762BEA"/>
    <w:rsid w:val="00762F68"/>
    <w:rsid w:val="00763BDD"/>
    <w:rsid w:val="0076451F"/>
    <w:rsid w:val="00764667"/>
    <w:rsid w:val="00764727"/>
    <w:rsid w:val="00764B42"/>
    <w:rsid w:val="00764FA0"/>
    <w:rsid w:val="00765109"/>
    <w:rsid w:val="007651C5"/>
    <w:rsid w:val="00765A44"/>
    <w:rsid w:val="00766006"/>
    <w:rsid w:val="0076706A"/>
    <w:rsid w:val="007670D9"/>
    <w:rsid w:val="00767A24"/>
    <w:rsid w:val="00767B1B"/>
    <w:rsid w:val="00767C07"/>
    <w:rsid w:val="00770031"/>
    <w:rsid w:val="007700EA"/>
    <w:rsid w:val="0077054C"/>
    <w:rsid w:val="00770A47"/>
    <w:rsid w:val="00771A1D"/>
    <w:rsid w:val="00771D95"/>
    <w:rsid w:val="00772EBE"/>
    <w:rsid w:val="00772F14"/>
    <w:rsid w:val="00774333"/>
    <w:rsid w:val="007743C7"/>
    <w:rsid w:val="007749CD"/>
    <w:rsid w:val="00774AB4"/>
    <w:rsid w:val="0077535E"/>
    <w:rsid w:val="00775981"/>
    <w:rsid w:val="00775DBD"/>
    <w:rsid w:val="00775EB5"/>
    <w:rsid w:val="00776B5C"/>
    <w:rsid w:val="00776D65"/>
    <w:rsid w:val="0077749B"/>
    <w:rsid w:val="00777A64"/>
    <w:rsid w:val="007800A5"/>
    <w:rsid w:val="00780816"/>
    <w:rsid w:val="00780DB0"/>
    <w:rsid w:val="00781C73"/>
    <w:rsid w:val="00781D5A"/>
    <w:rsid w:val="007825FF"/>
    <w:rsid w:val="00782E27"/>
    <w:rsid w:val="00782EFC"/>
    <w:rsid w:val="00783592"/>
    <w:rsid w:val="0078362B"/>
    <w:rsid w:val="00783760"/>
    <w:rsid w:val="00783A6C"/>
    <w:rsid w:val="00783D4C"/>
    <w:rsid w:val="0078438C"/>
    <w:rsid w:val="00784AA3"/>
    <w:rsid w:val="00784E17"/>
    <w:rsid w:val="00784E3B"/>
    <w:rsid w:val="00785596"/>
    <w:rsid w:val="007857FE"/>
    <w:rsid w:val="0078662C"/>
    <w:rsid w:val="0078675F"/>
    <w:rsid w:val="007868DA"/>
    <w:rsid w:val="00786DC9"/>
    <w:rsid w:val="00786F8F"/>
    <w:rsid w:val="00787191"/>
    <w:rsid w:val="007872F4"/>
    <w:rsid w:val="00787B1E"/>
    <w:rsid w:val="0079032B"/>
    <w:rsid w:val="007905C7"/>
    <w:rsid w:val="007906F3"/>
    <w:rsid w:val="007907AD"/>
    <w:rsid w:val="0079153D"/>
    <w:rsid w:val="00791E46"/>
    <w:rsid w:val="0079246E"/>
    <w:rsid w:val="00792636"/>
    <w:rsid w:val="00792A85"/>
    <w:rsid w:val="00792FA5"/>
    <w:rsid w:val="0079349E"/>
    <w:rsid w:val="007937F4"/>
    <w:rsid w:val="00793EF8"/>
    <w:rsid w:val="00794143"/>
    <w:rsid w:val="0079429F"/>
    <w:rsid w:val="00794533"/>
    <w:rsid w:val="0079546E"/>
    <w:rsid w:val="00795ECF"/>
    <w:rsid w:val="007963E7"/>
    <w:rsid w:val="00796E4E"/>
    <w:rsid w:val="00797031"/>
    <w:rsid w:val="00797198"/>
    <w:rsid w:val="007971C7"/>
    <w:rsid w:val="0079740F"/>
    <w:rsid w:val="00797622"/>
    <w:rsid w:val="007A01E9"/>
    <w:rsid w:val="007A020E"/>
    <w:rsid w:val="007A03D0"/>
    <w:rsid w:val="007A0C67"/>
    <w:rsid w:val="007A1234"/>
    <w:rsid w:val="007A30BC"/>
    <w:rsid w:val="007A38FB"/>
    <w:rsid w:val="007A3AF6"/>
    <w:rsid w:val="007A3C0F"/>
    <w:rsid w:val="007A4342"/>
    <w:rsid w:val="007A525D"/>
    <w:rsid w:val="007A56B7"/>
    <w:rsid w:val="007A6288"/>
    <w:rsid w:val="007A682B"/>
    <w:rsid w:val="007A6846"/>
    <w:rsid w:val="007A6DB9"/>
    <w:rsid w:val="007A6E96"/>
    <w:rsid w:val="007A6FBC"/>
    <w:rsid w:val="007A727C"/>
    <w:rsid w:val="007A74AC"/>
    <w:rsid w:val="007A7AD7"/>
    <w:rsid w:val="007B042D"/>
    <w:rsid w:val="007B084F"/>
    <w:rsid w:val="007B0BA2"/>
    <w:rsid w:val="007B0F23"/>
    <w:rsid w:val="007B106E"/>
    <w:rsid w:val="007B12A3"/>
    <w:rsid w:val="007B135C"/>
    <w:rsid w:val="007B1559"/>
    <w:rsid w:val="007B191B"/>
    <w:rsid w:val="007B1E0C"/>
    <w:rsid w:val="007B1FFA"/>
    <w:rsid w:val="007B3148"/>
    <w:rsid w:val="007B3964"/>
    <w:rsid w:val="007B3B6C"/>
    <w:rsid w:val="007B3F02"/>
    <w:rsid w:val="007B3F30"/>
    <w:rsid w:val="007B418A"/>
    <w:rsid w:val="007B450B"/>
    <w:rsid w:val="007B4AFD"/>
    <w:rsid w:val="007B4C35"/>
    <w:rsid w:val="007B507D"/>
    <w:rsid w:val="007B57C4"/>
    <w:rsid w:val="007B5CE6"/>
    <w:rsid w:val="007B5EA8"/>
    <w:rsid w:val="007B643B"/>
    <w:rsid w:val="007B6752"/>
    <w:rsid w:val="007B7102"/>
    <w:rsid w:val="007B748C"/>
    <w:rsid w:val="007B757C"/>
    <w:rsid w:val="007B77A5"/>
    <w:rsid w:val="007B77D7"/>
    <w:rsid w:val="007C03A9"/>
    <w:rsid w:val="007C081F"/>
    <w:rsid w:val="007C0E08"/>
    <w:rsid w:val="007C1CF2"/>
    <w:rsid w:val="007C205F"/>
    <w:rsid w:val="007C2424"/>
    <w:rsid w:val="007C2E8A"/>
    <w:rsid w:val="007C2EDF"/>
    <w:rsid w:val="007C2F5D"/>
    <w:rsid w:val="007C3699"/>
    <w:rsid w:val="007C3A14"/>
    <w:rsid w:val="007C3C39"/>
    <w:rsid w:val="007C4190"/>
    <w:rsid w:val="007C419F"/>
    <w:rsid w:val="007C43B7"/>
    <w:rsid w:val="007C5427"/>
    <w:rsid w:val="007C63B6"/>
    <w:rsid w:val="007C6AAF"/>
    <w:rsid w:val="007C6CB1"/>
    <w:rsid w:val="007C79D2"/>
    <w:rsid w:val="007C7D56"/>
    <w:rsid w:val="007C7F51"/>
    <w:rsid w:val="007D009D"/>
    <w:rsid w:val="007D0EBB"/>
    <w:rsid w:val="007D188E"/>
    <w:rsid w:val="007D2010"/>
    <w:rsid w:val="007D279E"/>
    <w:rsid w:val="007D3641"/>
    <w:rsid w:val="007D3FB9"/>
    <w:rsid w:val="007D4343"/>
    <w:rsid w:val="007D4538"/>
    <w:rsid w:val="007D48A7"/>
    <w:rsid w:val="007D4BA9"/>
    <w:rsid w:val="007D4DFA"/>
    <w:rsid w:val="007D503E"/>
    <w:rsid w:val="007D5926"/>
    <w:rsid w:val="007D5934"/>
    <w:rsid w:val="007D5972"/>
    <w:rsid w:val="007D5AD7"/>
    <w:rsid w:val="007D5B7C"/>
    <w:rsid w:val="007D63DB"/>
    <w:rsid w:val="007D688E"/>
    <w:rsid w:val="007D6A24"/>
    <w:rsid w:val="007D78E5"/>
    <w:rsid w:val="007D7BC1"/>
    <w:rsid w:val="007E026D"/>
    <w:rsid w:val="007E066D"/>
    <w:rsid w:val="007E0BE2"/>
    <w:rsid w:val="007E0C68"/>
    <w:rsid w:val="007E0D9C"/>
    <w:rsid w:val="007E1097"/>
    <w:rsid w:val="007E11AE"/>
    <w:rsid w:val="007E164D"/>
    <w:rsid w:val="007E1BD3"/>
    <w:rsid w:val="007E227A"/>
    <w:rsid w:val="007E2AC2"/>
    <w:rsid w:val="007E3FEA"/>
    <w:rsid w:val="007E455E"/>
    <w:rsid w:val="007E499E"/>
    <w:rsid w:val="007E4CB0"/>
    <w:rsid w:val="007E4DC7"/>
    <w:rsid w:val="007E5306"/>
    <w:rsid w:val="007E5407"/>
    <w:rsid w:val="007E629B"/>
    <w:rsid w:val="007E76B9"/>
    <w:rsid w:val="007E78AE"/>
    <w:rsid w:val="007E7B1F"/>
    <w:rsid w:val="007E7F6B"/>
    <w:rsid w:val="007F0148"/>
    <w:rsid w:val="007F08F5"/>
    <w:rsid w:val="007F0CE1"/>
    <w:rsid w:val="007F1015"/>
    <w:rsid w:val="007F1580"/>
    <w:rsid w:val="007F15D2"/>
    <w:rsid w:val="007F193F"/>
    <w:rsid w:val="007F1A0C"/>
    <w:rsid w:val="007F1A72"/>
    <w:rsid w:val="007F1C4B"/>
    <w:rsid w:val="007F20A1"/>
    <w:rsid w:val="007F21AF"/>
    <w:rsid w:val="007F2365"/>
    <w:rsid w:val="007F2650"/>
    <w:rsid w:val="007F2C05"/>
    <w:rsid w:val="007F2C1D"/>
    <w:rsid w:val="007F2D6C"/>
    <w:rsid w:val="007F3167"/>
    <w:rsid w:val="007F328F"/>
    <w:rsid w:val="007F32EE"/>
    <w:rsid w:val="007F3496"/>
    <w:rsid w:val="007F34DC"/>
    <w:rsid w:val="007F34E8"/>
    <w:rsid w:val="007F3A4F"/>
    <w:rsid w:val="007F47AC"/>
    <w:rsid w:val="007F493D"/>
    <w:rsid w:val="007F49B8"/>
    <w:rsid w:val="007F4E5B"/>
    <w:rsid w:val="007F5029"/>
    <w:rsid w:val="007F55B9"/>
    <w:rsid w:val="007F5802"/>
    <w:rsid w:val="007F5B01"/>
    <w:rsid w:val="007F5BE0"/>
    <w:rsid w:val="007F6BEC"/>
    <w:rsid w:val="007F6F78"/>
    <w:rsid w:val="007F7528"/>
    <w:rsid w:val="007F7546"/>
    <w:rsid w:val="007F78B5"/>
    <w:rsid w:val="007F7E5A"/>
    <w:rsid w:val="00800A7A"/>
    <w:rsid w:val="0080105D"/>
    <w:rsid w:val="00801489"/>
    <w:rsid w:val="008015CF"/>
    <w:rsid w:val="00801775"/>
    <w:rsid w:val="00802A6B"/>
    <w:rsid w:val="0080348A"/>
    <w:rsid w:val="0080374D"/>
    <w:rsid w:val="008039BD"/>
    <w:rsid w:val="00803B88"/>
    <w:rsid w:val="0080423D"/>
    <w:rsid w:val="00804259"/>
    <w:rsid w:val="00804548"/>
    <w:rsid w:val="0080469E"/>
    <w:rsid w:val="00804C60"/>
    <w:rsid w:val="008051AA"/>
    <w:rsid w:val="0080523C"/>
    <w:rsid w:val="00805B18"/>
    <w:rsid w:val="00805F92"/>
    <w:rsid w:val="008069CA"/>
    <w:rsid w:val="00806D70"/>
    <w:rsid w:val="00806FA1"/>
    <w:rsid w:val="008071D3"/>
    <w:rsid w:val="00807390"/>
    <w:rsid w:val="0080764B"/>
    <w:rsid w:val="00807D7C"/>
    <w:rsid w:val="008101C3"/>
    <w:rsid w:val="008102AB"/>
    <w:rsid w:val="00810337"/>
    <w:rsid w:val="00810C8F"/>
    <w:rsid w:val="00810D7A"/>
    <w:rsid w:val="00811F9A"/>
    <w:rsid w:val="00812D9E"/>
    <w:rsid w:val="00812ED7"/>
    <w:rsid w:val="0081320B"/>
    <w:rsid w:val="00813465"/>
    <w:rsid w:val="00813504"/>
    <w:rsid w:val="008138CF"/>
    <w:rsid w:val="00813CCD"/>
    <w:rsid w:val="008145AB"/>
    <w:rsid w:val="008146E7"/>
    <w:rsid w:val="008146F9"/>
    <w:rsid w:val="00815E0A"/>
    <w:rsid w:val="0081625E"/>
    <w:rsid w:val="00816D04"/>
    <w:rsid w:val="00817745"/>
    <w:rsid w:val="008178E6"/>
    <w:rsid w:val="00817EAC"/>
    <w:rsid w:val="00817FB1"/>
    <w:rsid w:val="00820249"/>
    <w:rsid w:val="008203CA"/>
    <w:rsid w:val="0082057A"/>
    <w:rsid w:val="008209A3"/>
    <w:rsid w:val="008209A7"/>
    <w:rsid w:val="00820ADE"/>
    <w:rsid w:val="0082116B"/>
    <w:rsid w:val="00821170"/>
    <w:rsid w:val="00821BEF"/>
    <w:rsid w:val="008227C3"/>
    <w:rsid w:val="00823109"/>
    <w:rsid w:val="0082365D"/>
    <w:rsid w:val="00824351"/>
    <w:rsid w:val="00824E19"/>
    <w:rsid w:val="00824FE0"/>
    <w:rsid w:val="008251E3"/>
    <w:rsid w:val="008252ED"/>
    <w:rsid w:val="0082539F"/>
    <w:rsid w:val="008254E2"/>
    <w:rsid w:val="00826292"/>
    <w:rsid w:val="0082630F"/>
    <w:rsid w:val="00826864"/>
    <w:rsid w:val="00827082"/>
    <w:rsid w:val="00827236"/>
    <w:rsid w:val="00827285"/>
    <w:rsid w:val="00827452"/>
    <w:rsid w:val="00827D71"/>
    <w:rsid w:val="00827E3D"/>
    <w:rsid w:val="00827F20"/>
    <w:rsid w:val="00830502"/>
    <w:rsid w:val="008306C7"/>
    <w:rsid w:val="00830723"/>
    <w:rsid w:val="00830C10"/>
    <w:rsid w:val="00830CFA"/>
    <w:rsid w:val="0083158F"/>
    <w:rsid w:val="00831A9E"/>
    <w:rsid w:val="00831B67"/>
    <w:rsid w:val="00831F77"/>
    <w:rsid w:val="00832AD2"/>
    <w:rsid w:val="00832F20"/>
    <w:rsid w:val="00833246"/>
    <w:rsid w:val="00833364"/>
    <w:rsid w:val="008333EA"/>
    <w:rsid w:val="0083349D"/>
    <w:rsid w:val="00833B47"/>
    <w:rsid w:val="00833ECF"/>
    <w:rsid w:val="0083403F"/>
    <w:rsid w:val="0083489E"/>
    <w:rsid w:val="00834B4F"/>
    <w:rsid w:val="00835072"/>
    <w:rsid w:val="0083544F"/>
    <w:rsid w:val="0083583C"/>
    <w:rsid w:val="008359B3"/>
    <w:rsid w:val="00835A76"/>
    <w:rsid w:val="00835C4F"/>
    <w:rsid w:val="008367B0"/>
    <w:rsid w:val="00836B10"/>
    <w:rsid w:val="00837405"/>
    <w:rsid w:val="0083756E"/>
    <w:rsid w:val="008379BA"/>
    <w:rsid w:val="00837A3F"/>
    <w:rsid w:val="0084050D"/>
    <w:rsid w:val="00840517"/>
    <w:rsid w:val="00840689"/>
    <w:rsid w:val="00840825"/>
    <w:rsid w:val="00841320"/>
    <w:rsid w:val="008422DC"/>
    <w:rsid w:val="008428EE"/>
    <w:rsid w:val="008433C8"/>
    <w:rsid w:val="00843769"/>
    <w:rsid w:val="0084376D"/>
    <w:rsid w:val="00843826"/>
    <w:rsid w:val="00844062"/>
    <w:rsid w:val="00844123"/>
    <w:rsid w:val="008441B4"/>
    <w:rsid w:val="00844312"/>
    <w:rsid w:val="0084450B"/>
    <w:rsid w:val="0084540D"/>
    <w:rsid w:val="00845ABC"/>
    <w:rsid w:val="00845ACE"/>
    <w:rsid w:val="00845BF0"/>
    <w:rsid w:val="00845C4F"/>
    <w:rsid w:val="00846512"/>
    <w:rsid w:val="008465E9"/>
    <w:rsid w:val="0084719F"/>
    <w:rsid w:val="00847AA6"/>
    <w:rsid w:val="008509B7"/>
    <w:rsid w:val="0085111F"/>
    <w:rsid w:val="00851155"/>
    <w:rsid w:val="00851333"/>
    <w:rsid w:val="00851A16"/>
    <w:rsid w:val="00851B08"/>
    <w:rsid w:val="00851B67"/>
    <w:rsid w:val="00851B8B"/>
    <w:rsid w:val="00851BCD"/>
    <w:rsid w:val="00851C69"/>
    <w:rsid w:val="00851FB9"/>
    <w:rsid w:val="008523D1"/>
    <w:rsid w:val="008524C9"/>
    <w:rsid w:val="00852965"/>
    <w:rsid w:val="00852C86"/>
    <w:rsid w:val="0085392B"/>
    <w:rsid w:val="00853978"/>
    <w:rsid w:val="00853B98"/>
    <w:rsid w:val="00853C8B"/>
    <w:rsid w:val="00854083"/>
    <w:rsid w:val="00854551"/>
    <w:rsid w:val="008545BF"/>
    <w:rsid w:val="00854773"/>
    <w:rsid w:val="00854D7E"/>
    <w:rsid w:val="00855197"/>
    <w:rsid w:val="0085519F"/>
    <w:rsid w:val="0085523C"/>
    <w:rsid w:val="008552B4"/>
    <w:rsid w:val="008554AD"/>
    <w:rsid w:val="00855917"/>
    <w:rsid w:val="00856304"/>
    <w:rsid w:val="00856311"/>
    <w:rsid w:val="00856BDD"/>
    <w:rsid w:val="00857634"/>
    <w:rsid w:val="008579AF"/>
    <w:rsid w:val="00857B1E"/>
    <w:rsid w:val="00857B22"/>
    <w:rsid w:val="00857BDA"/>
    <w:rsid w:val="00857F03"/>
    <w:rsid w:val="00857F54"/>
    <w:rsid w:val="0086021C"/>
    <w:rsid w:val="00860333"/>
    <w:rsid w:val="008619BC"/>
    <w:rsid w:val="008619CF"/>
    <w:rsid w:val="00861F79"/>
    <w:rsid w:val="00862105"/>
    <w:rsid w:val="00862407"/>
    <w:rsid w:val="008624B3"/>
    <w:rsid w:val="0086277E"/>
    <w:rsid w:val="0086288F"/>
    <w:rsid w:val="00862CF3"/>
    <w:rsid w:val="0086358F"/>
    <w:rsid w:val="008647E6"/>
    <w:rsid w:val="0086532B"/>
    <w:rsid w:val="0086541B"/>
    <w:rsid w:val="0086629C"/>
    <w:rsid w:val="008663BC"/>
    <w:rsid w:val="008665AF"/>
    <w:rsid w:val="00866B50"/>
    <w:rsid w:val="00866CA5"/>
    <w:rsid w:val="0086772D"/>
    <w:rsid w:val="00867846"/>
    <w:rsid w:val="00867E6D"/>
    <w:rsid w:val="00867F67"/>
    <w:rsid w:val="00867FD8"/>
    <w:rsid w:val="0087006A"/>
    <w:rsid w:val="0087014A"/>
    <w:rsid w:val="0087029C"/>
    <w:rsid w:val="008705E0"/>
    <w:rsid w:val="0087086B"/>
    <w:rsid w:val="00870E88"/>
    <w:rsid w:val="00870F38"/>
    <w:rsid w:val="0087167A"/>
    <w:rsid w:val="008717F8"/>
    <w:rsid w:val="008719F4"/>
    <w:rsid w:val="008720F8"/>
    <w:rsid w:val="00872422"/>
    <w:rsid w:val="00872920"/>
    <w:rsid w:val="008738E5"/>
    <w:rsid w:val="00873EFD"/>
    <w:rsid w:val="0087454B"/>
    <w:rsid w:val="00874582"/>
    <w:rsid w:val="008748AB"/>
    <w:rsid w:val="00874D5D"/>
    <w:rsid w:val="00874F5D"/>
    <w:rsid w:val="008751B6"/>
    <w:rsid w:val="00875D93"/>
    <w:rsid w:val="0087686C"/>
    <w:rsid w:val="00876A1D"/>
    <w:rsid w:val="00876CE7"/>
    <w:rsid w:val="00877C41"/>
    <w:rsid w:val="008801D7"/>
    <w:rsid w:val="00880567"/>
    <w:rsid w:val="00880D83"/>
    <w:rsid w:val="00881413"/>
    <w:rsid w:val="00881995"/>
    <w:rsid w:val="00881A62"/>
    <w:rsid w:val="00881AE0"/>
    <w:rsid w:val="0088206C"/>
    <w:rsid w:val="008824D8"/>
    <w:rsid w:val="00882CFA"/>
    <w:rsid w:val="00883858"/>
    <w:rsid w:val="00883A04"/>
    <w:rsid w:val="00883F1C"/>
    <w:rsid w:val="00884202"/>
    <w:rsid w:val="00884697"/>
    <w:rsid w:val="00884F7C"/>
    <w:rsid w:val="00885062"/>
    <w:rsid w:val="008850EC"/>
    <w:rsid w:val="0088555E"/>
    <w:rsid w:val="0088577C"/>
    <w:rsid w:val="008860EE"/>
    <w:rsid w:val="008864F0"/>
    <w:rsid w:val="00886B74"/>
    <w:rsid w:val="00886E69"/>
    <w:rsid w:val="00887015"/>
    <w:rsid w:val="008873DA"/>
    <w:rsid w:val="00887920"/>
    <w:rsid w:val="00887CA8"/>
    <w:rsid w:val="00890140"/>
    <w:rsid w:val="00890142"/>
    <w:rsid w:val="00890417"/>
    <w:rsid w:val="0089085D"/>
    <w:rsid w:val="0089151A"/>
    <w:rsid w:val="00891B0D"/>
    <w:rsid w:val="00891BC6"/>
    <w:rsid w:val="008921DB"/>
    <w:rsid w:val="00892391"/>
    <w:rsid w:val="008923A7"/>
    <w:rsid w:val="0089282E"/>
    <w:rsid w:val="00892B4F"/>
    <w:rsid w:val="00893725"/>
    <w:rsid w:val="00894F32"/>
    <w:rsid w:val="00895B1D"/>
    <w:rsid w:val="00895F65"/>
    <w:rsid w:val="00896438"/>
    <w:rsid w:val="00896ABE"/>
    <w:rsid w:val="00896D95"/>
    <w:rsid w:val="008970CE"/>
    <w:rsid w:val="00897176"/>
    <w:rsid w:val="00897701"/>
    <w:rsid w:val="00897E19"/>
    <w:rsid w:val="008A1726"/>
    <w:rsid w:val="008A2514"/>
    <w:rsid w:val="008A29F5"/>
    <w:rsid w:val="008A2CD3"/>
    <w:rsid w:val="008A3311"/>
    <w:rsid w:val="008A3491"/>
    <w:rsid w:val="008A3497"/>
    <w:rsid w:val="008A3B8A"/>
    <w:rsid w:val="008A4103"/>
    <w:rsid w:val="008A4441"/>
    <w:rsid w:val="008A4C39"/>
    <w:rsid w:val="008A5383"/>
    <w:rsid w:val="008A58A7"/>
    <w:rsid w:val="008A6258"/>
    <w:rsid w:val="008A66E0"/>
    <w:rsid w:val="008A6B3A"/>
    <w:rsid w:val="008A6F94"/>
    <w:rsid w:val="008A6FC0"/>
    <w:rsid w:val="008A78A3"/>
    <w:rsid w:val="008B012D"/>
    <w:rsid w:val="008B02F4"/>
    <w:rsid w:val="008B0414"/>
    <w:rsid w:val="008B064E"/>
    <w:rsid w:val="008B0697"/>
    <w:rsid w:val="008B16B0"/>
    <w:rsid w:val="008B1A91"/>
    <w:rsid w:val="008B1DE6"/>
    <w:rsid w:val="008B2501"/>
    <w:rsid w:val="008B254D"/>
    <w:rsid w:val="008B2D0B"/>
    <w:rsid w:val="008B2DE1"/>
    <w:rsid w:val="008B379D"/>
    <w:rsid w:val="008B3883"/>
    <w:rsid w:val="008B3A1B"/>
    <w:rsid w:val="008B46E5"/>
    <w:rsid w:val="008B4DC8"/>
    <w:rsid w:val="008B566C"/>
    <w:rsid w:val="008B568F"/>
    <w:rsid w:val="008B5C6F"/>
    <w:rsid w:val="008B668A"/>
    <w:rsid w:val="008B67D1"/>
    <w:rsid w:val="008B68CF"/>
    <w:rsid w:val="008B745A"/>
    <w:rsid w:val="008B7780"/>
    <w:rsid w:val="008B7E77"/>
    <w:rsid w:val="008B7FA3"/>
    <w:rsid w:val="008C05C3"/>
    <w:rsid w:val="008C1304"/>
    <w:rsid w:val="008C2436"/>
    <w:rsid w:val="008C24DF"/>
    <w:rsid w:val="008C2722"/>
    <w:rsid w:val="008C35F0"/>
    <w:rsid w:val="008C36FA"/>
    <w:rsid w:val="008C4121"/>
    <w:rsid w:val="008C43B6"/>
    <w:rsid w:val="008C4432"/>
    <w:rsid w:val="008C49A5"/>
    <w:rsid w:val="008C4E4F"/>
    <w:rsid w:val="008C531E"/>
    <w:rsid w:val="008C56C1"/>
    <w:rsid w:val="008C57ED"/>
    <w:rsid w:val="008C5A34"/>
    <w:rsid w:val="008C675D"/>
    <w:rsid w:val="008C6B0C"/>
    <w:rsid w:val="008C734B"/>
    <w:rsid w:val="008C7516"/>
    <w:rsid w:val="008C77B8"/>
    <w:rsid w:val="008C79AE"/>
    <w:rsid w:val="008D05A7"/>
    <w:rsid w:val="008D0607"/>
    <w:rsid w:val="008D0D5B"/>
    <w:rsid w:val="008D1028"/>
    <w:rsid w:val="008D12D9"/>
    <w:rsid w:val="008D19A1"/>
    <w:rsid w:val="008D1DB4"/>
    <w:rsid w:val="008D1E0C"/>
    <w:rsid w:val="008D3491"/>
    <w:rsid w:val="008D372F"/>
    <w:rsid w:val="008D3E1E"/>
    <w:rsid w:val="008D3FB5"/>
    <w:rsid w:val="008D42B2"/>
    <w:rsid w:val="008D5A01"/>
    <w:rsid w:val="008D6298"/>
    <w:rsid w:val="008D6610"/>
    <w:rsid w:val="008D6780"/>
    <w:rsid w:val="008D6EA8"/>
    <w:rsid w:val="008D7EEA"/>
    <w:rsid w:val="008D7F78"/>
    <w:rsid w:val="008E09F6"/>
    <w:rsid w:val="008E0CFE"/>
    <w:rsid w:val="008E1270"/>
    <w:rsid w:val="008E1412"/>
    <w:rsid w:val="008E1989"/>
    <w:rsid w:val="008E1B3C"/>
    <w:rsid w:val="008E1D54"/>
    <w:rsid w:val="008E1E92"/>
    <w:rsid w:val="008E29C8"/>
    <w:rsid w:val="008E2A16"/>
    <w:rsid w:val="008E3EB9"/>
    <w:rsid w:val="008E41FA"/>
    <w:rsid w:val="008E4359"/>
    <w:rsid w:val="008E54FF"/>
    <w:rsid w:val="008E5560"/>
    <w:rsid w:val="008E5614"/>
    <w:rsid w:val="008E570E"/>
    <w:rsid w:val="008E58C4"/>
    <w:rsid w:val="008E602D"/>
    <w:rsid w:val="008E605E"/>
    <w:rsid w:val="008E6AE9"/>
    <w:rsid w:val="008E6F3B"/>
    <w:rsid w:val="008E76C5"/>
    <w:rsid w:val="008E7A19"/>
    <w:rsid w:val="008E7C7E"/>
    <w:rsid w:val="008E7DEB"/>
    <w:rsid w:val="008E7F88"/>
    <w:rsid w:val="008F014C"/>
    <w:rsid w:val="008F0C06"/>
    <w:rsid w:val="008F0FFA"/>
    <w:rsid w:val="008F17EA"/>
    <w:rsid w:val="008F1B73"/>
    <w:rsid w:val="008F1D96"/>
    <w:rsid w:val="008F2064"/>
    <w:rsid w:val="008F2AF3"/>
    <w:rsid w:val="008F3072"/>
    <w:rsid w:val="008F44CA"/>
    <w:rsid w:val="008F460F"/>
    <w:rsid w:val="008F4882"/>
    <w:rsid w:val="008F4AF1"/>
    <w:rsid w:val="008F4DB6"/>
    <w:rsid w:val="008F5142"/>
    <w:rsid w:val="008F52DB"/>
    <w:rsid w:val="008F55E5"/>
    <w:rsid w:val="008F5E52"/>
    <w:rsid w:val="008F6128"/>
    <w:rsid w:val="008F6412"/>
    <w:rsid w:val="008F6DD3"/>
    <w:rsid w:val="008F73D1"/>
    <w:rsid w:val="008F75E4"/>
    <w:rsid w:val="008F79F3"/>
    <w:rsid w:val="009010A0"/>
    <w:rsid w:val="00901187"/>
    <w:rsid w:val="009011B2"/>
    <w:rsid w:val="00901273"/>
    <w:rsid w:val="00902774"/>
    <w:rsid w:val="00903A49"/>
    <w:rsid w:val="00903B14"/>
    <w:rsid w:val="00903BE9"/>
    <w:rsid w:val="0090439F"/>
    <w:rsid w:val="00904427"/>
    <w:rsid w:val="00904BF9"/>
    <w:rsid w:val="00904DBD"/>
    <w:rsid w:val="0090519A"/>
    <w:rsid w:val="0090610C"/>
    <w:rsid w:val="0090690A"/>
    <w:rsid w:val="00907B62"/>
    <w:rsid w:val="009117B4"/>
    <w:rsid w:val="00911D18"/>
    <w:rsid w:val="00911D35"/>
    <w:rsid w:val="00912F44"/>
    <w:rsid w:val="0091300E"/>
    <w:rsid w:val="00913400"/>
    <w:rsid w:val="00913F3E"/>
    <w:rsid w:val="00913FCA"/>
    <w:rsid w:val="00914228"/>
    <w:rsid w:val="0091462D"/>
    <w:rsid w:val="00914956"/>
    <w:rsid w:val="00914C63"/>
    <w:rsid w:val="00914D5A"/>
    <w:rsid w:val="00915851"/>
    <w:rsid w:val="009159BE"/>
    <w:rsid w:val="00915C42"/>
    <w:rsid w:val="00915F44"/>
    <w:rsid w:val="009161C6"/>
    <w:rsid w:val="00917146"/>
    <w:rsid w:val="00917605"/>
    <w:rsid w:val="00917909"/>
    <w:rsid w:val="00917A84"/>
    <w:rsid w:val="00917BC4"/>
    <w:rsid w:val="00917D76"/>
    <w:rsid w:val="00917E3F"/>
    <w:rsid w:val="00917F25"/>
    <w:rsid w:val="00920429"/>
    <w:rsid w:val="00920876"/>
    <w:rsid w:val="00920DE9"/>
    <w:rsid w:val="00920F53"/>
    <w:rsid w:val="0092106A"/>
    <w:rsid w:val="009210A9"/>
    <w:rsid w:val="0092207D"/>
    <w:rsid w:val="0092226F"/>
    <w:rsid w:val="009225C2"/>
    <w:rsid w:val="00922EFE"/>
    <w:rsid w:val="00922F74"/>
    <w:rsid w:val="0092347B"/>
    <w:rsid w:val="009236BE"/>
    <w:rsid w:val="00924003"/>
    <w:rsid w:val="00924133"/>
    <w:rsid w:val="00924332"/>
    <w:rsid w:val="00924498"/>
    <w:rsid w:val="0092470A"/>
    <w:rsid w:val="0092534A"/>
    <w:rsid w:val="0092566F"/>
    <w:rsid w:val="00925878"/>
    <w:rsid w:val="009259B3"/>
    <w:rsid w:val="00926081"/>
    <w:rsid w:val="009269D2"/>
    <w:rsid w:val="009269F8"/>
    <w:rsid w:val="00926B4C"/>
    <w:rsid w:val="009276DE"/>
    <w:rsid w:val="009279C1"/>
    <w:rsid w:val="00927C2D"/>
    <w:rsid w:val="00927CB4"/>
    <w:rsid w:val="00930115"/>
    <w:rsid w:val="009303A6"/>
    <w:rsid w:val="009304D4"/>
    <w:rsid w:val="0093078C"/>
    <w:rsid w:val="009308D4"/>
    <w:rsid w:val="009309E3"/>
    <w:rsid w:val="00930A92"/>
    <w:rsid w:val="00930DFE"/>
    <w:rsid w:val="00930F16"/>
    <w:rsid w:val="00931A91"/>
    <w:rsid w:val="009320F8"/>
    <w:rsid w:val="0093291C"/>
    <w:rsid w:val="00933106"/>
    <w:rsid w:val="00933B37"/>
    <w:rsid w:val="00934097"/>
    <w:rsid w:val="0093434F"/>
    <w:rsid w:val="0093438C"/>
    <w:rsid w:val="009343DC"/>
    <w:rsid w:val="00934487"/>
    <w:rsid w:val="00934570"/>
    <w:rsid w:val="0093459B"/>
    <w:rsid w:val="00934A25"/>
    <w:rsid w:val="00934B4F"/>
    <w:rsid w:val="009354D1"/>
    <w:rsid w:val="00936987"/>
    <w:rsid w:val="00936ABB"/>
    <w:rsid w:val="009376D5"/>
    <w:rsid w:val="009403D7"/>
    <w:rsid w:val="00940EA2"/>
    <w:rsid w:val="00941125"/>
    <w:rsid w:val="009419F5"/>
    <w:rsid w:val="00941A17"/>
    <w:rsid w:val="00941D3D"/>
    <w:rsid w:val="00942033"/>
    <w:rsid w:val="0094249B"/>
    <w:rsid w:val="0094270E"/>
    <w:rsid w:val="00942F09"/>
    <w:rsid w:val="0094341A"/>
    <w:rsid w:val="0094371D"/>
    <w:rsid w:val="00943EF4"/>
    <w:rsid w:val="009442F8"/>
    <w:rsid w:val="009448AC"/>
    <w:rsid w:val="00944BDF"/>
    <w:rsid w:val="009457AC"/>
    <w:rsid w:val="009458C7"/>
    <w:rsid w:val="00945AD4"/>
    <w:rsid w:val="00945EEC"/>
    <w:rsid w:val="009463AB"/>
    <w:rsid w:val="009465A9"/>
    <w:rsid w:val="00946689"/>
    <w:rsid w:val="00946711"/>
    <w:rsid w:val="00946AB4"/>
    <w:rsid w:val="00946D46"/>
    <w:rsid w:val="009473D5"/>
    <w:rsid w:val="0094783B"/>
    <w:rsid w:val="0094783E"/>
    <w:rsid w:val="00947BE6"/>
    <w:rsid w:val="00947DA6"/>
    <w:rsid w:val="00950497"/>
    <w:rsid w:val="00950F46"/>
    <w:rsid w:val="009514FE"/>
    <w:rsid w:val="00951882"/>
    <w:rsid w:val="00951BD8"/>
    <w:rsid w:val="00952335"/>
    <w:rsid w:val="0095234E"/>
    <w:rsid w:val="00952532"/>
    <w:rsid w:val="00952BA9"/>
    <w:rsid w:val="00953D0A"/>
    <w:rsid w:val="0095471A"/>
    <w:rsid w:val="0095560D"/>
    <w:rsid w:val="00955695"/>
    <w:rsid w:val="009562A7"/>
    <w:rsid w:val="00956604"/>
    <w:rsid w:val="00956DE9"/>
    <w:rsid w:val="009571B9"/>
    <w:rsid w:val="00957211"/>
    <w:rsid w:val="0095746F"/>
    <w:rsid w:val="009574E4"/>
    <w:rsid w:val="00957579"/>
    <w:rsid w:val="0095794B"/>
    <w:rsid w:val="00957E88"/>
    <w:rsid w:val="009606A5"/>
    <w:rsid w:val="00960A33"/>
    <w:rsid w:val="00960A56"/>
    <w:rsid w:val="00960C39"/>
    <w:rsid w:val="00960E47"/>
    <w:rsid w:val="00961DDF"/>
    <w:rsid w:val="009628C7"/>
    <w:rsid w:val="00962D6B"/>
    <w:rsid w:val="0096302B"/>
    <w:rsid w:val="00964372"/>
    <w:rsid w:val="0096548E"/>
    <w:rsid w:val="00966496"/>
    <w:rsid w:val="0096662C"/>
    <w:rsid w:val="0096699F"/>
    <w:rsid w:val="00970406"/>
    <w:rsid w:val="00970478"/>
    <w:rsid w:val="0097082E"/>
    <w:rsid w:val="00970B8D"/>
    <w:rsid w:val="00970F92"/>
    <w:rsid w:val="009732E9"/>
    <w:rsid w:val="00973715"/>
    <w:rsid w:val="00974786"/>
    <w:rsid w:val="00974A36"/>
    <w:rsid w:val="00975005"/>
    <w:rsid w:val="00975571"/>
    <w:rsid w:val="00975A01"/>
    <w:rsid w:val="00975B0E"/>
    <w:rsid w:val="00975CA2"/>
    <w:rsid w:val="00975D4C"/>
    <w:rsid w:val="00975EAF"/>
    <w:rsid w:val="00976077"/>
    <w:rsid w:val="00976290"/>
    <w:rsid w:val="00977050"/>
    <w:rsid w:val="009770F4"/>
    <w:rsid w:val="00977770"/>
    <w:rsid w:val="00977AEA"/>
    <w:rsid w:val="00977D30"/>
    <w:rsid w:val="0098008C"/>
    <w:rsid w:val="009804A0"/>
    <w:rsid w:val="009809BD"/>
    <w:rsid w:val="00981DD6"/>
    <w:rsid w:val="009823E4"/>
    <w:rsid w:val="00982D1D"/>
    <w:rsid w:val="00982DA7"/>
    <w:rsid w:val="00983E28"/>
    <w:rsid w:val="0098400D"/>
    <w:rsid w:val="00984376"/>
    <w:rsid w:val="00984C78"/>
    <w:rsid w:val="00984D26"/>
    <w:rsid w:val="00985D38"/>
    <w:rsid w:val="00985E4D"/>
    <w:rsid w:val="009861AC"/>
    <w:rsid w:val="009863E3"/>
    <w:rsid w:val="00986BE0"/>
    <w:rsid w:val="00986D41"/>
    <w:rsid w:val="00987A8D"/>
    <w:rsid w:val="00987FF3"/>
    <w:rsid w:val="009907CC"/>
    <w:rsid w:val="009909B0"/>
    <w:rsid w:val="00990BF0"/>
    <w:rsid w:val="00990E19"/>
    <w:rsid w:val="009917E2"/>
    <w:rsid w:val="0099188D"/>
    <w:rsid w:val="00993329"/>
    <w:rsid w:val="00993596"/>
    <w:rsid w:val="00993B80"/>
    <w:rsid w:val="00993C3A"/>
    <w:rsid w:val="00994385"/>
    <w:rsid w:val="0099547A"/>
    <w:rsid w:val="0099592B"/>
    <w:rsid w:val="009959B5"/>
    <w:rsid w:val="0099680F"/>
    <w:rsid w:val="0099682B"/>
    <w:rsid w:val="009968C9"/>
    <w:rsid w:val="00996F93"/>
    <w:rsid w:val="00997A96"/>
    <w:rsid w:val="00997D60"/>
    <w:rsid w:val="009A0237"/>
    <w:rsid w:val="009A03B8"/>
    <w:rsid w:val="009A0496"/>
    <w:rsid w:val="009A0923"/>
    <w:rsid w:val="009A0B86"/>
    <w:rsid w:val="009A0D8A"/>
    <w:rsid w:val="009A12D7"/>
    <w:rsid w:val="009A1637"/>
    <w:rsid w:val="009A1872"/>
    <w:rsid w:val="009A1FF9"/>
    <w:rsid w:val="009A20D8"/>
    <w:rsid w:val="009A2136"/>
    <w:rsid w:val="009A3095"/>
    <w:rsid w:val="009A313F"/>
    <w:rsid w:val="009A3888"/>
    <w:rsid w:val="009A4280"/>
    <w:rsid w:val="009A4449"/>
    <w:rsid w:val="009A44CC"/>
    <w:rsid w:val="009A45E1"/>
    <w:rsid w:val="009A4B23"/>
    <w:rsid w:val="009A4F6D"/>
    <w:rsid w:val="009A54CE"/>
    <w:rsid w:val="009A5E55"/>
    <w:rsid w:val="009A6338"/>
    <w:rsid w:val="009A6936"/>
    <w:rsid w:val="009A790C"/>
    <w:rsid w:val="009A7A36"/>
    <w:rsid w:val="009A7B1B"/>
    <w:rsid w:val="009A7C2E"/>
    <w:rsid w:val="009A7C75"/>
    <w:rsid w:val="009A7D00"/>
    <w:rsid w:val="009B0235"/>
    <w:rsid w:val="009B06E4"/>
    <w:rsid w:val="009B0C05"/>
    <w:rsid w:val="009B14C4"/>
    <w:rsid w:val="009B15A7"/>
    <w:rsid w:val="009B15B6"/>
    <w:rsid w:val="009B1939"/>
    <w:rsid w:val="009B1946"/>
    <w:rsid w:val="009B1B63"/>
    <w:rsid w:val="009B1B9B"/>
    <w:rsid w:val="009B209B"/>
    <w:rsid w:val="009B21F6"/>
    <w:rsid w:val="009B229E"/>
    <w:rsid w:val="009B2A3F"/>
    <w:rsid w:val="009B3144"/>
    <w:rsid w:val="009B315C"/>
    <w:rsid w:val="009B3BCF"/>
    <w:rsid w:val="009B446C"/>
    <w:rsid w:val="009B5818"/>
    <w:rsid w:val="009B6626"/>
    <w:rsid w:val="009B6706"/>
    <w:rsid w:val="009B69F4"/>
    <w:rsid w:val="009B6FB5"/>
    <w:rsid w:val="009B796D"/>
    <w:rsid w:val="009C0009"/>
    <w:rsid w:val="009C01D9"/>
    <w:rsid w:val="009C0314"/>
    <w:rsid w:val="009C0329"/>
    <w:rsid w:val="009C0580"/>
    <w:rsid w:val="009C084C"/>
    <w:rsid w:val="009C08E2"/>
    <w:rsid w:val="009C0AD7"/>
    <w:rsid w:val="009C0B80"/>
    <w:rsid w:val="009C0D7A"/>
    <w:rsid w:val="009C0EA3"/>
    <w:rsid w:val="009C14D4"/>
    <w:rsid w:val="009C15EF"/>
    <w:rsid w:val="009C1995"/>
    <w:rsid w:val="009C1B14"/>
    <w:rsid w:val="009C217F"/>
    <w:rsid w:val="009C2563"/>
    <w:rsid w:val="009C2E20"/>
    <w:rsid w:val="009C318F"/>
    <w:rsid w:val="009C4175"/>
    <w:rsid w:val="009C4836"/>
    <w:rsid w:val="009C499A"/>
    <w:rsid w:val="009C4A86"/>
    <w:rsid w:val="009C4B43"/>
    <w:rsid w:val="009C5185"/>
    <w:rsid w:val="009C5C02"/>
    <w:rsid w:val="009C6390"/>
    <w:rsid w:val="009C63D1"/>
    <w:rsid w:val="009C6F50"/>
    <w:rsid w:val="009C745A"/>
    <w:rsid w:val="009C74C1"/>
    <w:rsid w:val="009D0429"/>
    <w:rsid w:val="009D042F"/>
    <w:rsid w:val="009D0A58"/>
    <w:rsid w:val="009D0A8A"/>
    <w:rsid w:val="009D0F07"/>
    <w:rsid w:val="009D14DA"/>
    <w:rsid w:val="009D1565"/>
    <w:rsid w:val="009D168A"/>
    <w:rsid w:val="009D1964"/>
    <w:rsid w:val="009D3153"/>
    <w:rsid w:val="009D324D"/>
    <w:rsid w:val="009D37A9"/>
    <w:rsid w:val="009D4026"/>
    <w:rsid w:val="009D4609"/>
    <w:rsid w:val="009D4D19"/>
    <w:rsid w:val="009D50BC"/>
    <w:rsid w:val="009D5791"/>
    <w:rsid w:val="009D57E9"/>
    <w:rsid w:val="009D58A1"/>
    <w:rsid w:val="009D598C"/>
    <w:rsid w:val="009D5CA7"/>
    <w:rsid w:val="009D6644"/>
    <w:rsid w:val="009D7065"/>
    <w:rsid w:val="009D7274"/>
    <w:rsid w:val="009E0528"/>
    <w:rsid w:val="009E0C65"/>
    <w:rsid w:val="009E2621"/>
    <w:rsid w:val="009E2D57"/>
    <w:rsid w:val="009E2E03"/>
    <w:rsid w:val="009E2FB7"/>
    <w:rsid w:val="009E329C"/>
    <w:rsid w:val="009E439A"/>
    <w:rsid w:val="009E457F"/>
    <w:rsid w:val="009E4842"/>
    <w:rsid w:val="009E4BF4"/>
    <w:rsid w:val="009E5349"/>
    <w:rsid w:val="009E5568"/>
    <w:rsid w:val="009E60C8"/>
    <w:rsid w:val="009E6556"/>
    <w:rsid w:val="009E6C67"/>
    <w:rsid w:val="009E755A"/>
    <w:rsid w:val="009E7606"/>
    <w:rsid w:val="009F088D"/>
    <w:rsid w:val="009F09E7"/>
    <w:rsid w:val="009F135B"/>
    <w:rsid w:val="009F16AC"/>
    <w:rsid w:val="009F1D1D"/>
    <w:rsid w:val="009F208C"/>
    <w:rsid w:val="009F22C6"/>
    <w:rsid w:val="009F2845"/>
    <w:rsid w:val="009F2898"/>
    <w:rsid w:val="009F348F"/>
    <w:rsid w:val="009F4A44"/>
    <w:rsid w:val="009F50DC"/>
    <w:rsid w:val="009F50E1"/>
    <w:rsid w:val="009F5256"/>
    <w:rsid w:val="009F5689"/>
    <w:rsid w:val="009F59C1"/>
    <w:rsid w:val="009F5BE4"/>
    <w:rsid w:val="009F5D30"/>
    <w:rsid w:val="009F6DC5"/>
    <w:rsid w:val="009F7ACF"/>
    <w:rsid w:val="009F7B9B"/>
    <w:rsid w:val="009F7C8C"/>
    <w:rsid w:val="00A006F9"/>
    <w:rsid w:val="00A00CC5"/>
    <w:rsid w:val="00A02356"/>
    <w:rsid w:val="00A02BAB"/>
    <w:rsid w:val="00A035A8"/>
    <w:rsid w:val="00A039CB"/>
    <w:rsid w:val="00A03A78"/>
    <w:rsid w:val="00A040E5"/>
    <w:rsid w:val="00A04988"/>
    <w:rsid w:val="00A05210"/>
    <w:rsid w:val="00A05249"/>
    <w:rsid w:val="00A0528D"/>
    <w:rsid w:val="00A0550D"/>
    <w:rsid w:val="00A05589"/>
    <w:rsid w:val="00A05F86"/>
    <w:rsid w:val="00A06B94"/>
    <w:rsid w:val="00A10A41"/>
    <w:rsid w:val="00A10A52"/>
    <w:rsid w:val="00A10E4C"/>
    <w:rsid w:val="00A110F6"/>
    <w:rsid w:val="00A11237"/>
    <w:rsid w:val="00A112C0"/>
    <w:rsid w:val="00A1132D"/>
    <w:rsid w:val="00A11BFD"/>
    <w:rsid w:val="00A12097"/>
    <w:rsid w:val="00A12124"/>
    <w:rsid w:val="00A121CE"/>
    <w:rsid w:val="00A12A2B"/>
    <w:rsid w:val="00A12B2F"/>
    <w:rsid w:val="00A12DA4"/>
    <w:rsid w:val="00A132B6"/>
    <w:rsid w:val="00A138A1"/>
    <w:rsid w:val="00A138CD"/>
    <w:rsid w:val="00A13B14"/>
    <w:rsid w:val="00A13B18"/>
    <w:rsid w:val="00A13C80"/>
    <w:rsid w:val="00A14294"/>
    <w:rsid w:val="00A14360"/>
    <w:rsid w:val="00A14696"/>
    <w:rsid w:val="00A159FF"/>
    <w:rsid w:val="00A15FC8"/>
    <w:rsid w:val="00A1609C"/>
    <w:rsid w:val="00A16196"/>
    <w:rsid w:val="00A164F6"/>
    <w:rsid w:val="00A16A3C"/>
    <w:rsid w:val="00A16FE6"/>
    <w:rsid w:val="00A17610"/>
    <w:rsid w:val="00A179A9"/>
    <w:rsid w:val="00A17BFF"/>
    <w:rsid w:val="00A20511"/>
    <w:rsid w:val="00A205DB"/>
    <w:rsid w:val="00A212C5"/>
    <w:rsid w:val="00A2168B"/>
    <w:rsid w:val="00A21733"/>
    <w:rsid w:val="00A222A6"/>
    <w:rsid w:val="00A22577"/>
    <w:rsid w:val="00A229EC"/>
    <w:rsid w:val="00A23177"/>
    <w:rsid w:val="00A23B04"/>
    <w:rsid w:val="00A24678"/>
    <w:rsid w:val="00A25135"/>
    <w:rsid w:val="00A2518D"/>
    <w:rsid w:val="00A25887"/>
    <w:rsid w:val="00A258A6"/>
    <w:rsid w:val="00A25AE3"/>
    <w:rsid w:val="00A26643"/>
    <w:rsid w:val="00A267A7"/>
    <w:rsid w:val="00A275EC"/>
    <w:rsid w:val="00A30479"/>
    <w:rsid w:val="00A30815"/>
    <w:rsid w:val="00A3091E"/>
    <w:rsid w:val="00A30C37"/>
    <w:rsid w:val="00A30F84"/>
    <w:rsid w:val="00A311AD"/>
    <w:rsid w:val="00A316A9"/>
    <w:rsid w:val="00A317A3"/>
    <w:rsid w:val="00A31963"/>
    <w:rsid w:val="00A3211A"/>
    <w:rsid w:val="00A32160"/>
    <w:rsid w:val="00A32200"/>
    <w:rsid w:val="00A32342"/>
    <w:rsid w:val="00A32909"/>
    <w:rsid w:val="00A3294E"/>
    <w:rsid w:val="00A32CEC"/>
    <w:rsid w:val="00A33599"/>
    <w:rsid w:val="00A336D0"/>
    <w:rsid w:val="00A33AEE"/>
    <w:rsid w:val="00A34A2E"/>
    <w:rsid w:val="00A35753"/>
    <w:rsid w:val="00A35B19"/>
    <w:rsid w:val="00A35B7F"/>
    <w:rsid w:val="00A35FE0"/>
    <w:rsid w:val="00A367D8"/>
    <w:rsid w:val="00A36B4E"/>
    <w:rsid w:val="00A3762A"/>
    <w:rsid w:val="00A37BCA"/>
    <w:rsid w:val="00A407B6"/>
    <w:rsid w:val="00A40AE7"/>
    <w:rsid w:val="00A40BC9"/>
    <w:rsid w:val="00A40C3A"/>
    <w:rsid w:val="00A4296B"/>
    <w:rsid w:val="00A43004"/>
    <w:rsid w:val="00A4370C"/>
    <w:rsid w:val="00A445D0"/>
    <w:rsid w:val="00A447D2"/>
    <w:rsid w:val="00A44EE2"/>
    <w:rsid w:val="00A457DE"/>
    <w:rsid w:val="00A45822"/>
    <w:rsid w:val="00A45AAB"/>
    <w:rsid w:val="00A45F48"/>
    <w:rsid w:val="00A46364"/>
    <w:rsid w:val="00A46551"/>
    <w:rsid w:val="00A46575"/>
    <w:rsid w:val="00A46CEF"/>
    <w:rsid w:val="00A46EE7"/>
    <w:rsid w:val="00A474B1"/>
    <w:rsid w:val="00A47514"/>
    <w:rsid w:val="00A4755B"/>
    <w:rsid w:val="00A47B70"/>
    <w:rsid w:val="00A47DCC"/>
    <w:rsid w:val="00A47DE8"/>
    <w:rsid w:val="00A47E97"/>
    <w:rsid w:val="00A504A5"/>
    <w:rsid w:val="00A504DB"/>
    <w:rsid w:val="00A50AAE"/>
    <w:rsid w:val="00A50C75"/>
    <w:rsid w:val="00A50E94"/>
    <w:rsid w:val="00A51B7A"/>
    <w:rsid w:val="00A51CA5"/>
    <w:rsid w:val="00A525B0"/>
    <w:rsid w:val="00A52DD9"/>
    <w:rsid w:val="00A53A8E"/>
    <w:rsid w:val="00A53C3E"/>
    <w:rsid w:val="00A5430F"/>
    <w:rsid w:val="00A54D10"/>
    <w:rsid w:val="00A55492"/>
    <w:rsid w:val="00A55A08"/>
    <w:rsid w:val="00A56148"/>
    <w:rsid w:val="00A569CE"/>
    <w:rsid w:val="00A56B91"/>
    <w:rsid w:val="00A575E2"/>
    <w:rsid w:val="00A606D7"/>
    <w:rsid w:val="00A607C2"/>
    <w:rsid w:val="00A60C05"/>
    <w:rsid w:val="00A61490"/>
    <w:rsid w:val="00A61A7C"/>
    <w:rsid w:val="00A62A21"/>
    <w:rsid w:val="00A647B5"/>
    <w:rsid w:val="00A652DD"/>
    <w:rsid w:val="00A663F1"/>
    <w:rsid w:val="00A666C9"/>
    <w:rsid w:val="00A67985"/>
    <w:rsid w:val="00A67A72"/>
    <w:rsid w:val="00A67AC9"/>
    <w:rsid w:val="00A67E5A"/>
    <w:rsid w:val="00A70687"/>
    <w:rsid w:val="00A70844"/>
    <w:rsid w:val="00A70C40"/>
    <w:rsid w:val="00A70E65"/>
    <w:rsid w:val="00A71B36"/>
    <w:rsid w:val="00A7204D"/>
    <w:rsid w:val="00A720A7"/>
    <w:rsid w:val="00A72210"/>
    <w:rsid w:val="00A724AC"/>
    <w:rsid w:val="00A72F33"/>
    <w:rsid w:val="00A73468"/>
    <w:rsid w:val="00A73576"/>
    <w:rsid w:val="00A735BE"/>
    <w:rsid w:val="00A735DA"/>
    <w:rsid w:val="00A73A9F"/>
    <w:rsid w:val="00A7420F"/>
    <w:rsid w:val="00A7423F"/>
    <w:rsid w:val="00A7449A"/>
    <w:rsid w:val="00A74763"/>
    <w:rsid w:val="00A74F62"/>
    <w:rsid w:val="00A75CE2"/>
    <w:rsid w:val="00A75DED"/>
    <w:rsid w:val="00A764EF"/>
    <w:rsid w:val="00A7652D"/>
    <w:rsid w:val="00A765E6"/>
    <w:rsid w:val="00A7675D"/>
    <w:rsid w:val="00A7677C"/>
    <w:rsid w:val="00A77225"/>
    <w:rsid w:val="00A77472"/>
    <w:rsid w:val="00A77B0F"/>
    <w:rsid w:val="00A77C35"/>
    <w:rsid w:val="00A77C39"/>
    <w:rsid w:val="00A80023"/>
    <w:rsid w:val="00A801AA"/>
    <w:rsid w:val="00A801BA"/>
    <w:rsid w:val="00A8080B"/>
    <w:rsid w:val="00A80CBD"/>
    <w:rsid w:val="00A80EC0"/>
    <w:rsid w:val="00A816BF"/>
    <w:rsid w:val="00A81911"/>
    <w:rsid w:val="00A81E9C"/>
    <w:rsid w:val="00A824E7"/>
    <w:rsid w:val="00A82835"/>
    <w:rsid w:val="00A82A4B"/>
    <w:rsid w:val="00A839A0"/>
    <w:rsid w:val="00A84308"/>
    <w:rsid w:val="00A84523"/>
    <w:rsid w:val="00A8464A"/>
    <w:rsid w:val="00A84B0A"/>
    <w:rsid w:val="00A84F07"/>
    <w:rsid w:val="00A85A9E"/>
    <w:rsid w:val="00A860AE"/>
    <w:rsid w:val="00A862AA"/>
    <w:rsid w:val="00A862AD"/>
    <w:rsid w:val="00A86B2F"/>
    <w:rsid w:val="00A87D65"/>
    <w:rsid w:val="00A87E89"/>
    <w:rsid w:val="00A9001A"/>
    <w:rsid w:val="00A90E2B"/>
    <w:rsid w:val="00A9100E"/>
    <w:rsid w:val="00A917E6"/>
    <w:rsid w:val="00A91C2E"/>
    <w:rsid w:val="00A9236C"/>
    <w:rsid w:val="00A9238E"/>
    <w:rsid w:val="00A92BFC"/>
    <w:rsid w:val="00A92CB7"/>
    <w:rsid w:val="00A92F9B"/>
    <w:rsid w:val="00A932D0"/>
    <w:rsid w:val="00A93C59"/>
    <w:rsid w:val="00A94441"/>
    <w:rsid w:val="00A95528"/>
    <w:rsid w:val="00A97189"/>
    <w:rsid w:val="00A97198"/>
    <w:rsid w:val="00A974FC"/>
    <w:rsid w:val="00A97F7D"/>
    <w:rsid w:val="00A97FFB"/>
    <w:rsid w:val="00AA01F9"/>
    <w:rsid w:val="00AA0251"/>
    <w:rsid w:val="00AA0564"/>
    <w:rsid w:val="00AA0887"/>
    <w:rsid w:val="00AA0C0D"/>
    <w:rsid w:val="00AA1842"/>
    <w:rsid w:val="00AA2269"/>
    <w:rsid w:val="00AA23FF"/>
    <w:rsid w:val="00AA2801"/>
    <w:rsid w:val="00AA287D"/>
    <w:rsid w:val="00AA2A1D"/>
    <w:rsid w:val="00AA3222"/>
    <w:rsid w:val="00AA3235"/>
    <w:rsid w:val="00AA3349"/>
    <w:rsid w:val="00AA36FA"/>
    <w:rsid w:val="00AA3A5E"/>
    <w:rsid w:val="00AA3B19"/>
    <w:rsid w:val="00AA4438"/>
    <w:rsid w:val="00AA49E3"/>
    <w:rsid w:val="00AA4EE1"/>
    <w:rsid w:val="00AA53ED"/>
    <w:rsid w:val="00AA57DA"/>
    <w:rsid w:val="00AA598C"/>
    <w:rsid w:val="00AA5CD9"/>
    <w:rsid w:val="00AA615C"/>
    <w:rsid w:val="00AA63F3"/>
    <w:rsid w:val="00AA653C"/>
    <w:rsid w:val="00AA65AB"/>
    <w:rsid w:val="00AA6B0A"/>
    <w:rsid w:val="00AA6F13"/>
    <w:rsid w:val="00AA77EA"/>
    <w:rsid w:val="00AA7948"/>
    <w:rsid w:val="00AA7ADC"/>
    <w:rsid w:val="00AA7BF3"/>
    <w:rsid w:val="00AA7D79"/>
    <w:rsid w:val="00AA7F4C"/>
    <w:rsid w:val="00AB0551"/>
    <w:rsid w:val="00AB071C"/>
    <w:rsid w:val="00AB0C48"/>
    <w:rsid w:val="00AB0E51"/>
    <w:rsid w:val="00AB1045"/>
    <w:rsid w:val="00AB153A"/>
    <w:rsid w:val="00AB218A"/>
    <w:rsid w:val="00AB296B"/>
    <w:rsid w:val="00AB3409"/>
    <w:rsid w:val="00AB3B1D"/>
    <w:rsid w:val="00AB3E23"/>
    <w:rsid w:val="00AB413A"/>
    <w:rsid w:val="00AB44D3"/>
    <w:rsid w:val="00AB47FB"/>
    <w:rsid w:val="00AB4A43"/>
    <w:rsid w:val="00AB4AA8"/>
    <w:rsid w:val="00AB4F18"/>
    <w:rsid w:val="00AB5271"/>
    <w:rsid w:val="00AB536B"/>
    <w:rsid w:val="00AB5AFE"/>
    <w:rsid w:val="00AB6AA6"/>
    <w:rsid w:val="00AB6E44"/>
    <w:rsid w:val="00AB72B8"/>
    <w:rsid w:val="00AB75B8"/>
    <w:rsid w:val="00AC0E40"/>
    <w:rsid w:val="00AC0F1C"/>
    <w:rsid w:val="00AC2965"/>
    <w:rsid w:val="00AC2C8C"/>
    <w:rsid w:val="00AC2CE5"/>
    <w:rsid w:val="00AC2F5A"/>
    <w:rsid w:val="00AC2FA6"/>
    <w:rsid w:val="00AC2FFF"/>
    <w:rsid w:val="00AC35DE"/>
    <w:rsid w:val="00AC41C8"/>
    <w:rsid w:val="00AC4532"/>
    <w:rsid w:val="00AC4EFF"/>
    <w:rsid w:val="00AC4F6F"/>
    <w:rsid w:val="00AC59FA"/>
    <w:rsid w:val="00AC5D27"/>
    <w:rsid w:val="00AC6548"/>
    <w:rsid w:val="00AC685C"/>
    <w:rsid w:val="00AC6A06"/>
    <w:rsid w:val="00AC6E17"/>
    <w:rsid w:val="00AC774D"/>
    <w:rsid w:val="00AC7844"/>
    <w:rsid w:val="00AC7BAD"/>
    <w:rsid w:val="00AD0922"/>
    <w:rsid w:val="00AD0D93"/>
    <w:rsid w:val="00AD1287"/>
    <w:rsid w:val="00AD1411"/>
    <w:rsid w:val="00AD146E"/>
    <w:rsid w:val="00AD14FF"/>
    <w:rsid w:val="00AD1AA4"/>
    <w:rsid w:val="00AD1FFA"/>
    <w:rsid w:val="00AD2A1A"/>
    <w:rsid w:val="00AD3834"/>
    <w:rsid w:val="00AD476E"/>
    <w:rsid w:val="00AD5156"/>
    <w:rsid w:val="00AD5483"/>
    <w:rsid w:val="00AD5C7B"/>
    <w:rsid w:val="00AD5DBD"/>
    <w:rsid w:val="00AD6243"/>
    <w:rsid w:val="00AD66C8"/>
    <w:rsid w:val="00AD678C"/>
    <w:rsid w:val="00AD6C2A"/>
    <w:rsid w:val="00AD6FBC"/>
    <w:rsid w:val="00AD7848"/>
    <w:rsid w:val="00AD7CFB"/>
    <w:rsid w:val="00AE038E"/>
    <w:rsid w:val="00AE04F4"/>
    <w:rsid w:val="00AE05D3"/>
    <w:rsid w:val="00AE0804"/>
    <w:rsid w:val="00AE0A0E"/>
    <w:rsid w:val="00AE2116"/>
    <w:rsid w:val="00AE261C"/>
    <w:rsid w:val="00AE2F55"/>
    <w:rsid w:val="00AE312C"/>
    <w:rsid w:val="00AE3386"/>
    <w:rsid w:val="00AE3E7F"/>
    <w:rsid w:val="00AE3F5E"/>
    <w:rsid w:val="00AE4230"/>
    <w:rsid w:val="00AE4564"/>
    <w:rsid w:val="00AE4EBA"/>
    <w:rsid w:val="00AE5BD9"/>
    <w:rsid w:val="00AE6091"/>
    <w:rsid w:val="00AE6239"/>
    <w:rsid w:val="00AE633B"/>
    <w:rsid w:val="00AE738F"/>
    <w:rsid w:val="00AE7DCA"/>
    <w:rsid w:val="00AE7DE8"/>
    <w:rsid w:val="00AF090E"/>
    <w:rsid w:val="00AF0E62"/>
    <w:rsid w:val="00AF2618"/>
    <w:rsid w:val="00AF304E"/>
    <w:rsid w:val="00AF30B1"/>
    <w:rsid w:val="00AF3226"/>
    <w:rsid w:val="00AF4523"/>
    <w:rsid w:val="00AF4ACE"/>
    <w:rsid w:val="00AF4AFA"/>
    <w:rsid w:val="00AF4FB8"/>
    <w:rsid w:val="00AF54CC"/>
    <w:rsid w:val="00AF5772"/>
    <w:rsid w:val="00AF57B1"/>
    <w:rsid w:val="00AF5DE1"/>
    <w:rsid w:val="00AF60B1"/>
    <w:rsid w:val="00AF6A87"/>
    <w:rsid w:val="00AF6DC2"/>
    <w:rsid w:val="00AF737A"/>
    <w:rsid w:val="00AF7424"/>
    <w:rsid w:val="00AF773D"/>
    <w:rsid w:val="00AF7D1E"/>
    <w:rsid w:val="00AF7FD1"/>
    <w:rsid w:val="00B00622"/>
    <w:rsid w:val="00B00D36"/>
    <w:rsid w:val="00B00FE7"/>
    <w:rsid w:val="00B014EB"/>
    <w:rsid w:val="00B01ADF"/>
    <w:rsid w:val="00B01C0A"/>
    <w:rsid w:val="00B01EBA"/>
    <w:rsid w:val="00B022C5"/>
    <w:rsid w:val="00B0343B"/>
    <w:rsid w:val="00B03A1A"/>
    <w:rsid w:val="00B03AA6"/>
    <w:rsid w:val="00B03D52"/>
    <w:rsid w:val="00B03DAC"/>
    <w:rsid w:val="00B04742"/>
    <w:rsid w:val="00B04B5A"/>
    <w:rsid w:val="00B04D87"/>
    <w:rsid w:val="00B04EF7"/>
    <w:rsid w:val="00B050DF"/>
    <w:rsid w:val="00B0525B"/>
    <w:rsid w:val="00B0560A"/>
    <w:rsid w:val="00B05A3F"/>
    <w:rsid w:val="00B05D6E"/>
    <w:rsid w:val="00B060EE"/>
    <w:rsid w:val="00B06260"/>
    <w:rsid w:val="00B066E8"/>
    <w:rsid w:val="00B06832"/>
    <w:rsid w:val="00B06A7C"/>
    <w:rsid w:val="00B07076"/>
    <w:rsid w:val="00B070D2"/>
    <w:rsid w:val="00B0722B"/>
    <w:rsid w:val="00B074CC"/>
    <w:rsid w:val="00B079C5"/>
    <w:rsid w:val="00B07E94"/>
    <w:rsid w:val="00B10E7D"/>
    <w:rsid w:val="00B110BA"/>
    <w:rsid w:val="00B11AA3"/>
    <w:rsid w:val="00B11C65"/>
    <w:rsid w:val="00B1259E"/>
    <w:rsid w:val="00B12926"/>
    <w:rsid w:val="00B12A95"/>
    <w:rsid w:val="00B12B7B"/>
    <w:rsid w:val="00B12C57"/>
    <w:rsid w:val="00B12D07"/>
    <w:rsid w:val="00B12F82"/>
    <w:rsid w:val="00B133BA"/>
    <w:rsid w:val="00B13977"/>
    <w:rsid w:val="00B13C81"/>
    <w:rsid w:val="00B13F29"/>
    <w:rsid w:val="00B14083"/>
    <w:rsid w:val="00B141B0"/>
    <w:rsid w:val="00B14DBD"/>
    <w:rsid w:val="00B14E5A"/>
    <w:rsid w:val="00B14F56"/>
    <w:rsid w:val="00B14FFB"/>
    <w:rsid w:val="00B153E7"/>
    <w:rsid w:val="00B15AA1"/>
    <w:rsid w:val="00B1636A"/>
    <w:rsid w:val="00B171BA"/>
    <w:rsid w:val="00B17538"/>
    <w:rsid w:val="00B20A35"/>
    <w:rsid w:val="00B2128B"/>
    <w:rsid w:val="00B2133E"/>
    <w:rsid w:val="00B217C5"/>
    <w:rsid w:val="00B2306E"/>
    <w:rsid w:val="00B2327B"/>
    <w:rsid w:val="00B23B18"/>
    <w:rsid w:val="00B246CE"/>
    <w:rsid w:val="00B24A48"/>
    <w:rsid w:val="00B24D25"/>
    <w:rsid w:val="00B254AD"/>
    <w:rsid w:val="00B26516"/>
    <w:rsid w:val="00B26D73"/>
    <w:rsid w:val="00B26D89"/>
    <w:rsid w:val="00B26DA6"/>
    <w:rsid w:val="00B26DF3"/>
    <w:rsid w:val="00B26F83"/>
    <w:rsid w:val="00B279DF"/>
    <w:rsid w:val="00B27C2E"/>
    <w:rsid w:val="00B30693"/>
    <w:rsid w:val="00B30C5A"/>
    <w:rsid w:val="00B31739"/>
    <w:rsid w:val="00B33022"/>
    <w:rsid w:val="00B3371E"/>
    <w:rsid w:val="00B3375D"/>
    <w:rsid w:val="00B33869"/>
    <w:rsid w:val="00B34044"/>
    <w:rsid w:val="00B3434B"/>
    <w:rsid w:val="00B34527"/>
    <w:rsid w:val="00B34C24"/>
    <w:rsid w:val="00B34FE9"/>
    <w:rsid w:val="00B350C3"/>
    <w:rsid w:val="00B35232"/>
    <w:rsid w:val="00B3543C"/>
    <w:rsid w:val="00B35A3A"/>
    <w:rsid w:val="00B35EFC"/>
    <w:rsid w:val="00B35F97"/>
    <w:rsid w:val="00B361C8"/>
    <w:rsid w:val="00B36806"/>
    <w:rsid w:val="00B368D7"/>
    <w:rsid w:val="00B36AE8"/>
    <w:rsid w:val="00B37D4D"/>
    <w:rsid w:val="00B40863"/>
    <w:rsid w:val="00B4143B"/>
    <w:rsid w:val="00B42101"/>
    <w:rsid w:val="00B4216F"/>
    <w:rsid w:val="00B42B3A"/>
    <w:rsid w:val="00B42E7B"/>
    <w:rsid w:val="00B4374C"/>
    <w:rsid w:val="00B439C3"/>
    <w:rsid w:val="00B43B18"/>
    <w:rsid w:val="00B43B73"/>
    <w:rsid w:val="00B455D4"/>
    <w:rsid w:val="00B45C79"/>
    <w:rsid w:val="00B46983"/>
    <w:rsid w:val="00B47086"/>
    <w:rsid w:val="00B4761E"/>
    <w:rsid w:val="00B50BBE"/>
    <w:rsid w:val="00B51212"/>
    <w:rsid w:val="00B5131F"/>
    <w:rsid w:val="00B514F8"/>
    <w:rsid w:val="00B51BE1"/>
    <w:rsid w:val="00B52728"/>
    <w:rsid w:val="00B527B2"/>
    <w:rsid w:val="00B52AF5"/>
    <w:rsid w:val="00B53347"/>
    <w:rsid w:val="00B53C09"/>
    <w:rsid w:val="00B53C26"/>
    <w:rsid w:val="00B53E59"/>
    <w:rsid w:val="00B53FAE"/>
    <w:rsid w:val="00B5447A"/>
    <w:rsid w:val="00B546FA"/>
    <w:rsid w:val="00B552D4"/>
    <w:rsid w:val="00B55E52"/>
    <w:rsid w:val="00B55E82"/>
    <w:rsid w:val="00B55FB0"/>
    <w:rsid w:val="00B5653B"/>
    <w:rsid w:val="00B56881"/>
    <w:rsid w:val="00B57177"/>
    <w:rsid w:val="00B573CD"/>
    <w:rsid w:val="00B575B2"/>
    <w:rsid w:val="00B57A25"/>
    <w:rsid w:val="00B601A2"/>
    <w:rsid w:val="00B604D0"/>
    <w:rsid w:val="00B60BB6"/>
    <w:rsid w:val="00B61466"/>
    <w:rsid w:val="00B6264E"/>
    <w:rsid w:val="00B62692"/>
    <w:rsid w:val="00B628A2"/>
    <w:rsid w:val="00B630E4"/>
    <w:rsid w:val="00B6325A"/>
    <w:rsid w:val="00B63E2F"/>
    <w:rsid w:val="00B63F7F"/>
    <w:rsid w:val="00B6425D"/>
    <w:rsid w:val="00B6438B"/>
    <w:rsid w:val="00B65C1D"/>
    <w:rsid w:val="00B66904"/>
    <w:rsid w:val="00B66D03"/>
    <w:rsid w:val="00B672B8"/>
    <w:rsid w:val="00B677EF"/>
    <w:rsid w:val="00B678CC"/>
    <w:rsid w:val="00B678D4"/>
    <w:rsid w:val="00B67920"/>
    <w:rsid w:val="00B67E68"/>
    <w:rsid w:val="00B700F4"/>
    <w:rsid w:val="00B701A8"/>
    <w:rsid w:val="00B702A3"/>
    <w:rsid w:val="00B705B3"/>
    <w:rsid w:val="00B70D6A"/>
    <w:rsid w:val="00B70F04"/>
    <w:rsid w:val="00B71F46"/>
    <w:rsid w:val="00B72113"/>
    <w:rsid w:val="00B722E4"/>
    <w:rsid w:val="00B726E1"/>
    <w:rsid w:val="00B7296D"/>
    <w:rsid w:val="00B72BAD"/>
    <w:rsid w:val="00B731C4"/>
    <w:rsid w:val="00B734E5"/>
    <w:rsid w:val="00B73990"/>
    <w:rsid w:val="00B74163"/>
    <w:rsid w:val="00B74201"/>
    <w:rsid w:val="00B7429A"/>
    <w:rsid w:val="00B74816"/>
    <w:rsid w:val="00B749F6"/>
    <w:rsid w:val="00B74BA2"/>
    <w:rsid w:val="00B7516D"/>
    <w:rsid w:val="00B753FC"/>
    <w:rsid w:val="00B75C88"/>
    <w:rsid w:val="00B76098"/>
    <w:rsid w:val="00B76EF6"/>
    <w:rsid w:val="00B772C4"/>
    <w:rsid w:val="00B77406"/>
    <w:rsid w:val="00B77ABD"/>
    <w:rsid w:val="00B77B55"/>
    <w:rsid w:val="00B80440"/>
    <w:rsid w:val="00B80A13"/>
    <w:rsid w:val="00B810BC"/>
    <w:rsid w:val="00B812A6"/>
    <w:rsid w:val="00B81357"/>
    <w:rsid w:val="00B81734"/>
    <w:rsid w:val="00B82320"/>
    <w:rsid w:val="00B827C1"/>
    <w:rsid w:val="00B83940"/>
    <w:rsid w:val="00B839B2"/>
    <w:rsid w:val="00B847D6"/>
    <w:rsid w:val="00B849C0"/>
    <w:rsid w:val="00B84AFF"/>
    <w:rsid w:val="00B8507B"/>
    <w:rsid w:val="00B85945"/>
    <w:rsid w:val="00B85BA7"/>
    <w:rsid w:val="00B85DE9"/>
    <w:rsid w:val="00B86695"/>
    <w:rsid w:val="00B869D7"/>
    <w:rsid w:val="00B86DE4"/>
    <w:rsid w:val="00B87F22"/>
    <w:rsid w:val="00B900EB"/>
    <w:rsid w:val="00B907E3"/>
    <w:rsid w:val="00B91B76"/>
    <w:rsid w:val="00B92101"/>
    <w:rsid w:val="00B9214E"/>
    <w:rsid w:val="00B9351D"/>
    <w:rsid w:val="00B93583"/>
    <w:rsid w:val="00B93612"/>
    <w:rsid w:val="00B93FBA"/>
    <w:rsid w:val="00B940FB"/>
    <w:rsid w:val="00B9457F"/>
    <w:rsid w:val="00B9538D"/>
    <w:rsid w:val="00B95A93"/>
    <w:rsid w:val="00B96468"/>
    <w:rsid w:val="00B97088"/>
    <w:rsid w:val="00B9728F"/>
    <w:rsid w:val="00B97768"/>
    <w:rsid w:val="00B978EE"/>
    <w:rsid w:val="00B97AA1"/>
    <w:rsid w:val="00B97C64"/>
    <w:rsid w:val="00B97D0B"/>
    <w:rsid w:val="00BA0455"/>
    <w:rsid w:val="00BA0875"/>
    <w:rsid w:val="00BA0BB4"/>
    <w:rsid w:val="00BA0BCA"/>
    <w:rsid w:val="00BA0BEC"/>
    <w:rsid w:val="00BA12D1"/>
    <w:rsid w:val="00BA1536"/>
    <w:rsid w:val="00BA1592"/>
    <w:rsid w:val="00BA22F9"/>
    <w:rsid w:val="00BA2DBF"/>
    <w:rsid w:val="00BA35AC"/>
    <w:rsid w:val="00BA391E"/>
    <w:rsid w:val="00BA3A05"/>
    <w:rsid w:val="00BA3C18"/>
    <w:rsid w:val="00BA3E16"/>
    <w:rsid w:val="00BA4C30"/>
    <w:rsid w:val="00BA4F10"/>
    <w:rsid w:val="00BA51B4"/>
    <w:rsid w:val="00BA5559"/>
    <w:rsid w:val="00BA577D"/>
    <w:rsid w:val="00BA5F82"/>
    <w:rsid w:val="00BA615D"/>
    <w:rsid w:val="00BA653A"/>
    <w:rsid w:val="00BA68BA"/>
    <w:rsid w:val="00BA7435"/>
    <w:rsid w:val="00BA749C"/>
    <w:rsid w:val="00BA756D"/>
    <w:rsid w:val="00BA7697"/>
    <w:rsid w:val="00BA7891"/>
    <w:rsid w:val="00BA7FAB"/>
    <w:rsid w:val="00BB0050"/>
    <w:rsid w:val="00BB027C"/>
    <w:rsid w:val="00BB0AEE"/>
    <w:rsid w:val="00BB1430"/>
    <w:rsid w:val="00BB1C89"/>
    <w:rsid w:val="00BB29D2"/>
    <w:rsid w:val="00BB3CA7"/>
    <w:rsid w:val="00BB404E"/>
    <w:rsid w:val="00BB492D"/>
    <w:rsid w:val="00BB4C33"/>
    <w:rsid w:val="00BB4E8B"/>
    <w:rsid w:val="00BB6570"/>
    <w:rsid w:val="00BB7705"/>
    <w:rsid w:val="00BC0382"/>
    <w:rsid w:val="00BC03F2"/>
    <w:rsid w:val="00BC07F0"/>
    <w:rsid w:val="00BC0CD8"/>
    <w:rsid w:val="00BC100F"/>
    <w:rsid w:val="00BC1BE9"/>
    <w:rsid w:val="00BC1DB6"/>
    <w:rsid w:val="00BC1F8C"/>
    <w:rsid w:val="00BC25C2"/>
    <w:rsid w:val="00BC334F"/>
    <w:rsid w:val="00BC3784"/>
    <w:rsid w:val="00BC387F"/>
    <w:rsid w:val="00BC3DEB"/>
    <w:rsid w:val="00BC4015"/>
    <w:rsid w:val="00BC4251"/>
    <w:rsid w:val="00BC45B3"/>
    <w:rsid w:val="00BC4A53"/>
    <w:rsid w:val="00BC4F3A"/>
    <w:rsid w:val="00BC5017"/>
    <w:rsid w:val="00BC527F"/>
    <w:rsid w:val="00BC5618"/>
    <w:rsid w:val="00BC5F39"/>
    <w:rsid w:val="00BC6F5B"/>
    <w:rsid w:val="00BC7390"/>
    <w:rsid w:val="00BD0167"/>
    <w:rsid w:val="00BD0F2F"/>
    <w:rsid w:val="00BD1985"/>
    <w:rsid w:val="00BD1D4D"/>
    <w:rsid w:val="00BD1D5B"/>
    <w:rsid w:val="00BD2743"/>
    <w:rsid w:val="00BD3142"/>
    <w:rsid w:val="00BD334F"/>
    <w:rsid w:val="00BD3663"/>
    <w:rsid w:val="00BD3B31"/>
    <w:rsid w:val="00BD3E76"/>
    <w:rsid w:val="00BD3EA8"/>
    <w:rsid w:val="00BD3FF5"/>
    <w:rsid w:val="00BD4081"/>
    <w:rsid w:val="00BD4381"/>
    <w:rsid w:val="00BD481F"/>
    <w:rsid w:val="00BD50C9"/>
    <w:rsid w:val="00BD5F88"/>
    <w:rsid w:val="00BD61B1"/>
    <w:rsid w:val="00BD621D"/>
    <w:rsid w:val="00BD6234"/>
    <w:rsid w:val="00BD64D9"/>
    <w:rsid w:val="00BD6B9F"/>
    <w:rsid w:val="00BD6E12"/>
    <w:rsid w:val="00BD6EC0"/>
    <w:rsid w:val="00BD7613"/>
    <w:rsid w:val="00BD78AA"/>
    <w:rsid w:val="00BD7C85"/>
    <w:rsid w:val="00BE01FE"/>
    <w:rsid w:val="00BE0C21"/>
    <w:rsid w:val="00BE1A37"/>
    <w:rsid w:val="00BE1C0C"/>
    <w:rsid w:val="00BE1C11"/>
    <w:rsid w:val="00BE2476"/>
    <w:rsid w:val="00BE4265"/>
    <w:rsid w:val="00BE504D"/>
    <w:rsid w:val="00BE533B"/>
    <w:rsid w:val="00BE5B80"/>
    <w:rsid w:val="00BE5CD5"/>
    <w:rsid w:val="00BE5ECA"/>
    <w:rsid w:val="00BE6454"/>
    <w:rsid w:val="00BE6913"/>
    <w:rsid w:val="00BE6AA3"/>
    <w:rsid w:val="00BE6E21"/>
    <w:rsid w:val="00BE6F19"/>
    <w:rsid w:val="00BE6F34"/>
    <w:rsid w:val="00BE7317"/>
    <w:rsid w:val="00BE770B"/>
    <w:rsid w:val="00BE79C3"/>
    <w:rsid w:val="00BF0632"/>
    <w:rsid w:val="00BF0F07"/>
    <w:rsid w:val="00BF15E3"/>
    <w:rsid w:val="00BF15FE"/>
    <w:rsid w:val="00BF17B0"/>
    <w:rsid w:val="00BF19BB"/>
    <w:rsid w:val="00BF1D2A"/>
    <w:rsid w:val="00BF3252"/>
    <w:rsid w:val="00BF32C8"/>
    <w:rsid w:val="00BF3C15"/>
    <w:rsid w:val="00BF3C1D"/>
    <w:rsid w:val="00BF3DC7"/>
    <w:rsid w:val="00BF4486"/>
    <w:rsid w:val="00BF459C"/>
    <w:rsid w:val="00BF48CA"/>
    <w:rsid w:val="00BF5428"/>
    <w:rsid w:val="00BF577B"/>
    <w:rsid w:val="00BF5CEE"/>
    <w:rsid w:val="00BF5D33"/>
    <w:rsid w:val="00BF5E1E"/>
    <w:rsid w:val="00BF613D"/>
    <w:rsid w:val="00BF624F"/>
    <w:rsid w:val="00BF650B"/>
    <w:rsid w:val="00BF72A9"/>
    <w:rsid w:val="00BF7656"/>
    <w:rsid w:val="00C00079"/>
    <w:rsid w:val="00C00413"/>
    <w:rsid w:val="00C01B36"/>
    <w:rsid w:val="00C01C5C"/>
    <w:rsid w:val="00C02A04"/>
    <w:rsid w:val="00C02BC9"/>
    <w:rsid w:val="00C02DB9"/>
    <w:rsid w:val="00C02EFB"/>
    <w:rsid w:val="00C030FA"/>
    <w:rsid w:val="00C03115"/>
    <w:rsid w:val="00C0311D"/>
    <w:rsid w:val="00C03E4C"/>
    <w:rsid w:val="00C044DE"/>
    <w:rsid w:val="00C0630D"/>
    <w:rsid w:val="00C0650A"/>
    <w:rsid w:val="00C065BB"/>
    <w:rsid w:val="00C10003"/>
    <w:rsid w:val="00C10369"/>
    <w:rsid w:val="00C1046A"/>
    <w:rsid w:val="00C10694"/>
    <w:rsid w:val="00C10700"/>
    <w:rsid w:val="00C1146A"/>
    <w:rsid w:val="00C118BD"/>
    <w:rsid w:val="00C118D7"/>
    <w:rsid w:val="00C11C32"/>
    <w:rsid w:val="00C11D67"/>
    <w:rsid w:val="00C128A6"/>
    <w:rsid w:val="00C12A74"/>
    <w:rsid w:val="00C12E24"/>
    <w:rsid w:val="00C133DB"/>
    <w:rsid w:val="00C13D36"/>
    <w:rsid w:val="00C141A4"/>
    <w:rsid w:val="00C14445"/>
    <w:rsid w:val="00C155E1"/>
    <w:rsid w:val="00C1621F"/>
    <w:rsid w:val="00C16247"/>
    <w:rsid w:val="00C16392"/>
    <w:rsid w:val="00C179B2"/>
    <w:rsid w:val="00C17AE9"/>
    <w:rsid w:val="00C17AF7"/>
    <w:rsid w:val="00C17BFD"/>
    <w:rsid w:val="00C17FA7"/>
    <w:rsid w:val="00C20D99"/>
    <w:rsid w:val="00C20EAF"/>
    <w:rsid w:val="00C21640"/>
    <w:rsid w:val="00C21BB8"/>
    <w:rsid w:val="00C21C71"/>
    <w:rsid w:val="00C2203D"/>
    <w:rsid w:val="00C223BC"/>
    <w:rsid w:val="00C22D67"/>
    <w:rsid w:val="00C2325A"/>
    <w:rsid w:val="00C23703"/>
    <w:rsid w:val="00C23781"/>
    <w:rsid w:val="00C2388C"/>
    <w:rsid w:val="00C2397E"/>
    <w:rsid w:val="00C24251"/>
    <w:rsid w:val="00C24A9D"/>
    <w:rsid w:val="00C24C79"/>
    <w:rsid w:val="00C256C8"/>
    <w:rsid w:val="00C2622B"/>
    <w:rsid w:val="00C2654E"/>
    <w:rsid w:val="00C26E25"/>
    <w:rsid w:val="00C273FC"/>
    <w:rsid w:val="00C27881"/>
    <w:rsid w:val="00C27DC2"/>
    <w:rsid w:val="00C27DC9"/>
    <w:rsid w:val="00C27EF9"/>
    <w:rsid w:val="00C303A6"/>
    <w:rsid w:val="00C30A91"/>
    <w:rsid w:val="00C30C3E"/>
    <w:rsid w:val="00C30E4A"/>
    <w:rsid w:val="00C3136B"/>
    <w:rsid w:val="00C31B36"/>
    <w:rsid w:val="00C31BBA"/>
    <w:rsid w:val="00C32372"/>
    <w:rsid w:val="00C32706"/>
    <w:rsid w:val="00C3328C"/>
    <w:rsid w:val="00C33570"/>
    <w:rsid w:val="00C33EBA"/>
    <w:rsid w:val="00C34AF6"/>
    <w:rsid w:val="00C351BC"/>
    <w:rsid w:val="00C3530A"/>
    <w:rsid w:val="00C35480"/>
    <w:rsid w:val="00C35764"/>
    <w:rsid w:val="00C40571"/>
    <w:rsid w:val="00C4108D"/>
    <w:rsid w:val="00C429DA"/>
    <w:rsid w:val="00C42AB8"/>
    <w:rsid w:val="00C42D45"/>
    <w:rsid w:val="00C42E3A"/>
    <w:rsid w:val="00C43914"/>
    <w:rsid w:val="00C43A46"/>
    <w:rsid w:val="00C44029"/>
    <w:rsid w:val="00C44968"/>
    <w:rsid w:val="00C45718"/>
    <w:rsid w:val="00C4580F"/>
    <w:rsid w:val="00C461C6"/>
    <w:rsid w:val="00C466A6"/>
    <w:rsid w:val="00C46C15"/>
    <w:rsid w:val="00C46CBA"/>
    <w:rsid w:val="00C46DBE"/>
    <w:rsid w:val="00C47174"/>
    <w:rsid w:val="00C471FB"/>
    <w:rsid w:val="00C47957"/>
    <w:rsid w:val="00C47A15"/>
    <w:rsid w:val="00C50CE3"/>
    <w:rsid w:val="00C510A2"/>
    <w:rsid w:val="00C51E5E"/>
    <w:rsid w:val="00C52A6B"/>
    <w:rsid w:val="00C52DAF"/>
    <w:rsid w:val="00C52F4F"/>
    <w:rsid w:val="00C53005"/>
    <w:rsid w:val="00C537B9"/>
    <w:rsid w:val="00C538C6"/>
    <w:rsid w:val="00C538F1"/>
    <w:rsid w:val="00C542A8"/>
    <w:rsid w:val="00C543CC"/>
    <w:rsid w:val="00C54663"/>
    <w:rsid w:val="00C54739"/>
    <w:rsid w:val="00C548D9"/>
    <w:rsid w:val="00C549B2"/>
    <w:rsid w:val="00C54A6D"/>
    <w:rsid w:val="00C54D4E"/>
    <w:rsid w:val="00C54E2A"/>
    <w:rsid w:val="00C55293"/>
    <w:rsid w:val="00C553B0"/>
    <w:rsid w:val="00C55642"/>
    <w:rsid w:val="00C55BB6"/>
    <w:rsid w:val="00C55F5F"/>
    <w:rsid w:val="00C56DF5"/>
    <w:rsid w:val="00C571E7"/>
    <w:rsid w:val="00C57334"/>
    <w:rsid w:val="00C5784A"/>
    <w:rsid w:val="00C57FB7"/>
    <w:rsid w:val="00C60605"/>
    <w:rsid w:val="00C61106"/>
    <w:rsid w:val="00C61D8C"/>
    <w:rsid w:val="00C61DA1"/>
    <w:rsid w:val="00C620AB"/>
    <w:rsid w:val="00C622E0"/>
    <w:rsid w:val="00C62542"/>
    <w:rsid w:val="00C62F4A"/>
    <w:rsid w:val="00C6366F"/>
    <w:rsid w:val="00C6380F"/>
    <w:rsid w:val="00C638D9"/>
    <w:rsid w:val="00C63BF5"/>
    <w:rsid w:val="00C641F1"/>
    <w:rsid w:val="00C64798"/>
    <w:rsid w:val="00C648C7"/>
    <w:rsid w:val="00C64DF1"/>
    <w:rsid w:val="00C652A6"/>
    <w:rsid w:val="00C6532A"/>
    <w:rsid w:val="00C6550E"/>
    <w:rsid w:val="00C662D4"/>
    <w:rsid w:val="00C66B1D"/>
    <w:rsid w:val="00C66DAD"/>
    <w:rsid w:val="00C67214"/>
    <w:rsid w:val="00C6758A"/>
    <w:rsid w:val="00C67AE7"/>
    <w:rsid w:val="00C67B6B"/>
    <w:rsid w:val="00C70974"/>
    <w:rsid w:val="00C70DCE"/>
    <w:rsid w:val="00C70E5E"/>
    <w:rsid w:val="00C71214"/>
    <w:rsid w:val="00C71370"/>
    <w:rsid w:val="00C7143F"/>
    <w:rsid w:val="00C7184A"/>
    <w:rsid w:val="00C7260B"/>
    <w:rsid w:val="00C72BF4"/>
    <w:rsid w:val="00C72D4B"/>
    <w:rsid w:val="00C73019"/>
    <w:rsid w:val="00C7341D"/>
    <w:rsid w:val="00C73E7A"/>
    <w:rsid w:val="00C74BB3"/>
    <w:rsid w:val="00C74D96"/>
    <w:rsid w:val="00C7550D"/>
    <w:rsid w:val="00C75591"/>
    <w:rsid w:val="00C76536"/>
    <w:rsid w:val="00C76589"/>
    <w:rsid w:val="00C76779"/>
    <w:rsid w:val="00C76909"/>
    <w:rsid w:val="00C76CB1"/>
    <w:rsid w:val="00C7739C"/>
    <w:rsid w:val="00C77722"/>
    <w:rsid w:val="00C77921"/>
    <w:rsid w:val="00C77DE7"/>
    <w:rsid w:val="00C8016B"/>
    <w:rsid w:val="00C808CB"/>
    <w:rsid w:val="00C819E0"/>
    <w:rsid w:val="00C81A46"/>
    <w:rsid w:val="00C81BEF"/>
    <w:rsid w:val="00C81F74"/>
    <w:rsid w:val="00C81F7C"/>
    <w:rsid w:val="00C82071"/>
    <w:rsid w:val="00C821AF"/>
    <w:rsid w:val="00C8277E"/>
    <w:rsid w:val="00C827FD"/>
    <w:rsid w:val="00C828D6"/>
    <w:rsid w:val="00C82DC5"/>
    <w:rsid w:val="00C837DE"/>
    <w:rsid w:val="00C83B85"/>
    <w:rsid w:val="00C83C80"/>
    <w:rsid w:val="00C83F6F"/>
    <w:rsid w:val="00C84812"/>
    <w:rsid w:val="00C84A92"/>
    <w:rsid w:val="00C85884"/>
    <w:rsid w:val="00C858AA"/>
    <w:rsid w:val="00C85CE9"/>
    <w:rsid w:val="00C85F6F"/>
    <w:rsid w:val="00C86012"/>
    <w:rsid w:val="00C8677D"/>
    <w:rsid w:val="00C867D4"/>
    <w:rsid w:val="00C86840"/>
    <w:rsid w:val="00C86A46"/>
    <w:rsid w:val="00C86A78"/>
    <w:rsid w:val="00C86EAB"/>
    <w:rsid w:val="00C86F93"/>
    <w:rsid w:val="00C8700C"/>
    <w:rsid w:val="00C87194"/>
    <w:rsid w:val="00C87B1F"/>
    <w:rsid w:val="00C87BCC"/>
    <w:rsid w:val="00C87DFF"/>
    <w:rsid w:val="00C87EFE"/>
    <w:rsid w:val="00C90206"/>
    <w:rsid w:val="00C90283"/>
    <w:rsid w:val="00C90C15"/>
    <w:rsid w:val="00C91A0A"/>
    <w:rsid w:val="00C91F17"/>
    <w:rsid w:val="00C928EE"/>
    <w:rsid w:val="00C937A1"/>
    <w:rsid w:val="00C93A19"/>
    <w:rsid w:val="00C9445D"/>
    <w:rsid w:val="00C94498"/>
    <w:rsid w:val="00C956BB"/>
    <w:rsid w:val="00C96082"/>
    <w:rsid w:val="00C962BE"/>
    <w:rsid w:val="00C96689"/>
    <w:rsid w:val="00C96E2B"/>
    <w:rsid w:val="00C97581"/>
    <w:rsid w:val="00C975C3"/>
    <w:rsid w:val="00C97A0A"/>
    <w:rsid w:val="00CA0BE5"/>
    <w:rsid w:val="00CA0E95"/>
    <w:rsid w:val="00CA0F5F"/>
    <w:rsid w:val="00CA1CC6"/>
    <w:rsid w:val="00CA1E49"/>
    <w:rsid w:val="00CA2962"/>
    <w:rsid w:val="00CA2FE8"/>
    <w:rsid w:val="00CA3304"/>
    <w:rsid w:val="00CA3844"/>
    <w:rsid w:val="00CA3903"/>
    <w:rsid w:val="00CA462A"/>
    <w:rsid w:val="00CA47FA"/>
    <w:rsid w:val="00CA5A2F"/>
    <w:rsid w:val="00CA5AD8"/>
    <w:rsid w:val="00CA65CA"/>
    <w:rsid w:val="00CA679F"/>
    <w:rsid w:val="00CA6A06"/>
    <w:rsid w:val="00CA6EF5"/>
    <w:rsid w:val="00CA777A"/>
    <w:rsid w:val="00CA7848"/>
    <w:rsid w:val="00CB044F"/>
    <w:rsid w:val="00CB0710"/>
    <w:rsid w:val="00CB12B4"/>
    <w:rsid w:val="00CB14DE"/>
    <w:rsid w:val="00CB1E3E"/>
    <w:rsid w:val="00CB208D"/>
    <w:rsid w:val="00CB24B8"/>
    <w:rsid w:val="00CB2B48"/>
    <w:rsid w:val="00CB32FC"/>
    <w:rsid w:val="00CB423F"/>
    <w:rsid w:val="00CB57BB"/>
    <w:rsid w:val="00CB590F"/>
    <w:rsid w:val="00CB5FBE"/>
    <w:rsid w:val="00CB6F85"/>
    <w:rsid w:val="00CB7C1C"/>
    <w:rsid w:val="00CC074F"/>
    <w:rsid w:val="00CC0930"/>
    <w:rsid w:val="00CC0BCE"/>
    <w:rsid w:val="00CC0D46"/>
    <w:rsid w:val="00CC1096"/>
    <w:rsid w:val="00CC14D1"/>
    <w:rsid w:val="00CC1CC0"/>
    <w:rsid w:val="00CC1D11"/>
    <w:rsid w:val="00CC237F"/>
    <w:rsid w:val="00CC23CF"/>
    <w:rsid w:val="00CC2D06"/>
    <w:rsid w:val="00CC3B50"/>
    <w:rsid w:val="00CC47BC"/>
    <w:rsid w:val="00CC4D5A"/>
    <w:rsid w:val="00CC4E2A"/>
    <w:rsid w:val="00CC4F5D"/>
    <w:rsid w:val="00CC5791"/>
    <w:rsid w:val="00CC5D19"/>
    <w:rsid w:val="00CC5DE7"/>
    <w:rsid w:val="00CC608E"/>
    <w:rsid w:val="00CC6A52"/>
    <w:rsid w:val="00CC71AD"/>
    <w:rsid w:val="00CC7551"/>
    <w:rsid w:val="00CC77B6"/>
    <w:rsid w:val="00CC7B49"/>
    <w:rsid w:val="00CC7BA7"/>
    <w:rsid w:val="00CC7D1A"/>
    <w:rsid w:val="00CC7E16"/>
    <w:rsid w:val="00CD1466"/>
    <w:rsid w:val="00CD14A8"/>
    <w:rsid w:val="00CD14C5"/>
    <w:rsid w:val="00CD184E"/>
    <w:rsid w:val="00CD1864"/>
    <w:rsid w:val="00CD18D5"/>
    <w:rsid w:val="00CD1A55"/>
    <w:rsid w:val="00CD1AA0"/>
    <w:rsid w:val="00CD1D6C"/>
    <w:rsid w:val="00CD202A"/>
    <w:rsid w:val="00CD21E9"/>
    <w:rsid w:val="00CD24C6"/>
    <w:rsid w:val="00CD2A00"/>
    <w:rsid w:val="00CD35B2"/>
    <w:rsid w:val="00CD3AC0"/>
    <w:rsid w:val="00CD3AF4"/>
    <w:rsid w:val="00CD49A3"/>
    <w:rsid w:val="00CD5374"/>
    <w:rsid w:val="00CD53EF"/>
    <w:rsid w:val="00CD558A"/>
    <w:rsid w:val="00CD5819"/>
    <w:rsid w:val="00CD5824"/>
    <w:rsid w:val="00CD59EA"/>
    <w:rsid w:val="00CD6246"/>
    <w:rsid w:val="00CD6346"/>
    <w:rsid w:val="00CD6998"/>
    <w:rsid w:val="00CD720B"/>
    <w:rsid w:val="00CD7896"/>
    <w:rsid w:val="00CD7D6E"/>
    <w:rsid w:val="00CD7FB0"/>
    <w:rsid w:val="00CE061B"/>
    <w:rsid w:val="00CE08B4"/>
    <w:rsid w:val="00CE1784"/>
    <w:rsid w:val="00CE191C"/>
    <w:rsid w:val="00CE2784"/>
    <w:rsid w:val="00CE2A0F"/>
    <w:rsid w:val="00CE2BC0"/>
    <w:rsid w:val="00CE2C7B"/>
    <w:rsid w:val="00CE327C"/>
    <w:rsid w:val="00CE340E"/>
    <w:rsid w:val="00CE377E"/>
    <w:rsid w:val="00CE37CC"/>
    <w:rsid w:val="00CE3E49"/>
    <w:rsid w:val="00CE4004"/>
    <w:rsid w:val="00CE4221"/>
    <w:rsid w:val="00CE437C"/>
    <w:rsid w:val="00CE5A30"/>
    <w:rsid w:val="00CE5CF8"/>
    <w:rsid w:val="00CE6712"/>
    <w:rsid w:val="00CE6851"/>
    <w:rsid w:val="00CE6BF0"/>
    <w:rsid w:val="00CE6C41"/>
    <w:rsid w:val="00CE7C07"/>
    <w:rsid w:val="00CF0368"/>
    <w:rsid w:val="00CF07C5"/>
    <w:rsid w:val="00CF0A3E"/>
    <w:rsid w:val="00CF0B8D"/>
    <w:rsid w:val="00CF1971"/>
    <w:rsid w:val="00CF2E1C"/>
    <w:rsid w:val="00CF2F3D"/>
    <w:rsid w:val="00CF32F6"/>
    <w:rsid w:val="00CF3ADB"/>
    <w:rsid w:val="00CF4174"/>
    <w:rsid w:val="00CF41DB"/>
    <w:rsid w:val="00CF4459"/>
    <w:rsid w:val="00CF4552"/>
    <w:rsid w:val="00CF461E"/>
    <w:rsid w:val="00CF4861"/>
    <w:rsid w:val="00CF48FB"/>
    <w:rsid w:val="00CF4D59"/>
    <w:rsid w:val="00CF54FD"/>
    <w:rsid w:val="00CF5D2D"/>
    <w:rsid w:val="00CF5E0A"/>
    <w:rsid w:val="00CF5E0E"/>
    <w:rsid w:val="00CF6182"/>
    <w:rsid w:val="00CF6653"/>
    <w:rsid w:val="00CF6712"/>
    <w:rsid w:val="00CF6D02"/>
    <w:rsid w:val="00CF6D45"/>
    <w:rsid w:val="00CF7904"/>
    <w:rsid w:val="00CF7A55"/>
    <w:rsid w:val="00D00215"/>
    <w:rsid w:val="00D006FB"/>
    <w:rsid w:val="00D00CB9"/>
    <w:rsid w:val="00D015F5"/>
    <w:rsid w:val="00D019C5"/>
    <w:rsid w:val="00D01BCB"/>
    <w:rsid w:val="00D01E0A"/>
    <w:rsid w:val="00D020F6"/>
    <w:rsid w:val="00D021E0"/>
    <w:rsid w:val="00D02420"/>
    <w:rsid w:val="00D024D9"/>
    <w:rsid w:val="00D024FB"/>
    <w:rsid w:val="00D02EC8"/>
    <w:rsid w:val="00D030DF"/>
    <w:rsid w:val="00D03C9D"/>
    <w:rsid w:val="00D048A5"/>
    <w:rsid w:val="00D04B57"/>
    <w:rsid w:val="00D04C39"/>
    <w:rsid w:val="00D04CF4"/>
    <w:rsid w:val="00D04E01"/>
    <w:rsid w:val="00D05254"/>
    <w:rsid w:val="00D0587B"/>
    <w:rsid w:val="00D0590F"/>
    <w:rsid w:val="00D06249"/>
    <w:rsid w:val="00D06B64"/>
    <w:rsid w:val="00D06EE7"/>
    <w:rsid w:val="00D0731F"/>
    <w:rsid w:val="00D07499"/>
    <w:rsid w:val="00D077BC"/>
    <w:rsid w:val="00D07B6E"/>
    <w:rsid w:val="00D07E49"/>
    <w:rsid w:val="00D10956"/>
    <w:rsid w:val="00D10991"/>
    <w:rsid w:val="00D10CAE"/>
    <w:rsid w:val="00D10F90"/>
    <w:rsid w:val="00D113DF"/>
    <w:rsid w:val="00D11678"/>
    <w:rsid w:val="00D11913"/>
    <w:rsid w:val="00D12210"/>
    <w:rsid w:val="00D126EA"/>
    <w:rsid w:val="00D131CF"/>
    <w:rsid w:val="00D13948"/>
    <w:rsid w:val="00D13BBF"/>
    <w:rsid w:val="00D13EDA"/>
    <w:rsid w:val="00D14234"/>
    <w:rsid w:val="00D1440E"/>
    <w:rsid w:val="00D14C63"/>
    <w:rsid w:val="00D153A7"/>
    <w:rsid w:val="00D1547A"/>
    <w:rsid w:val="00D158D7"/>
    <w:rsid w:val="00D158EA"/>
    <w:rsid w:val="00D15AA6"/>
    <w:rsid w:val="00D165D5"/>
    <w:rsid w:val="00D16CFA"/>
    <w:rsid w:val="00D16D49"/>
    <w:rsid w:val="00D16F17"/>
    <w:rsid w:val="00D171C5"/>
    <w:rsid w:val="00D173A7"/>
    <w:rsid w:val="00D200C0"/>
    <w:rsid w:val="00D20662"/>
    <w:rsid w:val="00D20A58"/>
    <w:rsid w:val="00D20D52"/>
    <w:rsid w:val="00D20EF4"/>
    <w:rsid w:val="00D212F7"/>
    <w:rsid w:val="00D22685"/>
    <w:rsid w:val="00D227A0"/>
    <w:rsid w:val="00D2280A"/>
    <w:rsid w:val="00D22910"/>
    <w:rsid w:val="00D22BDA"/>
    <w:rsid w:val="00D238E4"/>
    <w:rsid w:val="00D23D82"/>
    <w:rsid w:val="00D23E5A"/>
    <w:rsid w:val="00D24303"/>
    <w:rsid w:val="00D24B5F"/>
    <w:rsid w:val="00D250C3"/>
    <w:rsid w:val="00D252AA"/>
    <w:rsid w:val="00D257A1"/>
    <w:rsid w:val="00D25CF1"/>
    <w:rsid w:val="00D26070"/>
    <w:rsid w:val="00D261D9"/>
    <w:rsid w:val="00D2668A"/>
    <w:rsid w:val="00D26A4E"/>
    <w:rsid w:val="00D26CDF"/>
    <w:rsid w:val="00D270EC"/>
    <w:rsid w:val="00D2746B"/>
    <w:rsid w:val="00D275B2"/>
    <w:rsid w:val="00D277E6"/>
    <w:rsid w:val="00D30646"/>
    <w:rsid w:val="00D30A5D"/>
    <w:rsid w:val="00D31255"/>
    <w:rsid w:val="00D31958"/>
    <w:rsid w:val="00D328A2"/>
    <w:rsid w:val="00D328D2"/>
    <w:rsid w:val="00D33136"/>
    <w:rsid w:val="00D3343B"/>
    <w:rsid w:val="00D33F99"/>
    <w:rsid w:val="00D3439B"/>
    <w:rsid w:val="00D34614"/>
    <w:rsid w:val="00D3483D"/>
    <w:rsid w:val="00D34840"/>
    <w:rsid w:val="00D34C27"/>
    <w:rsid w:val="00D351B1"/>
    <w:rsid w:val="00D355B9"/>
    <w:rsid w:val="00D3566B"/>
    <w:rsid w:val="00D3777E"/>
    <w:rsid w:val="00D37F99"/>
    <w:rsid w:val="00D407B3"/>
    <w:rsid w:val="00D409FF"/>
    <w:rsid w:val="00D40C14"/>
    <w:rsid w:val="00D40E84"/>
    <w:rsid w:val="00D40F7C"/>
    <w:rsid w:val="00D41361"/>
    <w:rsid w:val="00D413A3"/>
    <w:rsid w:val="00D4192F"/>
    <w:rsid w:val="00D42160"/>
    <w:rsid w:val="00D421F3"/>
    <w:rsid w:val="00D422C2"/>
    <w:rsid w:val="00D428BA"/>
    <w:rsid w:val="00D43B98"/>
    <w:rsid w:val="00D43D09"/>
    <w:rsid w:val="00D44169"/>
    <w:rsid w:val="00D44889"/>
    <w:rsid w:val="00D4519E"/>
    <w:rsid w:val="00D457B3"/>
    <w:rsid w:val="00D45BF7"/>
    <w:rsid w:val="00D462C2"/>
    <w:rsid w:val="00D4661F"/>
    <w:rsid w:val="00D46845"/>
    <w:rsid w:val="00D473BA"/>
    <w:rsid w:val="00D476B6"/>
    <w:rsid w:val="00D478E8"/>
    <w:rsid w:val="00D47CB3"/>
    <w:rsid w:val="00D5007C"/>
    <w:rsid w:val="00D50322"/>
    <w:rsid w:val="00D50408"/>
    <w:rsid w:val="00D507EA"/>
    <w:rsid w:val="00D50825"/>
    <w:rsid w:val="00D50C52"/>
    <w:rsid w:val="00D511C9"/>
    <w:rsid w:val="00D5142E"/>
    <w:rsid w:val="00D51441"/>
    <w:rsid w:val="00D519D1"/>
    <w:rsid w:val="00D51A34"/>
    <w:rsid w:val="00D51B01"/>
    <w:rsid w:val="00D5242B"/>
    <w:rsid w:val="00D52741"/>
    <w:rsid w:val="00D5276F"/>
    <w:rsid w:val="00D52DE4"/>
    <w:rsid w:val="00D5310B"/>
    <w:rsid w:val="00D53359"/>
    <w:rsid w:val="00D5357B"/>
    <w:rsid w:val="00D54B25"/>
    <w:rsid w:val="00D552E2"/>
    <w:rsid w:val="00D5567A"/>
    <w:rsid w:val="00D56661"/>
    <w:rsid w:val="00D56B06"/>
    <w:rsid w:val="00D57D1F"/>
    <w:rsid w:val="00D57D96"/>
    <w:rsid w:val="00D61A9E"/>
    <w:rsid w:val="00D61AFA"/>
    <w:rsid w:val="00D61CC8"/>
    <w:rsid w:val="00D61E30"/>
    <w:rsid w:val="00D62655"/>
    <w:rsid w:val="00D62677"/>
    <w:rsid w:val="00D62D1F"/>
    <w:rsid w:val="00D62DA6"/>
    <w:rsid w:val="00D63295"/>
    <w:rsid w:val="00D63468"/>
    <w:rsid w:val="00D63A6A"/>
    <w:rsid w:val="00D65523"/>
    <w:rsid w:val="00D659AD"/>
    <w:rsid w:val="00D65EE4"/>
    <w:rsid w:val="00D66800"/>
    <w:rsid w:val="00D67604"/>
    <w:rsid w:val="00D70209"/>
    <w:rsid w:val="00D70744"/>
    <w:rsid w:val="00D7155E"/>
    <w:rsid w:val="00D715C5"/>
    <w:rsid w:val="00D71848"/>
    <w:rsid w:val="00D728D5"/>
    <w:rsid w:val="00D73A36"/>
    <w:rsid w:val="00D7424F"/>
    <w:rsid w:val="00D744AE"/>
    <w:rsid w:val="00D7492D"/>
    <w:rsid w:val="00D7496F"/>
    <w:rsid w:val="00D749E2"/>
    <w:rsid w:val="00D7547D"/>
    <w:rsid w:val="00D757FF"/>
    <w:rsid w:val="00D75852"/>
    <w:rsid w:val="00D75A28"/>
    <w:rsid w:val="00D76371"/>
    <w:rsid w:val="00D76ABA"/>
    <w:rsid w:val="00D803C8"/>
    <w:rsid w:val="00D810D9"/>
    <w:rsid w:val="00D811A5"/>
    <w:rsid w:val="00D8135D"/>
    <w:rsid w:val="00D81B33"/>
    <w:rsid w:val="00D821A8"/>
    <w:rsid w:val="00D823BD"/>
    <w:rsid w:val="00D82735"/>
    <w:rsid w:val="00D827E2"/>
    <w:rsid w:val="00D82A22"/>
    <w:rsid w:val="00D8303A"/>
    <w:rsid w:val="00D832AC"/>
    <w:rsid w:val="00D834F6"/>
    <w:rsid w:val="00D83908"/>
    <w:rsid w:val="00D84954"/>
    <w:rsid w:val="00D85109"/>
    <w:rsid w:val="00D85ADB"/>
    <w:rsid w:val="00D86444"/>
    <w:rsid w:val="00D86C87"/>
    <w:rsid w:val="00D86F74"/>
    <w:rsid w:val="00D9010D"/>
    <w:rsid w:val="00D906BF"/>
    <w:rsid w:val="00D907FB"/>
    <w:rsid w:val="00D90C54"/>
    <w:rsid w:val="00D90EB7"/>
    <w:rsid w:val="00D910F4"/>
    <w:rsid w:val="00D910FE"/>
    <w:rsid w:val="00D911B0"/>
    <w:rsid w:val="00D91212"/>
    <w:rsid w:val="00D916B2"/>
    <w:rsid w:val="00D9209E"/>
    <w:rsid w:val="00D92905"/>
    <w:rsid w:val="00D92C9D"/>
    <w:rsid w:val="00D9338C"/>
    <w:rsid w:val="00D939B7"/>
    <w:rsid w:val="00D93E00"/>
    <w:rsid w:val="00D950F2"/>
    <w:rsid w:val="00D9528B"/>
    <w:rsid w:val="00D9544D"/>
    <w:rsid w:val="00D977A4"/>
    <w:rsid w:val="00D97BBD"/>
    <w:rsid w:val="00DA0B94"/>
    <w:rsid w:val="00DA0CF1"/>
    <w:rsid w:val="00DA0DCF"/>
    <w:rsid w:val="00DA1115"/>
    <w:rsid w:val="00DA183C"/>
    <w:rsid w:val="00DA1F3B"/>
    <w:rsid w:val="00DA24A7"/>
    <w:rsid w:val="00DA2B23"/>
    <w:rsid w:val="00DA2CB3"/>
    <w:rsid w:val="00DA3885"/>
    <w:rsid w:val="00DA390F"/>
    <w:rsid w:val="00DA3EDE"/>
    <w:rsid w:val="00DA4197"/>
    <w:rsid w:val="00DA41B4"/>
    <w:rsid w:val="00DA42D9"/>
    <w:rsid w:val="00DA47B1"/>
    <w:rsid w:val="00DA4FDA"/>
    <w:rsid w:val="00DA5966"/>
    <w:rsid w:val="00DA5ACC"/>
    <w:rsid w:val="00DA5B86"/>
    <w:rsid w:val="00DA60E9"/>
    <w:rsid w:val="00DA6938"/>
    <w:rsid w:val="00DA6FEF"/>
    <w:rsid w:val="00DA72E3"/>
    <w:rsid w:val="00DA7532"/>
    <w:rsid w:val="00DA7BE9"/>
    <w:rsid w:val="00DB05BB"/>
    <w:rsid w:val="00DB130A"/>
    <w:rsid w:val="00DB17BB"/>
    <w:rsid w:val="00DB1B8B"/>
    <w:rsid w:val="00DB1E12"/>
    <w:rsid w:val="00DB227E"/>
    <w:rsid w:val="00DB279B"/>
    <w:rsid w:val="00DB2F04"/>
    <w:rsid w:val="00DB316C"/>
    <w:rsid w:val="00DB3267"/>
    <w:rsid w:val="00DB3697"/>
    <w:rsid w:val="00DB3708"/>
    <w:rsid w:val="00DB4B9F"/>
    <w:rsid w:val="00DB53C4"/>
    <w:rsid w:val="00DB59F6"/>
    <w:rsid w:val="00DB5C29"/>
    <w:rsid w:val="00DB5EA6"/>
    <w:rsid w:val="00DB5F71"/>
    <w:rsid w:val="00DB6067"/>
    <w:rsid w:val="00DB66ED"/>
    <w:rsid w:val="00DB7219"/>
    <w:rsid w:val="00DB7231"/>
    <w:rsid w:val="00DB7C13"/>
    <w:rsid w:val="00DB7E28"/>
    <w:rsid w:val="00DB7FF9"/>
    <w:rsid w:val="00DC036A"/>
    <w:rsid w:val="00DC045C"/>
    <w:rsid w:val="00DC0773"/>
    <w:rsid w:val="00DC0F93"/>
    <w:rsid w:val="00DC14AD"/>
    <w:rsid w:val="00DC2156"/>
    <w:rsid w:val="00DC2537"/>
    <w:rsid w:val="00DC269E"/>
    <w:rsid w:val="00DC2705"/>
    <w:rsid w:val="00DC2F1E"/>
    <w:rsid w:val="00DC31CF"/>
    <w:rsid w:val="00DC31EA"/>
    <w:rsid w:val="00DC32DE"/>
    <w:rsid w:val="00DC3ED0"/>
    <w:rsid w:val="00DC4D5B"/>
    <w:rsid w:val="00DC5E0A"/>
    <w:rsid w:val="00DC5F7B"/>
    <w:rsid w:val="00DC642D"/>
    <w:rsid w:val="00DC6579"/>
    <w:rsid w:val="00DC6C36"/>
    <w:rsid w:val="00DC77B6"/>
    <w:rsid w:val="00DC7F2B"/>
    <w:rsid w:val="00DD006C"/>
    <w:rsid w:val="00DD08FA"/>
    <w:rsid w:val="00DD170E"/>
    <w:rsid w:val="00DD17F2"/>
    <w:rsid w:val="00DD1975"/>
    <w:rsid w:val="00DD1C1F"/>
    <w:rsid w:val="00DD248D"/>
    <w:rsid w:val="00DD28A3"/>
    <w:rsid w:val="00DD2B1E"/>
    <w:rsid w:val="00DD3082"/>
    <w:rsid w:val="00DD3981"/>
    <w:rsid w:val="00DD3E9B"/>
    <w:rsid w:val="00DD4604"/>
    <w:rsid w:val="00DD4B4D"/>
    <w:rsid w:val="00DD4D9C"/>
    <w:rsid w:val="00DD4DA3"/>
    <w:rsid w:val="00DD5A92"/>
    <w:rsid w:val="00DD60E9"/>
    <w:rsid w:val="00DD63BE"/>
    <w:rsid w:val="00DD6D34"/>
    <w:rsid w:val="00DD75FD"/>
    <w:rsid w:val="00DD7934"/>
    <w:rsid w:val="00DD7E40"/>
    <w:rsid w:val="00DE0426"/>
    <w:rsid w:val="00DE0932"/>
    <w:rsid w:val="00DE0DDA"/>
    <w:rsid w:val="00DE0FC0"/>
    <w:rsid w:val="00DE1948"/>
    <w:rsid w:val="00DE224B"/>
    <w:rsid w:val="00DE26DF"/>
    <w:rsid w:val="00DE29CA"/>
    <w:rsid w:val="00DE2DE9"/>
    <w:rsid w:val="00DE36AC"/>
    <w:rsid w:val="00DE3E4D"/>
    <w:rsid w:val="00DE49DF"/>
    <w:rsid w:val="00DE4AA3"/>
    <w:rsid w:val="00DE4B18"/>
    <w:rsid w:val="00DE4C34"/>
    <w:rsid w:val="00DE51A6"/>
    <w:rsid w:val="00DE5448"/>
    <w:rsid w:val="00DE5868"/>
    <w:rsid w:val="00DE5C73"/>
    <w:rsid w:val="00DE689B"/>
    <w:rsid w:val="00DE74DD"/>
    <w:rsid w:val="00DE7831"/>
    <w:rsid w:val="00DE7B9D"/>
    <w:rsid w:val="00DE7C0D"/>
    <w:rsid w:val="00DE7C71"/>
    <w:rsid w:val="00DE7E78"/>
    <w:rsid w:val="00DF0045"/>
    <w:rsid w:val="00DF03B5"/>
    <w:rsid w:val="00DF0453"/>
    <w:rsid w:val="00DF0FF4"/>
    <w:rsid w:val="00DF10E6"/>
    <w:rsid w:val="00DF1A00"/>
    <w:rsid w:val="00DF25CC"/>
    <w:rsid w:val="00DF2F7C"/>
    <w:rsid w:val="00DF3140"/>
    <w:rsid w:val="00DF3220"/>
    <w:rsid w:val="00DF3681"/>
    <w:rsid w:val="00DF3AA3"/>
    <w:rsid w:val="00DF3FBD"/>
    <w:rsid w:val="00DF40C3"/>
    <w:rsid w:val="00DF4FDF"/>
    <w:rsid w:val="00DF5195"/>
    <w:rsid w:val="00DF54E9"/>
    <w:rsid w:val="00DF59E8"/>
    <w:rsid w:val="00DF5AE5"/>
    <w:rsid w:val="00DF5C7A"/>
    <w:rsid w:val="00DF7DFB"/>
    <w:rsid w:val="00DF7F28"/>
    <w:rsid w:val="00DF7FDB"/>
    <w:rsid w:val="00E00514"/>
    <w:rsid w:val="00E009BA"/>
    <w:rsid w:val="00E00BE3"/>
    <w:rsid w:val="00E00DD1"/>
    <w:rsid w:val="00E00E15"/>
    <w:rsid w:val="00E01207"/>
    <w:rsid w:val="00E01633"/>
    <w:rsid w:val="00E01ACF"/>
    <w:rsid w:val="00E021C1"/>
    <w:rsid w:val="00E022D0"/>
    <w:rsid w:val="00E02356"/>
    <w:rsid w:val="00E038C9"/>
    <w:rsid w:val="00E03BA7"/>
    <w:rsid w:val="00E04022"/>
    <w:rsid w:val="00E04811"/>
    <w:rsid w:val="00E04C5F"/>
    <w:rsid w:val="00E05549"/>
    <w:rsid w:val="00E05872"/>
    <w:rsid w:val="00E05C45"/>
    <w:rsid w:val="00E06C87"/>
    <w:rsid w:val="00E06EA8"/>
    <w:rsid w:val="00E10096"/>
    <w:rsid w:val="00E10D45"/>
    <w:rsid w:val="00E118FB"/>
    <w:rsid w:val="00E11D45"/>
    <w:rsid w:val="00E11FA7"/>
    <w:rsid w:val="00E121EB"/>
    <w:rsid w:val="00E129B1"/>
    <w:rsid w:val="00E1395B"/>
    <w:rsid w:val="00E13BF7"/>
    <w:rsid w:val="00E13F89"/>
    <w:rsid w:val="00E140A0"/>
    <w:rsid w:val="00E14109"/>
    <w:rsid w:val="00E149AA"/>
    <w:rsid w:val="00E14E9C"/>
    <w:rsid w:val="00E15343"/>
    <w:rsid w:val="00E153BD"/>
    <w:rsid w:val="00E1598B"/>
    <w:rsid w:val="00E159EE"/>
    <w:rsid w:val="00E15A02"/>
    <w:rsid w:val="00E15CE7"/>
    <w:rsid w:val="00E163FF"/>
    <w:rsid w:val="00E16488"/>
    <w:rsid w:val="00E167BF"/>
    <w:rsid w:val="00E17B38"/>
    <w:rsid w:val="00E2023C"/>
    <w:rsid w:val="00E206F4"/>
    <w:rsid w:val="00E20D30"/>
    <w:rsid w:val="00E20D4D"/>
    <w:rsid w:val="00E20E1E"/>
    <w:rsid w:val="00E20FE3"/>
    <w:rsid w:val="00E23C71"/>
    <w:rsid w:val="00E24673"/>
    <w:rsid w:val="00E24E77"/>
    <w:rsid w:val="00E250DD"/>
    <w:rsid w:val="00E26015"/>
    <w:rsid w:val="00E262DB"/>
    <w:rsid w:val="00E26CCB"/>
    <w:rsid w:val="00E26D32"/>
    <w:rsid w:val="00E27455"/>
    <w:rsid w:val="00E27B19"/>
    <w:rsid w:val="00E27B3B"/>
    <w:rsid w:val="00E27F64"/>
    <w:rsid w:val="00E301C7"/>
    <w:rsid w:val="00E3154C"/>
    <w:rsid w:val="00E3180A"/>
    <w:rsid w:val="00E31BE6"/>
    <w:rsid w:val="00E32171"/>
    <w:rsid w:val="00E32D64"/>
    <w:rsid w:val="00E3398D"/>
    <w:rsid w:val="00E348AB"/>
    <w:rsid w:val="00E34C25"/>
    <w:rsid w:val="00E3506E"/>
    <w:rsid w:val="00E35C94"/>
    <w:rsid w:val="00E35DA0"/>
    <w:rsid w:val="00E36034"/>
    <w:rsid w:val="00E36B8B"/>
    <w:rsid w:val="00E36DBD"/>
    <w:rsid w:val="00E37181"/>
    <w:rsid w:val="00E373F5"/>
    <w:rsid w:val="00E37A3E"/>
    <w:rsid w:val="00E409E8"/>
    <w:rsid w:val="00E411A7"/>
    <w:rsid w:val="00E413F9"/>
    <w:rsid w:val="00E41B43"/>
    <w:rsid w:val="00E42234"/>
    <w:rsid w:val="00E42BCA"/>
    <w:rsid w:val="00E430CF"/>
    <w:rsid w:val="00E431B1"/>
    <w:rsid w:val="00E434E4"/>
    <w:rsid w:val="00E4354C"/>
    <w:rsid w:val="00E43574"/>
    <w:rsid w:val="00E437A5"/>
    <w:rsid w:val="00E43BA0"/>
    <w:rsid w:val="00E43D3F"/>
    <w:rsid w:val="00E441D0"/>
    <w:rsid w:val="00E44472"/>
    <w:rsid w:val="00E44928"/>
    <w:rsid w:val="00E45174"/>
    <w:rsid w:val="00E45865"/>
    <w:rsid w:val="00E45947"/>
    <w:rsid w:val="00E462CF"/>
    <w:rsid w:val="00E46DBF"/>
    <w:rsid w:val="00E4761A"/>
    <w:rsid w:val="00E47763"/>
    <w:rsid w:val="00E478D2"/>
    <w:rsid w:val="00E47EE9"/>
    <w:rsid w:val="00E50281"/>
    <w:rsid w:val="00E503B0"/>
    <w:rsid w:val="00E5044A"/>
    <w:rsid w:val="00E50874"/>
    <w:rsid w:val="00E5162D"/>
    <w:rsid w:val="00E52006"/>
    <w:rsid w:val="00E523F3"/>
    <w:rsid w:val="00E52486"/>
    <w:rsid w:val="00E52791"/>
    <w:rsid w:val="00E529AD"/>
    <w:rsid w:val="00E52E7E"/>
    <w:rsid w:val="00E53135"/>
    <w:rsid w:val="00E53936"/>
    <w:rsid w:val="00E53A95"/>
    <w:rsid w:val="00E53F17"/>
    <w:rsid w:val="00E54BC3"/>
    <w:rsid w:val="00E54D14"/>
    <w:rsid w:val="00E54DE9"/>
    <w:rsid w:val="00E56000"/>
    <w:rsid w:val="00E56108"/>
    <w:rsid w:val="00E56BED"/>
    <w:rsid w:val="00E56D62"/>
    <w:rsid w:val="00E56E4B"/>
    <w:rsid w:val="00E56E97"/>
    <w:rsid w:val="00E57056"/>
    <w:rsid w:val="00E5729D"/>
    <w:rsid w:val="00E57769"/>
    <w:rsid w:val="00E579BE"/>
    <w:rsid w:val="00E57EFD"/>
    <w:rsid w:val="00E601F9"/>
    <w:rsid w:val="00E60BA3"/>
    <w:rsid w:val="00E60D8C"/>
    <w:rsid w:val="00E60F26"/>
    <w:rsid w:val="00E61027"/>
    <w:rsid w:val="00E61121"/>
    <w:rsid w:val="00E612F0"/>
    <w:rsid w:val="00E62156"/>
    <w:rsid w:val="00E62308"/>
    <w:rsid w:val="00E63430"/>
    <w:rsid w:val="00E63851"/>
    <w:rsid w:val="00E65041"/>
    <w:rsid w:val="00E65853"/>
    <w:rsid w:val="00E65DD4"/>
    <w:rsid w:val="00E65FF3"/>
    <w:rsid w:val="00E66054"/>
    <w:rsid w:val="00E660C8"/>
    <w:rsid w:val="00E661EA"/>
    <w:rsid w:val="00E66EBB"/>
    <w:rsid w:val="00E67913"/>
    <w:rsid w:val="00E708BF"/>
    <w:rsid w:val="00E71EB5"/>
    <w:rsid w:val="00E721EB"/>
    <w:rsid w:val="00E721F7"/>
    <w:rsid w:val="00E72258"/>
    <w:rsid w:val="00E725BA"/>
    <w:rsid w:val="00E73239"/>
    <w:rsid w:val="00E73353"/>
    <w:rsid w:val="00E734D5"/>
    <w:rsid w:val="00E7485F"/>
    <w:rsid w:val="00E7493F"/>
    <w:rsid w:val="00E74E21"/>
    <w:rsid w:val="00E74F59"/>
    <w:rsid w:val="00E75F26"/>
    <w:rsid w:val="00E7605E"/>
    <w:rsid w:val="00E761F7"/>
    <w:rsid w:val="00E76449"/>
    <w:rsid w:val="00E7704D"/>
    <w:rsid w:val="00E77F24"/>
    <w:rsid w:val="00E8004C"/>
    <w:rsid w:val="00E800DE"/>
    <w:rsid w:val="00E802A6"/>
    <w:rsid w:val="00E804B8"/>
    <w:rsid w:val="00E80EE7"/>
    <w:rsid w:val="00E81920"/>
    <w:rsid w:val="00E81E73"/>
    <w:rsid w:val="00E81E96"/>
    <w:rsid w:val="00E8205C"/>
    <w:rsid w:val="00E82398"/>
    <w:rsid w:val="00E82FA4"/>
    <w:rsid w:val="00E83620"/>
    <w:rsid w:val="00E836B1"/>
    <w:rsid w:val="00E83AA9"/>
    <w:rsid w:val="00E83F18"/>
    <w:rsid w:val="00E83F38"/>
    <w:rsid w:val="00E85249"/>
    <w:rsid w:val="00E85C78"/>
    <w:rsid w:val="00E85E83"/>
    <w:rsid w:val="00E8693C"/>
    <w:rsid w:val="00E86FFC"/>
    <w:rsid w:val="00E8767C"/>
    <w:rsid w:val="00E876AA"/>
    <w:rsid w:val="00E87751"/>
    <w:rsid w:val="00E877FA"/>
    <w:rsid w:val="00E902E1"/>
    <w:rsid w:val="00E9040E"/>
    <w:rsid w:val="00E905C2"/>
    <w:rsid w:val="00E91035"/>
    <w:rsid w:val="00E91925"/>
    <w:rsid w:val="00E92415"/>
    <w:rsid w:val="00E92AB1"/>
    <w:rsid w:val="00E93375"/>
    <w:rsid w:val="00E938FA"/>
    <w:rsid w:val="00E940A3"/>
    <w:rsid w:val="00E94B10"/>
    <w:rsid w:val="00E9540A"/>
    <w:rsid w:val="00E955CD"/>
    <w:rsid w:val="00E95A26"/>
    <w:rsid w:val="00E95DB8"/>
    <w:rsid w:val="00E9643F"/>
    <w:rsid w:val="00E964C8"/>
    <w:rsid w:val="00E96B34"/>
    <w:rsid w:val="00E96E10"/>
    <w:rsid w:val="00E974E9"/>
    <w:rsid w:val="00E97976"/>
    <w:rsid w:val="00E97CC7"/>
    <w:rsid w:val="00EA02FB"/>
    <w:rsid w:val="00EA0551"/>
    <w:rsid w:val="00EA102D"/>
    <w:rsid w:val="00EA116B"/>
    <w:rsid w:val="00EA18DA"/>
    <w:rsid w:val="00EA1C93"/>
    <w:rsid w:val="00EA1E93"/>
    <w:rsid w:val="00EA1F59"/>
    <w:rsid w:val="00EA2214"/>
    <w:rsid w:val="00EA2C7B"/>
    <w:rsid w:val="00EA2D38"/>
    <w:rsid w:val="00EA2DEF"/>
    <w:rsid w:val="00EA3191"/>
    <w:rsid w:val="00EA39C1"/>
    <w:rsid w:val="00EA3C7B"/>
    <w:rsid w:val="00EA3F5F"/>
    <w:rsid w:val="00EA45BD"/>
    <w:rsid w:val="00EA4788"/>
    <w:rsid w:val="00EA4B3C"/>
    <w:rsid w:val="00EA506B"/>
    <w:rsid w:val="00EA5290"/>
    <w:rsid w:val="00EA530E"/>
    <w:rsid w:val="00EA5AA1"/>
    <w:rsid w:val="00EA5E4A"/>
    <w:rsid w:val="00EA60AB"/>
    <w:rsid w:val="00EA6FFA"/>
    <w:rsid w:val="00EA703D"/>
    <w:rsid w:val="00EA751B"/>
    <w:rsid w:val="00EA7611"/>
    <w:rsid w:val="00EA7977"/>
    <w:rsid w:val="00EB0038"/>
    <w:rsid w:val="00EB03FE"/>
    <w:rsid w:val="00EB045C"/>
    <w:rsid w:val="00EB0EE1"/>
    <w:rsid w:val="00EB17EE"/>
    <w:rsid w:val="00EB2833"/>
    <w:rsid w:val="00EB2B4F"/>
    <w:rsid w:val="00EB2D69"/>
    <w:rsid w:val="00EB351F"/>
    <w:rsid w:val="00EB3746"/>
    <w:rsid w:val="00EB3961"/>
    <w:rsid w:val="00EB4076"/>
    <w:rsid w:val="00EB4081"/>
    <w:rsid w:val="00EB431E"/>
    <w:rsid w:val="00EB574E"/>
    <w:rsid w:val="00EB5CDF"/>
    <w:rsid w:val="00EB5D15"/>
    <w:rsid w:val="00EB5E86"/>
    <w:rsid w:val="00EB615A"/>
    <w:rsid w:val="00EB690E"/>
    <w:rsid w:val="00EB6F3B"/>
    <w:rsid w:val="00EB7031"/>
    <w:rsid w:val="00EB7C9A"/>
    <w:rsid w:val="00EC0045"/>
    <w:rsid w:val="00EC07E9"/>
    <w:rsid w:val="00EC0880"/>
    <w:rsid w:val="00EC0EA1"/>
    <w:rsid w:val="00EC0FBE"/>
    <w:rsid w:val="00EC15BB"/>
    <w:rsid w:val="00EC28A6"/>
    <w:rsid w:val="00EC2E24"/>
    <w:rsid w:val="00EC3372"/>
    <w:rsid w:val="00EC33CA"/>
    <w:rsid w:val="00EC36F1"/>
    <w:rsid w:val="00EC3840"/>
    <w:rsid w:val="00EC3B43"/>
    <w:rsid w:val="00EC3D0F"/>
    <w:rsid w:val="00EC3E78"/>
    <w:rsid w:val="00EC4D5B"/>
    <w:rsid w:val="00EC53B4"/>
    <w:rsid w:val="00EC590D"/>
    <w:rsid w:val="00EC5AE5"/>
    <w:rsid w:val="00EC5B64"/>
    <w:rsid w:val="00EC5D67"/>
    <w:rsid w:val="00EC5DC2"/>
    <w:rsid w:val="00EC6291"/>
    <w:rsid w:val="00EC67CA"/>
    <w:rsid w:val="00EC6866"/>
    <w:rsid w:val="00EC6A4A"/>
    <w:rsid w:val="00EC7715"/>
    <w:rsid w:val="00EC7DC4"/>
    <w:rsid w:val="00EC7DC6"/>
    <w:rsid w:val="00ED074F"/>
    <w:rsid w:val="00ED0AEC"/>
    <w:rsid w:val="00ED12C9"/>
    <w:rsid w:val="00ED1764"/>
    <w:rsid w:val="00ED19BC"/>
    <w:rsid w:val="00ED1CDE"/>
    <w:rsid w:val="00ED20BA"/>
    <w:rsid w:val="00ED222C"/>
    <w:rsid w:val="00ED38F0"/>
    <w:rsid w:val="00ED3AA8"/>
    <w:rsid w:val="00ED4165"/>
    <w:rsid w:val="00ED42A5"/>
    <w:rsid w:val="00ED44C8"/>
    <w:rsid w:val="00ED5586"/>
    <w:rsid w:val="00ED566E"/>
    <w:rsid w:val="00ED5AD6"/>
    <w:rsid w:val="00ED5DDC"/>
    <w:rsid w:val="00ED67E3"/>
    <w:rsid w:val="00ED6B27"/>
    <w:rsid w:val="00ED749B"/>
    <w:rsid w:val="00ED75B9"/>
    <w:rsid w:val="00ED75DB"/>
    <w:rsid w:val="00ED7AD9"/>
    <w:rsid w:val="00ED7B44"/>
    <w:rsid w:val="00ED7E07"/>
    <w:rsid w:val="00EE01EA"/>
    <w:rsid w:val="00EE02CC"/>
    <w:rsid w:val="00EE0C37"/>
    <w:rsid w:val="00EE0F51"/>
    <w:rsid w:val="00EE170C"/>
    <w:rsid w:val="00EE1A1C"/>
    <w:rsid w:val="00EE21F6"/>
    <w:rsid w:val="00EE22FA"/>
    <w:rsid w:val="00EE2387"/>
    <w:rsid w:val="00EE29F1"/>
    <w:rsid w:val="00EE2B01"/>
    <w:rsid w:val="00EE382D"/>
    <w:rsid w:val="00EE3E09"/>
    <w:rsid w:val="00EE409D"/>
    <w:rsid w:val="00EE50B5"/>
    <w:rsid w:val="00EE53DA"/>
    <w:rsid w:val="00EE54C1"/>
    <w:rsid w:val="00EE5DBD"/>
    <w:rsid w:val="00EE6630"/>
    <w:rsid w:val="00EE781A"/>
    <w:rsid w:val="00EE78D6"/>
    <w:rsid w:val="00EF069F"/>
    <w:rsid w:val="00EF099F"/>
    <w:rsid w:val="00EF0A6E"/>
    <w:rsid w:val="00EF132B"/>
    <w:rsid w:val="00EF1AC9"/>
    <w:rsid w:val="00EF1DEF"/>
    <w:rsid w:val="00EF212A"/>
    <w:rsid w:val="00EF2375"/>
    <w:rsid w:val="00EF262A"/>
    <w:rsid w:val="00EF2DB1"/>
    <w:rsid w:val="00EF2DFE"/>
    <w:rsid w:val="00EF3208"/>
    <w:rsid w:val="00EF339C"/>
    <w:rsid w:val="00EF33DC"/>
    <w:rsid w:val="00EF39D1"/>
    <w:rsid w:val="00EF3AD7"/>
    <w:rsid w:val="00EF4374"/>
    <w:rsid w:val="00EF4628"/>
    <w:rsid w:val="00EF4B23"/>
    <w:rsid w:val="00EF4D22"/>
    <w:rsid w:val="00EF4D7A"/>
    <w:rsid w:val="00EF4F5D"/>
    <w:rsid w:val="00EF52B9"/>
    <w:rsid w:val="00EF5E2B"/>
    <w:rsid w:val="00EF64AE"/>
    <w:rsid w:val="00EF7DF3"/>
    <w:rsid w:val="00EF7E78"/>
    <w:rsid w:val="00F00481"/>
    <w:rsid w:val="00F00904"/>
    <w:rsid w:val="00F00C4B"/>
    <w:rsid w:val="00F00E78"/>
    <w:rsid w:val="00F011E0"/>
    <w:rsid w:val="00F01952"/>
    <w:rsid w:val="00F01B75"/>
    <w:rsid w:val="00F01DB7"/>
    <w:rsid w:val="00F02BA0"/>
    <w:rsid w:val="00F031FB"/>
    <w:rsid w:val="00F0352D"/>
    <w:rsid w:val="00F03D67"/>
    <w:rsid w:val="00F04160"/>
    <w:rsid w:val="00F04AD3"/>
    <w:rsid w:val="00F051A5"/>
    <w:rsid w:val="00F05215"/>
    <w:rsid w:val="00F05F71"/>
    <w:rsid w:val="00F065F9"/>
    <w:rsid w:val="00F06C1E"/>
    <w:rsid w:val="00F07356"/>
    <w:rsid w:val="00F07A32"/>
    <w:rsid w:val="00F106CA"/>
    <w:rsid w:val="00F106CE"/>
    <w:rsid w:val="00F10C85"/>
    <w:rsid w:val="00F10DFC"/>
    <w:rsid w:val="00F110F2"/>
    <w:rsid w:val="00F114BD"/>
    <w:rsid w:val="00F115BD"/>
    <w:rsid w:val="00F11692"/>
    <w:rsid w:val="00F11740"/>
    <w:rsid w:val="00F117A6"/>
    <w:rsid w:val="00F11ACD"/>
    <w:rsid w:val="00F12101"/>
    <w:rsid w:val="00F1222B"/>
    <w:rsid w:val="00F12AC6"/>
    <w:rsid w:val="00F133AD"/>
    <w:rsid w:val="00F135C5"/>
    <w:rsid w:val="00F1376A"/>
    <w:rsid w:val="00F138C2"/>
    <w:rsid w:val="00F13A71"/>
    <w:rsid w:val="00F1423F"/>
    <w:rsid w:val="00F14418"/>
    <w:rsid w:val="00F15529"/>
    <w:rsid w:val="00F15885"/>
    <w:rsid w:val="00F15FC8"/>
    <w:rsid w:val="00F15FF4"/>
    <w:rsid w:val="00F16023"/>
    <w:rsid w:val="00F16BD7"/>
    <w:rsid w:val="00F17239"/>
    <w:rsid w:val="00F173F6"/>
    <w:rsid w:val="00F178AB"/>
    <w:rsid w:val="00F179C5"/>
    <w:rsid w:val="00F2105A"/>
    <w:rsid w:val="00F214C9"/>
    <w:rsid w:val="00F21B4F"/>
    <w:rsid w:val="00F22565"/>
    <w:rsid w:val="00F22959"/>
    <w:rsid w:val="00F2302C"/>
    <w:rsid w:val="00F238AB"/>
    <w:rsid w:val="00F23CF3"/>
    <w:rsid w:val="00F23E52"/>
    <w:rsid w:val="00F2443E"/>
    <w:rsid w:val="00F24B21"/>
    <w:rsid w:val="00F24BEB"/>
    <w:rsid w:val="00F24BF9"/>
    <w:rsid w:val="00F256A0"/>
    <w:rsid w:val="00F26451"/>
    <w:rsid w:val="00F2686D"/>
    <w:rsid w:val="00F26C1A"/>
    <w:rsid w:val="00F27398"/>
    <w:rsid w:val="00F276C4"/>
    <w:rsid w:val="00F2772F"/>
    <w:rsid w:val="00F27D33"/>
    <w:rsid w:val="00F303CA"/>
    <w:rsid w:val="00F3056F"/>
    <w:rsid w:val="00F308CD"/>
    <w:rsid w:val="00F30F33"/>
    <w:rsid w:val="00F30F6E"/>
    <w:rsid w:val="00F30FD0"/>
    <w:rsid w:val="00F315BE"/>
    <w:rsid w:val="00F31AD1"/>
    <w:rsid w:val="00F320A3"/>
    <w:rsid w:val="00F32180"/>
    <w:rsid w:val="00F323EA"/>
    <w:rsid w:val="00F32822"/>
    <w:rsid w:val="00F32EF7"/>
    <w:rsid w:val="00F32F06"/>
    <w:rsid w:val="00F333DB"/>
    <w:rsid w:val="00F33708"/>
    <w:rsid w:val="00F339D0"/>
    <w:rsid w:val="00F3478D"/>
    <w:rsid w:val="00F34921"/>
    <w:rsid w:val="00F34A2A"/>
    <w:rsid w:val="00F35373"/>
    <w:rsid w:val="00F353DA"/>
    <w:rsid w:val="00F35601"/>
    <w:rsid w:val="00F35D26"/>
    <w:rsid w:val="00F3660D"/>
    <w:rsid w:val="00F36792"/>
    <w:rsid w:val="00F36828"/>
    <w:rsid w:val="00F36967"/>
    <w:rsid w:val="00F36BFE"/>
    <w:rsid w:val="00F36C99"/>
    <w:rsid w:val="00F36D3E"/>
    <w:rsid w:val="00F36DE1"/>
    <w:rsid w:val="00F37701"/>
    <w:rsid w:val="00F37D6E"/>
    <w:rsid w:val="00F4050C"/>
    <w:rsid w:val="00F4069B"/>
    <w:rsid w:val="00F40857"/>
    <w:rsid w:val="00F40958"/>
    <w:rsid w:val="00F40AD1"/>
    <w:rsid w:val="00F40B49"/>
    <w:rsid w:val="00F4101C"/>
    <w:rsid w:val="00F4167E"/>
    <w:rsid w:val="00F41D7C"/>
    <w:rsid w:val="00F43602"/>
    <w:rsid w:val="00F451F8"/>
    <w:rsid w:val="00F4556E"/>
    <w:rsid w:val="00F45682"/>
    <w:rsid w:val="00F45789"/>
    <w:rsid w:val="00F45E40"/>
    <w:rsid w:val="00F46175"/>
    <w:rsid w:val="00F4645A"/>
    <w:rsid w:val="00F465B8"/>
    <w:rsid w:val="00F4703C"/>
    <w:rsid w:val="00F4799D"/>
    <w:rsid w:val="00F47FA9"/>
    <w:rsid w:val="00F501BC"/>
    <w:rsid w:val="00F50281"/>
    <w:rsid w:val="00F507F8"/>
    <w:rsid w:val="00F51B11"/>
    <w:rsid w:val="00F5221F"/>
    <w:rsid w:val="00F52254"/>
    <w:rsid w:val="00F527DF"/>
    <w:rsid w:val="00F5364F"/>
    <w:rsid w:val="00F53AAF"/>
    <w:rsid w:val="00F53FFC"/>
    <w:rsid w:val="00F545D7"/>
    <w:rsid w:val="00F5478E"/>
    <w:rsid w:val="00F54989"/>
    <w:rsid w:val="00F54D61"/>
    <w:rsid w:val="00F564E6"/>
    <w:rsid w:val="00F564F7"/>
    <w:rsid w:val="00F565FE"/>
    <w:rsid w:val="00F566A8"/>
    <w:rsid w:val="00F566FF"/>
    <w:rsid w:val="00F56CA9"/>
    <w:rsid w:val="00F571C4"/>
    <w:rsid w:val="00F60354"/>
    <w:rsid w:val="00F612D5"/>
    <w:rsid w:val="00F615E4"/>
    <w:rsid w:val="00F6281D"/>
    <w:rsid w:val="00F62D83"/>
    <w:rsid w:val="00F63378"/>
    <w:rsid w:val="00F63471"/>
    <w:rsid w:val="00F64A77"/>
    <w:rsid w:val="00F65D0F"/>
    <w:rsid w:val="00F6629D"/>
    <w:rsid w:val="00F6691E"/>
    <w:rsid w:val="00F66E7E"/>
    <w:rsid w:val="00F670B8"/>
    <w:rsid w:val="00F67251"/>
    <w:rsid w:val="00F67358"/>
    <w:rsid w:val="00F67B6B"/>
    <w:rsid w:val="00F71604"/>
    <w:rsid w:val="00F716EB"/>
    <w:rsid w:val="00F7181D"/>
    <w:rsid w:val="00F71892"/>
    <w:rsid w:val="00F71D71"/>
    <w:rsid w:val="00F72B49"/>
    <w:rsid w:val="00F72BAA"/>
    <w:rsid w:val="00F73F45"/>
    <w:rsid w:val="00F749D2"/>
    <w:rsid w:val="00F7527C"/>
    <w:rsid w:val="00F7538E"/>
    <w:rsid w:val="00F756A8"/>
    <w:rsid w:val="00F75B7F"/>
    <w:rsid w:val="00F76275"/>
    <w:rsid w:val="00F764D6"/>
    <w:rsid w:val="00F76718"/>
    <w:rsid w:val="00F76A1F"/>
    <w:rsid w:val="00F76B43"/>
    <w:rsid w:val="00F770D4"/>
    <w:rsid w:val="00F80662"/>
    <w:rsid w:val="00F80E79"/>
    <w:rsid w:val="00F80EE0"/>
    <w:rsid w:val="00F811D4"/>
    <w:rsid w:val="00F81EA5"/>
    <w:rsid w:val="00F826CF"/>
    <w:rsid w:val="00F82BA7"/>
    <w:rsid w:val="00F82CA8"/>
    <w:rsid w:val="00F8344E"/>
    <w:rsid w:val="00F834D2"/>
    <w:rsid w:val="00F837B9"/>
    <w:rsid w:val="00F83B4A"/>
    <w:rsid w:val="00F83CD9"/>
    <w:rsid w:val="00F842B3"/>
    <w:rsid w:val="00F84507"/>
    <w:rsid w:val="00F84594"/>
    <w:rsid w:val="00F8479A"/>
    <w:rsid w:val="00F84E50"/>
    <w:rsid w:val="00F84E5A"/>
    <w:rsid w:val="00F84F13"/>
    <w:rsid w:val="00F85CC6"/>
    <w:rsid w:val="00F8639A"/>
    <w:rsid w:val="00F86AE4"/>
    <w:rsid w:val="00F86D59"/>
    <w:rsid w:val="00F87016"/>
    <w:rsid w:val="00F87664"/>
    <w:rsid w:val="00F87E15"/>
    <w:rsid w:val="00F90068"/>
    <w:rsid w:val="00F90539"/>
    <w:rsid w:val="00F906EC"/>
    <w:rsid w:val="00F90DB1"/>
    <w:rsid w:val="00F914E2"/>
    <w:rsid w:val="00F9280E"/>
    <w:rsid w:val="00F92D46"/>
    <w:rsid w:val="00F92D52"/>
    <w:rsid w:val="00F92D6A"/>
    <w:rsid w:val="00F93A1E"/>
    <w:rsid w:val="00F93EBF"/>
    <w:rsid w:val="00F959E7"/>
    <w:rsid w:val="00F95D8E"/>
    <w:rsid w:val="00F95EB2"/>
    <w:rsid w:val="00F96727"/>
    <w:rsid w:val="00F968D3"/>
    <w:rsid w:val="00F9772A"/>
    <w:rsid w:val="00F97825"/>
    <w:rsid w:val="00F97826"/>
    <w:rsid w:val="00FA0114"/>
    <w:rsid w:val="00FA031D"/>
    <w:rsid w:val="00FA073A"/>
    <w:rsid w:val="00FA086C"/>
    <w:rsid w:val="00FA0B51"/>
    <w:rsid w:val="00FA0F39"/>
    <w:rsid w:val="00FA1335"/>
    <w:rsid w:val="00FA1398"/>
    <w:rsid w:val="00FA1D0E"/>
    <w:rsid w:val="00FA27EF"/>
    <w:rsid w:val="00FA3297"/>
    <w:rsid w:val="00FA32E3"/>
    <w:rsid w:val="00FA3614"/>
    <w:rsid w:val="00FA3B25"/>
    <w:rsid w:val="00FA441A"/>
    <w:rsid w:val="00FA47FC"/>
    <w:rsid w:val="00FA4D36"/>
    <w:rsid w:val="00FA5184"/>
    <w:rsid w:val="00FA550B"/>
    <w:rsid w:val="00FA5685"/>
    <w:rsid w:val="00FA5F57"/>
    <w:rsid w:val="00FA5F64"/>
    <w:rsid w:val="00FA75FA"/>
    <w:rsid w:val="00FB1F28"/>
    <w:rsid w:val="00FB218F"/>
    <w:rsid w:val="00FB26B5"/>
    <w:rsid w:val="00FB2E41"/>
    <w:rsid w:val="00FB391D"/>
    <w:rsid w:val="00FB45D5"/>
    <w:rsid w:val="00FB467C"/>
    <w:rsid w:val="00FB497F"/>
    <w:rsid w:val="00FB542C"/>
    <w:rsid w:val="00FB6019"/>
    <w:rsid w:val="00FB6407"/>
    <w:rsid w:val="00FB6959"/>
    <w:rsid w:val="00FB6995"/>
    <w:rsid w:val="00FB69C3"/>
    <w:rsid w:val="00FB69D4"/>
    <w:rsid w:val="00FB70AE"/>
    <w:rsid w:val="00FB70B7"/>
    <w:rsid w:val="00FB76A5"/>
    <w:rsid w:val="00FB7D58"/>
    <w:rsid w:val="00FC020A"/>
    <w:rsid w:val="00FC0C90"/>
    <w:rsid w:val="00FC0DE2"/>
    <w:rsid w:val="00FC1058"/>
    <w:rsid w:val="00FC1A6B"/>
    <w:rsid w:val="00FC1C5B"/>
    <w:rsid w:val="00FC22FF"/>
    <w:rsid w:val="00FC23AC"/>
    <w:rsid w:val="00FC24D7"/>
    <w:rsid w:val="00FC2AC5"/>
    <w:rsid w:val="00FC2E5F"/>
    <w:rsid w:val="00FC318A"/>
    <w:rsid w:val="00FC375B"/>
    <w:rsid w:val="00FC4189"/>
    <w:rsid w:val="00FC49B3"/>
    <w:rsid w:val="00FC5810"/>
    <w:rsid w:val="00FC5A70"/>
    <w:rsid w:val="00FC5A7E"/>
    <w:rsid w:val="00FC5C2E"/>
    <w:rsid w:val="00FC5F03"/>
    <w:rsid w:val="00FC655D"/>
    <w:rsid w:val="00FC6874"/>
    <w:rsid w:val="00FC74D6"/>
    <w:rsid w:val="00FC7CDA"/>
    <w:rsid w:val="00FD0388"/>
    <w:rsid w:val="00FD080A"/>
    <w:rsid w:val="00FD0B3F"/>
    <w:rsid w:val="00FD1C09"/>
    <w:rsid w:val="00FD1C63"/>
    <w:rsid w:val="00FD225F"/>
    <w:rsid w:val="00FD26D0"/>
    <w:rsid w:val="00FD3610"/>
    <w:rsid w:val="00FD3DD5"/>
    <w:rsid w:val="00FD43AD"/>
    <w:rsid w:val="00FD48F9"/>
    <w:rsid w:val="00FD4B77"/>
    <w:rsid w:val="00FD4DC6"/>
    <w:rsid w:val="00FD4ECE"/>
    <w:rsid w:val="00FD5071"/>
    <w:rsid w:val="00FD54A2"/>
    <w:rsid w:val="00FD56C6"/>
    <w:rsid w:val="00FD584C"/>
    <w:rsid w:val="00FD6428"/>
    <w:rsid w:val="00FD7F2B"/>
    <w:rsid w:val="00FE0231"/>
    <w:rsid w:val="00FE03FF"/>
    <w:rsid w:val="00FE0545"/>
    <w:rsid w:val="00FE0551"/>
    <w:rsid w:val="00FE0A19"/>
    <w:rsid w:val="00FE0D9C"/>
    <w:rsid w:val="00FE0F22"/>
    <w:rsid w:val="00FE0F2F"/>
    <w:rsid w:val="00FE124B"/>
    <w:rsid w:val="00FE1877"/>
    <w:rsid w:val="00FE1948"/>
    <w:rsid w:val="00FE26EA"/>
    <w:rsid w:val="00FE294C"/>
    <w:rsid w:val="00FE2BF7"/>
    <w:rsid w:val="00FE31B1"/>
    <w:rsid w:val="00FE485B"/>
    <w:rsid w:val="00FE4CD5"/>
    <w:rsid w:val="00FE4E10"/>
    <w:rsid w:val="00FE5213"/>
    <w:rsid w:val="00FE54FE"/>
    <w:rsid w:val="00FE5524"/>
    <w:rsid w:val="00FE62A3"/>
    <w:rsid w:val="00FE65F4"/>
    <w:rsid w:val="00FF00BD"/>
    <w:rsid w:val="00FF082A"/>
    <w:rsid w:val="00FF15A4"/>
    <w:rsid w:val="00FF1B53"/>
    <w:rsid w:val="00FF2823"/>
    <w:rsid w:val="00FF2AA6"/>
    <w:rsid w:val="00FF2C3B"/>
    <w:rsid w:val="00FF2D0D"/>
    <w:rsid w:val="00FF33EA"/>
    <w:rsid w:val="00FF3610"/>
    <w:rsid w:val="00FF36C8"/>
    <w:rsid w:val="00FF3FCE"/>
    <w:rsid w:val="00FF4641"/>
    <w:rsid w:val="00FF48C3"/>
    <w:rsid w:val="00FF4BA7"/>
    <w:rsid w:val="00FF546E"/>
    <w:rsid w:val="00FF553D"/>
    <w:rsid w:val="00FF5819"/>
    <w:rsid w:val="00FF5A3D"/>
    <w:rsid w:val="00FF6513"/>
    <w:rsid w:val="00FF6AE6"/>
    <w:rsid w:val="00FF6E1A"/>
    <w:rsid w:val="00FF7386"/>
    <w:rsid w:val="00FF740C"/>
    <w:rsid w:val="00FF798E"/>
    <w:rsid w:val="00FF7B26"/>
    <w:rsid w:val="010F79B2"/>
    <w:rsid w:val="011C207B"/>
    <w:rsid w:val="0121630E"/>
    <w:rsid w:val="01255120"/>
    <w:rsid w:val="013C06CF"/>
    <w:rsid w:val="014B7452"/>
    <w:rsid w:val="01572F2A"/>
    <w:rsid w:val="01655E65"/>
    <w:rsid w:val="01775A7E"/>
    <w:rsid w:val="017F0DCF"/>
    <w:rsid w:val="018634B7"/>
    <w:rsid w:val="018C519F"/>
    <w:rsid w:val="01A4468C"/>
    <w:rsid w:val="01AA1AC9"/>
    <w:rsid w:val="01B16395"/>
    <w:rsid w:val="01D67F9C"/>
    <w:rsid w:val="01DB5E23"/>
    <w:rsid w:val="021A09FD"/>
    <w:rsid w:val="023C3125"/>
    <w:rsid w:val="02493671"/>
    <w:rsid w:val="025829AB"/>
    <w:rsid w:val="025B7E44"/>
    <w:rsid w:val="02C42CA0"/>
    <w:rsid w:val="02D019CB"/>
    <w:rsid w:val="02D27948"/>
    <w:rsid w:val="02D459D9"/>
    <w:rsid w:val="03063C84"/>
    <w:rsid w:val="03156455"/>
    <w:rsid w:val="031E038B"/>
    <w:rsid w:val="033C2EDB"/>
    <w:rsid w:val="033E68DC"/>
    <w:rsid w:val="03415AF5"/>
    <w:rsid w:val="035A3AEC"/>
    <w:rsid w:val="036B0107"/>
    <w:rsid w:val="036C1498"/>
    <w:rsid w:val="03825B8A"/>
    <w:rsid w:val="03880749"/>
    <w:rsid w:val="03943638"/>
    <w:rsid w:val="03D23007"/>
    <w:rsid w:val="03D47E7F"/>
    <w:rsid w:val="03F04332"/>
    <w:rsid w:val="0402799B"/>
    <w:rsid w:val="041501B4"/>
    <w:rsid w:val="043C03F4"/>
    <w:rsid w:val="044F386D"/>
    <w:rsid w:val="04672625"/>
    <w:rsid w:val="04693400"/>
    <w:rsid w:val="04721114"/>
    <w:rsid w:val="047F3C56"/>
    <w:rsid w:val="048172C1"/>
    <w:rsid w:val="04854128"/>
    <w:rsid w:val="0498217E"/>
    <w:rsid w:val="04B62533"/>
    <w:rsid w:val="04B845B4"/>
    <w:rsid w:val="04DB6917"/>
    <w:rsid w:val="050543C6"/>
    <w:rsid w:val="050B03AB"/>
    <w:rsid w:val="05204350"/>
    <w:rsid w:val="05242334"/>
    <w:rsid w:val="05307A51"/>
    <w:rsid w:val="0533159F"/>
    <w:rsid w:val="053C3A65"/>
    <w:rsid w:val="054741D8"/>
    <w:rsid w:val="056712EA"/>
    <w:rsid w:val="05675FC6"/>
    <w:rsid w:val="056D5C40"/>
    <w:rsid w:val="059A7F9F"/>
    <w:rsid w:val="059F5C11"/>
    <w:rsid w:val="05AD1823"/>
    <w:rsid w:val="05BC30EF"/>
    <w:rsid w:val="05D069D9"/>
    <w:rsid w:val="05EE1BFD"/>
    <w:rsid w:val="05F07CB2"/>
    <w:rsid w:val="05F73638"/>
    <w:rsid w:val="05FF6A1B"/>
    <w:rsid w:val="060D17BE"/>
    <w:rsid w:val="06217FC7"/>
    <w:rsid w:val="063378FF"/>
    <w:rsid w:val="065049CA"/>
    <w:rsid w:val="06535E84"/>
    <w:rsid w:val="0657680D"/>
    <w:rsid w:val="06826D29"/>
    <w:rsid w:val="069568C0"/>
    <w:rsid w:val="069D673C"/>
    <w:rsid w:val="069F7DEC"/>
    <w:rsid w:val="06A92934"/>
    <w:rsid w:val="06D05807"/>
    <w:rsid w:val="06DB6E3F"/>
    <w:rsid w:val="06E50F65"/>
    <w:rsid w:val="06F22913"/>
    <w:rsid w:val="06F7595B"/>
    <w:rsid w:val="06FC5C2E"/>
    <w:rsid w:val="0724771D"/>
    <w:rsid w:val="07445D32"/>
    <w:rsid w:val="077A356B"/>
    <w:rsid w:val="077B311D"/>
    <w:rsid w:val="078C1CFC"/>
    <w:rsid w:val="07D44515"/>
    <w:rsid w:val="07D566FA"/>
    <w:rsid w:val="07D7113E"/>
    <w:rsid w:val="07DC11F8"/>
    <w:rsid w:val="07F755D8"/>
    <w:rsid w:val="081C0117"/>
    <w:rsid w:val="084E3C06"/>
    <w:rsid w:val="085976D7"/>
    <w:rsid w:val="08673A31"/>
    <w:rsid w:val="0867476B"/>
    <w:rsid w:val="08755FB8"/>
    <w:rsid w:val="087D37B2"/>
    <w:rsid w:val="08870E53"/>
    <w:rsid w:val="089C2BAC"/>
    <w:rsid w:val="08A74037"/>
    <w:rsid w:val="08A87AC5"/>
    <w:rsid w:val="08A90864"/>
    <w:rsid w:val="08B32CCD"/>
    <w:rsid w:val="08BC2A1A"/>
    <w:rsid w:val="08D05272"/>
    <w:rsid w:val="08D53D50"/>
    <w:rsid w:val="08ED097C"/>
    <w:rsid w:val="08ED5824"/>
    <w:rsid w:val="08FF64CD"/>
    <w:rsid w:val="09027837"/>
    <w:rsid w:val="090F5FD3"/>
    <w:rsid w:val="09154CA2"/>
    <w:rsid w:val="091C5FBE"/>
    <w:rsid w:val="091D1DA1"/>
    <w:rsid w:val="091E54AC"/>
    <w:rsid w:val="092477E3"/>
    <w:rsid w:val="093302A3"/>
    <w:rsid w:val="09343032"/>
    <w:rsid w:val="093755C3"/>
    <w:rsid w:val="093915AE"/>
    <w:rsid w:val="094A7CC0"/>
    <w:rsid w:val="09592991"/>
    <w:rsid w:val="095D40C8"/>
    <w:rsid w:val="096B1D45"/>
    <w:rsid w:val="096C6DC0"/>
    <w:rsid w:val="096F6A35"/>
    <w:rsid w:val="098350DA"/>
    <w:rsid w:val="098F3686"/>
    <w:rsid w:val="09AA4FD7"/>
    <w:rsid w:val="09B25242"/>
    <w:rsid w:val="09CC7A86"/>
    <w:rsid w:val="0A036B30"/>
    <w:rsid w:val="0A0979AD"/>
    <w:rsid w:val="0A160B54"/>
    <w:rsid w:val="0A2274F0"/>
    <w:rsid w:val="0A2A7B00"/>
    <w:rsid w:val="0A2E5F85"/>
    <w:rsid w:val="0A4F76B2"/>
    <w:rsid w:val="0A627C8A"/>
    <w:rsid w:val="0A822B76"/>
    <w:rsid w:val="0A866B17"/>
    <w:rsid w:val="0A8702C6"/>
    <w:rsid w:val="0A8A6308"/>
    <w:rsid w:val="0A976AB2"/>
    <w:rsid w:val="0A9C327F"/>
    <w:rsid w:val="0A9D3AFE"/>
    <w:rsid w:val="0AAA10E7"/>
    <w:rsid w:val="0AAB579B"/>
    <w:rsid w:val="0AB838B5"/>
    <w:rsid w:val="0AB935FE"/>
    <w:rsid w:val="0AC7192C"/>
    <w:rsid w:val="0AD92D1E"/>
    <w:rsid w:val="0AD93F59"/>
    <w:rsid w:val="0ADB0422"/>
    <w:rsid w:val="0AE4604C"/>
    <w:rsid w:val="0AF769B5"/>
    <w:rsid w:val="0AF91037"/>
    <w:rsid w:val="0B0E2BB4"/>
    <w:rsid w:val="0B1055F6"/>
    <w:rsid w:val="0B141A56"/>
    <w:rsid w:val="0B344AF3"/>
    <w:rsid w:val="0B3D1BBB"/>
    <w:rsid w:val="0B3E4C84"/>
    <w:rsid w:val="0B5C7CC0"/>
    <w:rsid w:val="0B6976DF"/>
    <w:rsid w:val="0B6C09D2"/>
    <w:rsid w:val="0B7C0B8B"/>
    <w:rsid w:val="0B9374C5"/>
    <w:rsid w:val="0B976B50"/>
    <w:rsid w:val="0B992209"/>
    <w:rsid w:val="0BB97F6F"/>
    <w:rsid w:val="0BED49E8"/>
    <w:rsid w:val="0BEE0331"/>
    <w:rsid w:val="0BF67DD7"/>
    <w:rsid w:val="0C2B03CE"/>
    <w:rsid w:val="0C477D9B"/>
    <w:rsid w:val="0C4B5E0F"/>
    <w:rsid w:val="0C596945"/>
    <w:rsid w:val="0C5B68FE"/>
    <w:rsid w:val="0C6164A1"/>
    <w:rsid w:val="0C6A4370"/>
    <w:rsid w:val="0C894531"/>
    <w:rsid w:val="0CA87CE3"/>
    <w:rsid w:val="0CAA6CBA"/>
    <w:rsid w:val="0CAC5722"/>
    <w:rsid w:val="0CB40AF2"/>
    <w:rsid w:val="0CB437FC"/>
    <w:rsid w:val="0CE962A0"/>
    <w:rsid w:val="0CEA4C8C"/>
    <w:rsid w:val="0D0E73B0"/>
    <w:rsid w:val="0D11722E"/>
    <w:rsid w:val="0D1B5263"/>
    <w:rsid w:val="0D1C1E3B"/>
    <w:rsid w:val="0D3A0435"/>
    <w:rsid w:val="0D3D2E3D"/>
    <w:rsid w:val="0D473722"/>
    <w:rsid w:val="0D49663A"/>
    <w:rsid w:val="0D4D7F7D"/>
    <w:rsid w:val="0D563D0E"/>
    <w:rsid w:val="0D82358B"/>
    <w:rsid w:val="0D8711A6"/>
    <w:rsid w:val="0D91454F"/>
    <w:rsid w:val="0DAA27E3"/>
    <w:rsid w:val="0DBD3FA2"/>
    <w:rsid w:val="0DCB06CB"/>
    <w:rsid w:val="0DDE428F"/>
    <w:rsid w:val="0DE95619"/>
    <w:rsid w:val="0DFB1123"/>
    <w:rsid w:val="0E0013EF"/>
    <w:rsid w:val="0E002834"/>
    <w:rsid w:val="0E0533A8"/>
    <w:rsid w:val="0E17235A"/>
    <w:rsid w:val="0E284CD0"/>
    <w:rsid w:val="0E342B7D"/>
    <w:rsid w:val="0E3712BA"/>
    <w:rsid w:val="0E5D5A4F"/>
    <w:rsid w:val="0E764A2D"/>
    <w:rsid w:val="0E7F5F39"/>
    <w:rsid w:val="0E840507"/>
    <w:rsid w:val="0E9D3F43"/>
    <w:rsid w:val="0E9F69D7"/>
    <w:rsid w:val="0EAC7507"/>
    <w:rsid w:val="0EB21FBD"/>
    <w:rsid w:val="0EC55431"/>
    <w:rsid w:val="0F114F36"/>
    <w:rsid w:val="0F1E4EB1"/>
    <w:rsid w:val="0F3349D4"/>
    <w:rsid w:val="0F3D48DA"/>
    <w:rsid w:val="0F426F08"/>
    <w:rsid w:val="0F5B4403"/>
    <w:rsid w:val="0F786916"/>
    <w:rsid w:val="0F804FE9"/>
    <w:rsid w:val="0F982543"/>
    <w:rsid w:val="0FC07527"/>
    <w:rsid w:val="0FDB562E"/>
    <w:rsid w:val="0FE25CF6"/>
    <w:rsid w:val="0FE4089C"/>
    <w:rsid w:val="0FE97C61"/>
    <w:rsid w:val="0FF71AF4"/>
    <w:rsid w:val="100B3384"/>
    <w:rsid w:val="10111F9B"/>
    <w:rsid w:val="10121653"/>
    <w:rsid w:val="1026059B"/>
    <w:rsid w:val="1055712D"/>
    <w:rsid w:val="10642F8E"/>
    <w:rsid w:val="107164AC"/>
    <w:rsid w:val="10885E1E"/>
    <w:rsid w:val="10940AC7"/>
    <w:rsid w:val="109E0376"/>
    <w:rsid w:val="10B12521"/>
    <w:rsid w:val="10D9455C"/>
    <w:rsid w:val="10DB7145"/>
    <w:rsid w:val="10E625B5"/>
    <w:rsid w:val="10E81423"/>
    <w:rsid w:val="10FD1508"/>
    <w:rsid w:val="10FD1A5D"/>
    <w:rsid w:val="114D1244"/>
    <w:rsid w:val="114F70BF"/>
    <w:rsid w:val="11502933"/>
    <w:rsid w:val="1152277D"/>
    <w:rsid w:val="117A1639"/>
    <w:rsid w:val="118A0FD0"/>
    <w:rsid w:val="1191235E"/>
    <w:rsid w:val="11950A49"/>
    <w:rsid w:val="11B54A9B"/>
    <w:rsid w:val="11EF719D"/>
    <w:rsid w:val="12036A7C"/>
    <w:rsid w:val="120C24CB"/>
    <w:rsid w:val="12331A20"/>
    <w:rsid w:val="12391988"/>
    <w:rsid w:val="124A5808"/>
    <w:rsid w:val="12671498"/>
    <w:rsid w:val="12674132"/>
    <w:rsid w:val="127F3702"/>
    <w:rsid w:val="1289052B"/>
    <w:rsid w:val="128D5972"/>
    <w:rsid w:val="1294398E"/>
    <w:rsid w:val="12A57037"/>
    <w:rsid w:val="12B56066"/>
    <w:rsid w:val="133A205F"/>
    <w:rsid w:val="1350661A"/>
    <w:rsid w:val="13707A45"/>
    <w:rsid w:val="13820080"/>
    <w:rsid w:val="138565CC"/>
    <w:rsid w:val="139105A0"/>
    <w:rsid w:val="13AD4719"/>
    <w:rsid w:val="13B63B73"/>
    <w:rsid w:val="13D9150E"/>
    <w:rsid w:val="13E9548F"/>
    <w:rsid w:val="13EF0FD7"/>
    <w:rsid w:val="13F419DD"/>
    <w:rsid w:val="142D2DB9"/>
    <w:rsid w:val="143F0797"/>
    <w:rsid w:val="144C2142"/>
    <w:rsid w:val="14553B17"/>
    <w:rsid w:val="145B1848"/>
    <w:rsid w:val="14BE346A"/>
    <w:rsid w:val="14C479B0"/>
    <w:rsid w:val="14CF516A"/>
    <w:rsid w:val="14E47977"/>
    <w:rsid w:val="14E552CC"/>
    <w:rsid w:val="14EF5EA4"/>
    <w:rsid w:val="14F96FB1"/>
    <w:rsid w:val="15113871"/>
    <w:rsid w:val="15151DB0"/>
    <w:rsid w:val="15176CB0"/>
    <w:rsid w:val="152431D6"/>
    <w:rsid w:val="15315045"/>
    <w:rsid w:val="153A61D1"/>
    <w:rsid w:val="155676C3"/>
    <w:rsid w:val="1559422F"/>
    <w:rsid w:val="155F6B7B"/>
    <w:rsid w:val="15704FAD"/>
    <w:rsid w:val="158627F0"/>
    <w:rsid w:val="15AA28CE"/>
    <w:rsid w:val="15CC1ADC"/>
    <w:rsid w:val="15E50ECA"/>
    <w:rsid w:val="15EC3507"/>
    <w:rsid w:val="15ED1529"/>
    <w:rsid w:val="15F8467B"/>
    <w:rsid w:val="160C28FB"/>
    <w:rsid w:val="161A39AD"/>
    <w:rsid w:val="164106D2"/>
    <w:rsid w:val="166049C5"/>
    <w:rsid w:val="166308CA"/>
    <w:rsid w:val="16751712"/>
    <w:rsid w:val="16842491"/>
    <w:rsid w:val="16986258"/>
    <w:rsid w:val="16BF34C9"/>
    <w:rsid w:val="16C136E5"/>
    <w:rsid w:val="16CA64FC"/>
    <w:rsid w:val="16CC5E95"/>
    <w:rsid w:val="16DF439E"/>
    <w:rsid w:val="16FF5DC4"/>
    <w:rsid w:val="171E428C"/>
    <w:rsid w:val="172A7D9C"/>
    <w:rsid w:val="172C77A8"/>
    <w:rsid w:val="174821A2"/>
    <w:rsid w:val="17596E1B"/>
    <w:rsid w:val="175C01CA"/>
    <w:rsid w:val="17706CEB"/>
    <w:rsid w:val="177238B3"/>
    <w:rsid w:val="17847192"/>
    <w:rsid w:val="17881878"/>
    <w:rsid w:val="179C4CF0"/>
    <w:rsid w:val="17AF6E8C"/>
    <w:rsid w:val="17B33431"/>
    <w:rsid w:val="17C83B2A"/>
    <w:rsid w:val="17D91402"/>
    <w:rsid w:val="17E83B36"/>
    <w:rsid w:val="17EF6030"/>
    <w:rsid w:val="17FE5EF9"/>
    <w:rsid w:val="180D2707"/>
    <w:rsid w:val="182D487C"/>
    <w:rsid w:val="183C758F"/>
    <w:rsid w:val="183D19AD"/>
    <w:rsid w:val="18426BD0"/>
    <w:rsid w:val="184D755F"/>
    <w:rsid w:val="18523CBD"/>
    <w:rsid w:val="186A4F0F"/>
    <w:rsid w:val="187F217B"/>
    <w:rsid w:val="18837749"/>
    <w:rsid w:val="188B2FE9"/>
    <w:rsid w:val="189048A1"/>
    <w:rsid w:val="18B20302"/>
    <w:rsid w:val="18C12D71"/>
    <w:rsid w:val="18D53478"/>
    <w:rsid w:val="18D81549"/>
    <w:rsid w:val="19007908"/>
    <w:rsid w:val="191E4A82"/>
    <w:rsid w:val="1935298D"/>
    <w:rsid w:val="193B721E"/>
    <w:rsid w:val="193E54D8"/>
    <w:rsid w:val="19616ABA"/>
    <w:rsid w:val="19667EB6"/>
    <w:rsid w:val="197E4705"/>
    <w:rsid w:val="19891E66"/>
    <w:rsid w:val="19891FE4"/>
    <w:rsid w:val="19A95244"/>
    <w:rsid w:val="19B11EB3"/>
    <w:rsid w:val="19B2356A"/>
    <w:rsid w:val="19C0190D"/>
    <w:rsid w:val="19CE059A"/>
    <w:rsid w:val="19E356F1"/>
    <w:rsid w:val="19ED652B"/>
    <w:rsid w:val="19F34329"/>
    <w:rsid w:val="1A0417CE"/>
    <w:rsid w:val="1A2764BD"/>
    <w:rsid w:val="1A2D234C"/>
    <w:rsid w:val="1A3A2E51"/>
    <w:rsid w:val="1A3D3C79"/>
    <w:rsid w:val="1A486C01"/>
    <w:rsid w:val="1A4E15FF"/>
    <w:rsid w:val="1A50723F"/>
    <w:rsid w:val="1A52482A"/>
    <w:rsid w:val="1A6C348B"/>
    <w:rsid w:val="1A6E4712"/>
    <w:rsid w:val="1A943691"/>
    <w:rsid w:val="1A973A86"/>
    <w:rsid w:val="1AA64969"/>
    <w:rsid w:val="1AAB6D7E"/>
    <w:rsid w:val="1AC35E60"/>
    <w:rsid w:val="1AD47D49"/>
    <w:rsid w:val="1AFB409A"/>
    <w:rsid w:val="1B0F31AA"/>
    <w:rsid w:val="1B1A5C2B"/>
    <w:rsid w:val="1B341095"/>
    <w:rsid w:val="1B371A23"/>
    <w:rsid w:val="1B555EEC"/>
    <w:rsid w:val="1B7102FB"/>
    <w:rsid w:val="1B767ECD"/>
    <w:rsid w:val="1BB10783"/>
    <w:rsid w:val="1BC577D4"/>
    <w:rsid w:val="1BD00BA2"/>
    <w:rsid w:val="1BD9466E"/>
    <w:rsid w:val="1BE30373"/>
    <w:rsid w:val="1BF02917"/>
    <w:rsid w:val="1BFE4A94"/>
    <w:rsid w:val="1C0146C7"/>
    <w:rsid w:val="1C0B5F61"/>
    <w:rsid w:val="1C246C7A"/>
    <w:rsid w:val="1C2810D8"/>
    <w:rsid w:val="1C3925BE"/>
    <w:rsid w:val="1C3A3CC5"/>
    <w:rsid w:val="1C4D7DB7"/>
    <w:rsid w:val="1C537029"/>
    <w:rsid w:val="1C78723E"/>
    <w:rsid w:val="1C7D1864"/>
    <w:rsid w:val="1C8123AE"/>
    <w:rsid w:val="1C87187A"/>
    <w:rsid w:val="1C8D2515"/>
    <w:rsid w:val="1CB87339"/>
    <w:rsid w:val="1CC405EB"/>
    <w:rsid w:val="1CEE12CD"/>
    <w:rsid w:val="1CFB06B5"/>
    <w:rsid w:val="1D033A76"/>
    <w:rsid w:val="1D181052"/>
    <w:rsid w:val="1D315C66"/>
    <w:rsid w:val="1D353172"/>
    <w:rsid w:val="1D53357D"/>
    <w:rsid w:val="1D5B0503"/>
    <w:rsid w:val="1D5B23B1"/>
    <w:rsid w:val="1D651941"/>
    <w:rsid w:val="1D704F59"/>
    <w:rsid w:val="1D7E2CB5"/>
    <w:rsid w:val="1D9A259A"/>
    <w:rsid w:val="1DB12259"/>
    <w:rsid w:val="1DB83DBE"/>
    <w:rsid w:val="1DC025BE"/>
    <w:rsid w:val="1DC81087"/>
    <w:rsid w:val="1DD7144A"/>
    <w:rsid w:val="1DE7270E"/>
    <w:rsid w:val="1E301725"/>
    <w:rsid w:val="1E3440AA"/>
    <w:rsid w:val="1E3A7B08"/>
    <w:rsid w:val="1E3D4E74"/>
    <w:rsid w:val="1E471BE1"/>
    <w:rsid w:val="1E66358E"/>
    <w:rsid w:val="1E734640"/>
    <w:rsid w:val="1E767DF8"/>
    <w:rsid w:val="1E841623"/>
    <w:rsid w:val="1E8A7AA2"/>
    <w:rsid w:val="1E8C2760"/>
    <w:rsid w:val="1EA46497"/>
    <w:rsid w:val="1EBB50C4"/>
    <w:rsid w:val="1EF26B32"/>
    <w:rsid w:val="1F09480E"/>
    <w:rsid w:val="1F150595"/>
    <w:rsid w:val="1F1714AB"/>
    <w:rsid w:val="1F1C44F9"/>
    <w:rsid w:val="1F23081F"/>
    <w:rsid w:val="1F2359BA"/>
    <w:rsid w:val="1F260EEA"/>
    <w:rsid w:val="1F2B5AE4"/>
    <w:rsid w:val="1F374545"/>
    <w:rsid w:val="1F3A5DE3"/>
    <w:rsid w:val="1F5A0D07"/>
    <w:rsid w:val="1F5B0159"/>
    <w:rsid w:val="1F6A74EA"/>
    <w:rsid w:val="1F6D72B0"/>
    <w:rsid w:val="1F837366"/>
    <w:rsid w:val="1F9E0B8C"/>
    <w:rsid w:val="1F9E6C23"/>
    <w:rsid w:val="1FAD2A59"/>
    <w:rsid w:val="1FC326E9"/>
    <w:rsid w:val="1FD04999"/>
    <w:rsid w:val="1FEB532F"/>
    <w:rsid w:val="2023353C"/>
    <w:rsid w:val="202417B6"/>
    <w:rsid w:val="20394417"/>
    <w:rsid w:val="20483D88"/>
    <w:rsid w:val="204A64FA"/>
    <w:rsid w:val="205C3410"/>
    <w:rsid w:val="2068342C"/>
    <w:rsid w:val="206B0954"/>
    <w:rsid w:val="207A6C37"/>
    <w:rsid w:val="20837948"/>
    <w:rsid w:val="20886E4C"/>
    <w:rsid w:val="20897887"/>
    <w:rsid w:val="208C1B96"/>
    <w:rsid w:val="208D159F"/>
    <w:rsid w:val="20A53730"/>
    <w:rsid w:val="20A729F1"/>
    <w:rsid w:val="20C70AE5"/>
    <w:rsid w:val="20D5736B"/>
    <w:rsid w:val="20DD36E3"/>
    <w:rsid w:val="20EC2F39"/>
    <w:rsid w:val="20FC080D"/>
    <w:rsid w:val="210565E4"/>
    <w:rsid w:val="210C37AF"/>
    <w:rsid w:val="21224D81"/>
    <w:rsid w:val="21235F52"/>
    <w:rsid w:val="2128037B"/>
    <w:rsid w:val="213276BA"/>
    <w:rsid w:val="21390486"/>
    <w:rsid w:val="215238B8"/>
    <w:rsid w:val="215C0195"/>
    <w:rsid w:val="216B375B"/>
    <w:rsid w:val="216E0936"/>
    <w:rsid w:val="218C7C1C"/>
    <w:rsid w:val="218D2B42"/>
    <w:rsid w:val="21AF23E0"/>
    <w:rsid w:val="21B02643"/>
    <w:rsid w:val="21BA402C"/>
    <w:rsid w:val="21E8498F"/>
    <w:rsid w:val="21EF16E7"/>
    <w:rsid w:val="21FE01EB"/>
    <w:rsid w:val="21FF07A0"/>
    <w:rsid w:val="2204549C"/>
    <w:rsid w:val="22074FB4"/>
    <w:rsid w:val="220D4AD9"/>
    <w:rsid w:val="222D06F0"/>
    <w:rsid w:val="223B09D7"/>
    <w:rsid w:val="223E5592"/>
    <w:rsid w:val="22543F02"/>
    <w:rsid w:val="2254541C"/>
    <w:rsid w:val="22704D1F"/>
    <w:rsid w:val="22796ECB"/>
    <w:rsid w:val="22834F7E"/>
    <w:rsid w:val="22857CBD"/>
    <w:rsid w:val="22BE0806"/>
    <w:rsid w:val="22C65549"/>
    <w:rsid w:val="22CB6AFC"/>
    <w:rsid w:val="22DF561F"/>
    <w:rsid w:val="22DF6F02"/>
    <w:rsid w:val="22E21381"/>
    <w:rsid w:val="22EE0215"/>
    <w:rsid w:val="231D3CF6"/>
    <w:rsid w:val="23293127"/>
    <w:rsid w:val="23785CD9"/>
    <w:rsid w:val="239B1BFC"/>
    <w:rsid w:val="23A93537"/>
    <w:rsid w:val="23BE075D"/>
    <w:rsid w:val="23BE7221"/>
    <w:rsid w:val="23C13876"/>
    <w:rsid w:val="23E1559E"/>
    <w:rsid w:val="23FA05BC"/>
    <w:rsid w:val="240E3550"/>
    <w:rsid w:val="24161F4D"/>
    <w:rsid w:val="24263661"/>
    <w:rsid w:val="24362856"/>
    <w:rsid w:val="24382AF2"/>
    <w:rsid w:val="2439280F"/>
    <w:rsid w:val="24500B74"/>
    <w:rsid w:val="24624C28"/>
    <w:rsid w:val="24631DDF"/>
    <w:rsid w:val="24642476"/>
    <w:rsid w:val="24834D5B"/>
    <w:rsid w:val="2499695C"/>
    <w:rsid w:val="24A501A2"/>
    <w:rsid w:val="24AE622F"/>
    <w:rsid w:val="24C410F9"/>
    <w:rsid w:val="24C94E82"/>
    <w:rsid w:val="24CF4972"/>
    <w:rsid w:val="24FD7FDE"/>
    <w:rsid w:val="25024035"/>
    <w:rsid w:val="252A62CD"/>
    <w:rsid w:val="255816B9"/>
    <w:rsid w:val="257A47EE"/>
    <w:rsid w:val="2586552D"/>
    <w:rsid w:val="258E2E91"/>
    <w:rsid w:val="259046DA"/>
    <w:rsid w:val="25912C6B"/>
    <w:rsid w:val="25992ED2"/>
    <w:rsid w:val="259A5D94"/>
    <w:rsid w:val="25AB17E9"/>
    <w:rsid w:val="25BC5586"/>
    <w:rsid w:val="25BD151C"/>
    <w:rsid w:val="25BE6EDD"/>
    <w:rsid w:val="25C01300"/>
    <w:rsid w:val="25C6689C"/>
    <w:rsid w:val="25E604AB"/>
    <w:rsid w:val="25E87526"/>
    <w:rsid w:val="25F95530"/>
    <w:rsid w:val="26053600"/>
    <w:rsid w:val="260B342E"/>
    <w:rsid w:val="26163620"/>
    <w:rsid w:val="261A3D1F"/>
    <w:rsid w:val="262D112B"/>
    <w:rsid w:val="2638556B"/>
    <w:rsid w:val="264F20BE"/>
    <w:rsid w:val="26511BBA"/>
    <w:rsid w:val="265C1AC5"/>
    <w:rsid w:val="26901FEC"/>
    <w:rsid w:val="26924756"/>
    <w:rsid w:val="26B172D9"/>
    <w:rsid w:val="26B85B84"/>
    <w:rsid w:val="26BD39EC"/>
    <w:rsid w:val="26C46EE7"/>
    <w:rsid w:val="26D0702D"/>
    <w:rsid w:val="26FD4EA4"/>
    <w:rsid w:val="26FF5227"/>
    <w:rsid w:val="270A253F"/>
    <w:rsid w:val="271A5565"/>
    <w:rsid w:val="272F766D"/>
    <w:rsid w:val="27311DA5"/>
    <w:rsid w:val="27350E26"/>
    <w:rsid w:val="274950E1"/>
    <w:rsid w:val="27636517"/>
    <w:rsid w:val="277852A4"/>
    <w:rsid w:val="27827FC6"/>
    <w:rsid w:val="278361A6"/>
    <w:rsid w:val="27867C3E"/>
    <w:rsid w:val="279C3660"/>
    <w:rsid w:val="27A948B8"/>
    <w:rsid w:val="27BB1C81"/>
    <w:rsid w:val="27C464EE"/>
    <w:rsid w:val="27DA6A47"/>
    <w:rsid w:val="27E25635"/>
    <w:rsid w:val="27E36A93"/>
    <w:rsid w:val="27E54AA7"/>
    <w:rsid w:val="27E957FE"/>
    <w:rsid w:val="27EF3B9D"/>
    <w:rsid w:val="280451E0"/>
    <w:rsid w:val="282769AE"/>
    <w:rsid w:val="28283731"/>
    <w:rsid w:val="28345274"/>
    <w:rsid w:val="286A60F3"/>
    <w:rsid w:val="288551E7"/>
    <w:rsid w:val="288D75F9"/>
    <w:rsid w:val="28995B29"/>
    <w:rsid w:val="28C61AA2"/>
    <w:rsid w:val="290513FD"/>
    <w:rsid w:val="291066FA"/>
    <w:rsid w:val="291E1E35"/>
    <w:rsid w:val="295375DA"/>
    <w:rsid w:val="296915D4"/>
    <w:rsid w:val="29707C8B"/>
    <w:rsid w:val="298B031B"/>
    <w:rsid w:val="29DD06EC"/>
    <w:rsid w:val="29DD1836"/>
    <w:rsid w:val="29E80325"/>
    <w:rsid w:val="29EF4768"/>
    <w:rsid w:val="2A0257B3"/>
    <w:rsid w:val="2A1469E9"/>
    <w:rsid w:val="2A30138B"/>
    <w:rsid w:val="2A35705D"/>
    <w:rsid w:val="2A5B2E36"/>
    <w:rsid w:val="2A621AE5"/>
    <w:rsid w:val="2A677CA8"/>
    <w:rsid w:val="2A785BE6"/>
    <w:rsid w:val="2A862824"/>
    <w:rsid w:val="2AA07B14"/>
    <w:rsid w:val="2AE41F43"/>
    <w:rsid w:val="2B031357"/>
    <w:rsid w:val="2B031C0B"/>
    <w:rsid w:val="2B0865BE"/>
    <w:rsid w:val="2B1E0CAF"/>
    <w:rsid w:val="2B2F7FD1"/>
    <w:rsid w:val="2B312BE5"/>
    <w:rsid w:val="2B4473CE"/>
    <w:rsid w:val="2B462F0F"/>
    <w:rsid w:val="2B541FB4"/>
    <w:rsid w:val="2B5A395B"/>
    <w:rsid w:val="2B60128D"/>
    <w:rsid w:val="2B681065"/>
    <w:rsid w:val="2B970299"/>
    <w:rsid w:val="2BA22913"/>
    <w:rsid w:val="2BB9254D"/>
    <w:rsid w:val="2BD638A2"/>
    <w:rsid w:val="2BE3714B"/>
    <w:rsid w:val="2BE927CC"/>
    <w:rsid w:val="2C0668B2"/>
    <w:rsid w:val="2C203281"/>
    <w:rsid w:val="2C365A9F"/>
    <w:rsid w:val="2C477619"/>
    <w:rsid w:val="2C5662A6"/>
    <w:rsid w:val="2C5A069D"/>
    <w:rsid w:val="2C5A7F63"/>
    <w:rsid w:val="2C5B4AC3"/>
    <w:rsid w:val="2C605CD0"/>
    <w:rsid w:val="2C666469"/>
    <w:rsid w:val="2C676C35"/>
    <w:rsid w:val="2C6F4C4E"/>
    <w:rsid w:val="2C753C61"/>
    <w:rsid w:val="2C7B5002"/>
    <w:rsid w:val="2C7B5905"/>
    <w:rsid w:val="2C816DF4"/>
    <w:rsid w:val="2C897081"/>
    <w:rsid w:val="2C95048B"/>
    <w:rsid w:val="2C9F708A"/>
    <w:rsid w:val="2CA76F0B"/>
    <w:rsid w:val="2CAA3AE6"/>
    <w:rsid w:val="2CAC2710"/>
    <w:rsid w:val="2CAE28FE"/>
    <w:rsid w:val="2CB6396A"/>
    <w:rsid w:val="2CC72BF3"/>
    <w:rsid w:val="2CFC2D64"/>
    <w:rsid w:val="2CFE2251"/>
    <w:rsid w:val="2D092FEA"/>
    <w:rsid w:val="2D2A2053"/>
    <w:rsid w:val="2D3622E0"/>
    <w:rsid w:val="2D404F0C"/>
    <w:rsid w:val="2D5178E6"/>
    <w:rsid w:val="2D7C3743"/>
    <w:rsid w:val="2D8A18E7"/>
    <w:rsid w:val="2D952F36"/>
    <w:rsid w:val="2D966B04"/>
    <w:rsid w:val="2DA33E05"/>
    <w:rsid w:val="2DAC07F4"/>
    <w:rsid w:val="2DAD678D"/>
    <w:rsid w:val="2DB91177"/>
    <w:rsid w:val="2DC53679"/>
    <w:rsid w:val="2DD501AD"/>
    <w:rsid w:val="2DDF5B19"/>
    <w:rsid w:val="2DE75958"/>
    <w:rsid w:val="2DFE5001"/>
    <w:rsid w:val="2E0A1834"/>
    <w:rsid w:val="2E0A7F0A"/>
    <w:rsid w:val="2E111B6B"/>
    <w:rsid w:val="2E1C53AD"/>
    <w:rsid w:val="2E297F20"/>
    <w:rsid w:val="2E2A427F"/>
    <w:rsid w:val="2E3844B7"/>
    <w:rsid w:val="2E461656"/>
    <w:rsid w:val="2E5B227B"/>
    <w:rsid w:val="2E600396"/>
    <w:rsid w:val="2E904BC0"/>
    <w:rsid w:val="2E9A654A"/>
    <w:rsid w:val="2E9F5C62"/>
    <w:rsid w:val="2EA2042D"/>
    <w:rsid w:val="2EC51C2E"/>
    <w:rsid w:val="2EF667B7"/>
    <w:rsid w:val="2F0662CA"/>
    <w:rsid w:val="2F111200"/>
    <w:rsid w:val="2F2C7459"/>
    <w:rsid w:val="2F4C4E58"/>
    <w:rsid w:val="2F5E1E9E"/>
    <w:rsid w:val="2F72275C"/>
    <w:rsid w:val="2F792144"/>
    <w:rsid w:val="2F912229"/>
    <w:rsid w:val="2F9652B7"/>
    <w:rsid w:val="2FAA0D63"/>
    <w:rsid w:val="2FB00BA1"/>
    <w:rsid w:val="2FB71881"/>
    <w:rsid w:val="2FBC542E"/>
    <w:rsid w:val="2FC8187E"/>
    <w:rsid w:val="2FDE7EF3"/>
    <w:rsid w:val="30002C2D"/>
    <w:rsid w:val="30157776"/>
    <w:rsid w:val="301977FD"/>
    <w:rsid w:val="302433C1"/>
    <w:rsid w:val="30593B57"/>
    <w:rsid w:val="30661B74"/>
    <w:rsid w:val="30896BCA"/>
    <w:rsid w:val="309A4933"/>
    <w:rsid w:val="30B53C9F"/>
    <w:rsid w:val="30B67293"/>
    <w:rsid w:val="30B91725"/>
    <w:rsid w:val="30BA6D84"/>
    <w:rsid w:val="30C64F8C"/>
    <w:rsid w:val="30D63C8F"/>
    <w:rsid w:val="30D71F4E"/>
    <w:rsid w:val="30FD3B28"/>
    <w:rsid w:val="310329C2"/>
    <w:rsid w:val="31080BAC"/>
    <w:rsid w:val="31264EAB"/>
    <w:rsid w:val="312B0C2F"/>
    <w:rsid w:val="314728D2"/>
    <w:rsid w:val="314B655E"/>
    <w:rsid w:val="31512C3B"/>
    <w:rsid w:val="31643065"/>
    <w:rsid w:val="318322F2"/>
    <w:rsid w:val="31A60F11"/>
    <w:rsid w:val="31BA6C2A"/>
    <w:rsid w:val="31D475AC"/>
    <w:rsid w:val="32046EB6"/>
    <w:rsid w:val="32217B38"/>
    <w:rsid w:val="322554CD"/>
    <w:rsid w:val="32291D02"/>
    <w:rsid w:val="322E1E97"/>
    <w:rsid w:val="32462382"/>
    <w:rsid w:val="3255462F"/>
    <w:rsid w:val="325D7451"/>
    <w:rsid w:val="32741082"/>
    <w:rsid w:val="32B141B6"/>
    <w:rsid w:val="32B971B8"/>
    <w:rsid w:val="32D07111"/>
    <w:rsid w:val="32EE71B8"/>
    <w:rsid w:val="33196A4E"/>
    <w:rsid w:val="333B7F4D"/>
    <w:rsid w:val="333D5D17"/>
    <w:rsid w:val="334503F9"/>
    <w:rsid w:val="335409FA"/>
    <w:rsid w:val="336465F1"/>
    <w:rsid w:val="33786AE7"/>
    <w:rsid w:val="33793D84"/>
    <w:rsid w:val="338A656E"/>
    <w:rsid w:val="338F0A13"/>
    <w:rsid w:val="3396296F"/>
    <w:rsid w:val="33D25664"/>
    <w:rsid w:val="33E11C86"/>
    <w:rsid w:val="33F9277A"/>
    <w:rsid w:val="340E24CF"/>
    <w:rsid w:val="34594436"/>
    <w:rsid w:val="346266E6"/>
    <w:rsid w:val="346D1752"/>
    <w:rsid w:val="347407F2"/>
    <w:rsid w:val="34842D3E"/>
    <w:rsid w:val="348A5A51"/>
    <w:rsid w:val="348E3695"/>
    <w:rsid w:val="34AC6F67"/>
    <w:rsid w:val="34B33D14"/>
    <w:rsid w:val="34BD5CAB"/>
    <w:rsid w:val="34CF2E72"/>
    <w:rsid w:val="34D772C6"/>
    <w:rsid w:val="34D77C57"/>
    <w:rsid w:val="34FA6D1A"/>
    <w:rsid w:val="35254312"/>
    <w:rsid w:val="354829F3"/>
    <w:rsid w:val="35507AAA"/>
    <w:rsid w:val="355C372E"/>
    <w:rsid w:val="356206B1"/>
    <w:rsid w:val="35791FBC"/>
    <w:rsid w:val="358A13AD"/>
    <w:rsid w:val="358B6DBD"/>
    <w:rsid w:val="35C80195"/>
    <w:rsid w:val="35D06AA3"/>
    <w:rsid w:val="35D32067"/>
    <w:rsid w:val="35D74968"/>
    <w:rsid w:val="35E35942"/>
    <w:rsid w:val="35E40E74"/>
    <w:rsid w:val="35E4285C"/>
    <w:rsid w:val="35EB106F"/>
    <w:rsid w:val="36055970"/>
    <w:rsid w:val="360D4545"/>
    <w:rsid w:val="36100CCD"/>
    <w:rsid w:val="3619279E"/>
    <w:rsid w:val="36323EA5"/>
    <w:rsid w:val="3638624A"/>
    <w:rsid w:val="36A1164C"/>
    <w:rsid w:val="36AD378C"/>
    <w:rsid w:val="370C641A"/>
    <w:rsid w:val="37140E99"/>
    <w:rsid w:val="372413FB"/>
    <w:rsid w:val="37297C22"/>
    <w:rsid w:val="372E37B2"/>
    <w:rsid w:val="375A5088"/>
    <w:rsid w:val="376A0783"/>
    <w:rsid w:val="37771D31"/>
    <w:rsid w:val="378060D3"/>
    <w:rsid w:val="378E3FA1"/>
    <w:rsid w:val="379A5297"/>
    <w:rsid w:val="37BE184F"/>
    <w:rsid w:val="37EB3CC7"/>
    <w:rsid w:val="37F65DB9"/>
    <w:rsid w:val="382D0783"/>
    <w:rsid w:val="382D19F4"/>
    <w:rsid w:val="382D1C9D"/>
    <w:rsid w:val="38511523"/>
    <w:rsid w:val="386359BC"/>
    <w:rsid w:val="386366DD"/>
    <w:rsid w:val="387D4D8D"/>
    <w:rsid w:val="387D68BD"/>
    <w:rsid w:val="38855437"/>
    <w:rsid w:val="388718FF"/>
    <w:rsid w:val="388A134C"/>
    <w:rsid w:val="38951E5B"/>
    <w:rsid w:val="38A14D22"/>
    <w:rsid w:val="38B74330"/>
    <w:rsid w:val="38CA00EB"/>
    <w:rsid w:val="38F259A0"/>
    <w:rsid w:val="392A1559"/>
    <w:rsid w:val="39696151"/>
    <w:rsid w:val="397F58C8"/>
    <w:rsid w:val="398071F2"/>
    <w:rsid w:val="399B6783"/>
    <w:rsid w:val="39A22302"/>
    <w:rsid w:val="39A40E12"/>
    <w:rsid w:val="39FE401A"/>
    <w:rsid w:val="3A4554C0"/>
    <w:rsid w:val="3A495B63"/>
    <w:rsid w:val="3A4A7B11"/>
    <w:rsid w:val="3A58724D"/>
    <w:rsid w:val="3A710FAB"/>
    <w:rsid w:val="3A7C001D"/>
    <w:rsid w:val="3A8575BA"/>
    <w:rsid w:val="3A95639F"/>
    <w:rsid w:val="3ABE630A"/>
    <w:rsid w:val="3AF774ED"/>
    <w:rsid w:val="3AFC5FE5"/>
    <w:rsid w:val="3AFE4323"/>
    <w:rsid w:val="3B04200D"/>
    <w:rsid w:val="3B05386D"/>
    <w:rsid w:val="3B2D37AD"/>
    <w:rsid w:val="3B2D7D3C"/>
    <w:rsid w:val="3B3458E6"/>
    <w:rsid w:val="3B4A64B3"/>
    <w:rsid w:val="3B580B97"/>
    <w:rsid w:val="3B5C70FC"/>
    <w:rsid w:val="3B985375"/>
    <w:rsid w:val="3BA81B28"/>
    <w:rsid w:val="3BAC37A6"/>
    <w:rsid w:val="3BB736C3"/>
    <w:rsid w:val="3BE22013"/>
    <w:rsid w:val="3BE64AE5"/>
    <w:rsid w:val="3BEA0DB5"/>
    <w:rsid w:val="3BEE143E"/>
    <w:rsid w:val="3C0676DF"/>
    <w:rsid w:val="3C170D0A"/>
    <w:rsid w:val="3C1D4144"/>
    <w:rsid w:val="3C1E0B0E"/>
    <w:rsid w:val="3C302BF3"/>
    <w:rsid w:val="3C341671"/>
    <w:rsid w:val="3C34364B"/>
    <w:rsid w:val="3C6417AF"/>
    <w:rsid w:val="3C793F97"/>
    <w:rsid w:val="3C7B32CC"/>
    <w:rsid w:val="3C9D56D7"/>
    <w:rsid w:val="3CA9168E"/>
    <w:rsid w:val="3CAB4CC3"/>
    <w:rsid w:val="3CB03E79"/>
    <w:rsid w:val="3CE0361C"/>
    <w:rsid w:val="3CF23AA3"/>
    <w:rsid w:val="3CF257A2"/>
    <w:rsid w:val="3D0D7830"/>
    <w:rsid w:val="3D251A29"/>
    <w:rsid w:val="3D2D6F6F"/>
    <w:rsid w:val="3D3E478D"/>
    <w:rsid w:val="3D520B37"/>
    <w:rsid w:val="3D563C9A"/>
    <w:rsid w:val="3D5A6606"/>
    <w:rsid w:val="3D6D4CC3"/>
    <w:rsid w:val="3D854FE4"/>
    <w:rsid w:val="3D8568A3"/>
    <w:rsid w:val="3D934FC5"/>
    <w:rsid w:val="3D95689D"/>
    <w:rsid w:val="3D986D6F"/>
    <w:rsid w:val="3DA46C27"/>
    <w:rsid w:val="3DB45030"/>
    <w:rsid w:val="3DB5782E"/>
    <w:rsid w:val="3DB6007F"/>
    <w:rsid w:val="3DBF242B"/>
    <w:rsid w:val="3DC64DB2"/>
    <w:rsid w:val="3DC703CE"/>
    <w:rsid w:val="3DCE320B"/>
    <w:rsid w:val="3DE37306"/>
    <w:rsid w:val="3DE71541"/>
    <w:rsid w:val="3DF36CC9"/>
    <w:rsid w:val="3DF81576"/>
    <w:rsid w:val="3E0B5D95"/>
    <w:rsid w:val="3E0F7557"/>
    <w:rsid w:val="3E1F41EC"/>
    <w:rsid w:val="3E2948C2"/>
    <w:rsid w:val="3E31176C"/>
    <w:rsid w:val="3E3839DE"/>
    <w:rsid w:val="3E403890"/>
    <w:rsid w:val="3E5B4CE7"/>
    <w:rsid w:val="3E83095F"/>
    <w:rsid w:val="3E852538"/>
    <w:rsid w:val="3E972B6C"/>
    <w:rsid w:val="3EA073F8"/>
    <w:rsid w:val="3EB76BE9"/>
    <w:rsid w:val="3ECC1A70"/>
    <w:rsid w:val="3EE04769"/>
    <w:rsid w:val="3EE42F4D"/>
    <w:rsid w:val="3EEF65C8"/>
    <w:rsid w:val="3EF100A4"/>
    <w:rsid w:val="3EFF67B6"/>
    <w:rsid w:val="3F045DC5"/>
    <w:rsid w:val="3F18110C"/>
    <w:rsid w:val="3F1D4A7B"/>
    <w:rsid w:val="3F21483C"/>
    <w:rsid w:val="3F674671"/>
    <w:rsid w:val="3F6E618A"/>
    <w:rsid w:val="3F9849BC"/>
    <w:rsid w:val="3FA62BB5"/>
    <w:rsid w:val="3FAE691C"/>
    <w:rsid w:val="3FC34ECC"/>
    <w:rsid w:val="3FC82AC9"/>
    <w:rsid w:val="3FC933EE"/>
    <w:rsid w:val="3FF41850"/>
    <w:rsid w:val="3FF45DC9"/>
    <w:rsid w:val="3FFB5CDE"/>
    <w:rsid w:val="40033B3B"/>
    <w:rsid w:val="40093FD1"/>
    <w:rsid w:val="400D1618"/>
    <w:rsid w:val="4011119F"/>
    <w:rsid w:val="40126BA0"/>
    <w:rsid w:val="401D7D40"/>
    <w:rsid w:val="40271B83"/>
    <w:rsid w:val="402D6B15"/>
    <w:rsid w:val="4048415B"/>
    <w:rsid w:val="406349FA"/>
    <w:rsid w:val="40AC1E53"/>
    <w:rsid w:val="40B456DB"/>
    <w:rsid w:val="40FC12CD"/>
    <w:rsid w:val="41210759"/>
    <w:rsid w:val="417C2412"/>
    <w:rsid w:val="41860779"/>
    <w:rsid w:val="41994793"/>
    <w:rsid w:val="41A1011B"/>
    <w:rsid w:val="41B27A8C"/>
    <w:rsid w:val="41B81BB4"/>
    <w:rsid w:val="41D32430"/>
    <w:rsid w:val="41FA7E00"/>
    <w:rsid w:val="42040327"/>
    <w:rsid w:val="420F5560"/>
    <w:rsid w:val="42313F3F"/>
    <w:rsid w:val="42390B97"/>
    <w:rsid w:val="42392838"/>
    <w:rsid w:val="42472441"/>
    <w:rsid w:val="424A542E"/>
    <w:rsid w:val="42510A80"/>
    <w:rsid w:val="425630F5"/>
    <w:rsid w:val="42657B64"/>
    <w:rsid w:val="42741871"/>
    <w:rsid w:val="427F42DC"/>
    <w:rsid w:val="428617AE"/>
    <w:rsid w:val="428D55B7"/>
    <w:rsid w:val="428F486F"/>
    <w:rsid w:val="429B4D61"/>
    <w:rsid w:val="429D7B69"/>
    <w:rsid w:val="42C44157"/>
    <w:rsid w:val="42E50CB1"/>
    <w:rsid w:val="42EB2D21"/>
    <w:rsid w:val="42FF540E"/>
    <w:rsid w:val="430641ED"/>
    <w:rsid w:val="43331646"/>
    <w:rsid w:val="43485922"/>
    <w:rsid w:val="439C07E1"/>
    <w:rsid w:val="439F5B10"/>
    <w:rsid w:val="43A83D4D"/>
    <w:rsid w:val="43CF4CD2"/>
    <w:rsid w:val="43E32A9F"/>
    <w:rsid w:val="44042C14"/>
    <w:rsid w:val="440700DA"/>
    <w:rsid w:val="44153E2B"/>
    <w:rsid w:val="445C7F40"/>
    <w:rsid w:val="44641089"/>
    <w:rsid w:val="4464552C"/>
    <w:rsid w:val="448B78DF"/>
    <w:rsid w:val="44941573"/>
    <w:rsid w:val="44E75491"/>
    <w:rsid w:val="44EE3077"/>
    <w:rsid w:val="44FD265B"/>
    <w:rsid w:val="451258C3"/>
    <w:rsid w:val="454702AC"/>
    <w:rsid w:val="454A55D3"/>
    <w:rsid w:val="456143FB"/>
    <w:rsid w:val="45663F30"/>
    <w:rsid w:val="456675EA"/>
    <w:rsid w:val="456D7193"/>
    <w:rsid w:val="457B413C"/>
    <w:rsid w:val="458A5805"/>
    <w:rsid w:val="458C7D0B"/>
    <w:rsid w:val="45BC3DD4"/>
    <w:rsid w:val="45C1250B"/>
    <w:rsid w:val="45DA57E0"/>
    <w:rsid w:val="45E71CE0"/>
    <w:rsid w:val="45FF6E26"/>
    <w:rsid w:val="461936DE"/>
    <w:rsid w:val="462024AB"/>
    <w:rsid w:val="46434D2B"/>
    <w:rsid w:val="46511A82"/>
    <w:rsid w:val="46566F6A"/>
    <w:rsid w:val="465A2F66"/>
    <w:rsid w:val="46674B88"/>
    <w:rsid w:val="46690BD8"/>
    <w:rsid w:val="466C365D"/>
    <w:rsid w:val="466D572A"/>
    <w:rsid w:val="466D7153"/>
    <w:rsid w:val="46746524"/>
    <w:rsid w:val="467603F4"/>
    <w:rsid w:val="46855CFD"/>
    <w:rsid w:val="469B6136"/>
    <w:rsid w:val="46AA0234"/>
    <w:rsid w:val="46C91628"/>
    <w:rsid w:val="46F7741A"/>
    <w:rsid w:val="47242D51"/>
    <w:rsid w:val="474402DF"/>
    <w:rsid w:val="474B7581"/>
    <w:rsid w:val="47536E4C"/>
    <w:rsid w:val="47743FC3"/>
    <w:rsid w:val="47775577"/>
    <w:rsid w:val="479205B9"/>
    <w:rsid w:val="4795506C"/>
    <w:rsid w:val="479B35BD"/>
    <w:rsid w:val="47AA1043"/>
    <w:rsid w:val="47B10CC4"/>
    <w:rsid w:val="47B34C27"/>
    <w:rsid w:val="480B0523"/>
    <w:rsid w:val="48165406"/>
    <w:rsid w:val="48316170"/>
    <w:rsid w:val="48362DA4"/>
    <w:rsid w:val="484746CA"/>
    <w:rsid w:val="485D651B"/>
    <w:rsid w:val="48882882"/>
    <w:rsid w:val="488F5A1C"/>
    <w:rsid w:val="48A74B54"/>
    <w:rsid w:val="48C35D7C"/>
    <w:rsid w:val="48C72C15"/>
    <w:rsid w:val="48D529B7"/>
    <w:rsid w:val="48D87928"/>
    <w:rsid w:val="492139EC"/>
    <w:rsid w:val="4926254E"/>
    <w:rsid w:val="492B0559"/>
    <w:rsid w:val="492C3D92"/>
    <w:rsid w:val="493F368F"/>
    <w:rsid w:val="494701D3"/>
    <w:rsid w:val="4947158A"/>
    <w:rsid w:val="496B4C67"/>
    <w:rsid w:val="49797768"/>
    <w:rsid w:val="497A30FC"/>
    <w:rsid w:val="49AB59AC"/>
    <w:rsid w:val="49B550C8"/>
    <w:rsid w:val="49D43430"/>
    <w:rsid w:val="49FC212E"/>
    <w:rsid w:val="49FD095E"/>
    <w:rsid w:val="4A027D3F"/>
    <w:rsid w:val="4A0759CD"/>
    <w:rsid w:val="4A127007"/>
    <w:rsid w:val="4A546DA4"/>
    <w:rsid w:val="4A5958AF"/>
    <w:rsid w:val="4A5F3DC9"/>
    <w:rsid w:val="4A673471"/>
    <w:rsid w:val="4A6E5E3F"/>
    <w:rsid w:val="4A777C3B"/>
    <w:rsid w:val="4A937E25"/>
    <w:rsid w:val="4A9B4885"/>
    <w:rsid w:val="4ABD6F06"/>
    <w:rsid w:val="4AC23D8C"/>
    <w:rsid w:val="4ACE522F"/>
    <w:rsid w:val="4ADC438C"/>
    <w:rsid w:val="4ADD0D59"/>
    <w:rsid w:val="4B492F9F"/>
    <w:rsid w:val="4B5D4A84"/>
    <w:rsid w:val="4B645D1A"/>
    <w:rsid w:val="4B7047B7"/>
    <w:rsid w:val="4B7B2B7E"/>
    <w:rsid w:val="4B826D02"/>
    <w:rsid w:val="4B835FC8"/>
    <w:rsid w:val="4B885173"/>
    <w:rsid w:val="4BB36BB1"/>
    <w:rsid w:val="4BCA46DA"/>
    <w:rsid w:val="4BD014B9"/>
    <w:rsid w:val="4BD025B1"/>
    <w:rsid w:val="4BDB5A12"/>
    <w:rsid w:val="4BFF55D1"/>
    <w:rsid w:val="4C0348AA"/>
    <w:rsid w:val="4C121D12"/>
    <w:rsid w:val="4C253F91"/>
    <w:rsid w:val="4C2711F6"/>
    <w:rsid w:val="4C46417B"/>
    <w:rsid w:val="4C5A5C37"/>
    <w:rsid w:val="4C656173"/>
    <w:rsid w:val="4C8340E3"/>
    <w:rsid w:val="4CA136C0"/>
    <w:rsid w:val="4CA13A5F"/>
    <w:rsid w:val="4CB76AA5"/>
    <w:rsid w:val="4CB8626E"/>
    <w:rsid w:val="4CD07A36"/>
    <w:rsid w:val="4CDB54C1"/>
    <w:rsid w:val="4CEE0512"/>
    <w:rsid w:val="4CF0390B"/>
    <w:rsid w:val="4CF60CEC"/>
    <w:rsid w:val="4CFE3850"/>
    <w:rsid w:val="4D0F6CCB"/>
    <w:rsid w:val="4D2E0486"/>
    <w:rsid w:val="4D3B0EF1"/>
    <w:rsid w:val="4D4A2E50"/>
    <w:rsid w:val="4D5F4AE3"/>
    <w:rsid w:val="4D711361"/>
    <w:rsid w:val="4D776684"/>
    <w:rsid w:val="4D8B19F3"/>
    <w:rsid w:val="4D9339D2"/>
    <w:rsid w:val="4D975529"/>
    <w:rsid w:val="4DA310F5"/>
    <w:rsid w:val="4DB67B1B"/>
    <w:rsid w:val="4DBD041F"/>
    <w:rsid w:val="4DD347A9"/>
    <w:rsid w:val="4DD57B0C"/>
    <w:rsid w:val="4DFF4205"/>
    <w:rsid w:val="4E056DCE"/>
    <w:rsid w:val="4E07010C"/>
    <w:rsid w:val="4E0E425B"/>
    <w:rsid w:val="4E2978A1"/>
    <w:rsid w:val="4E2A66D6"/>
    <w:rsid w:val="4E2A6D86"/>
    <w:rsid w:val="4E31674D"/>
    <w:rsid w:val="4E316C8B"/>
    <w:rsid w:val="4E393A6E"/>
    <w:rsid w:val="4E3C38DB"/>
    <w:rsid w:val="4E3C50F7"/>
    <w:rsid w:val="4E414F15"/>
    <w:rsid w:val="4E4E07C1"/>
    <w:rsid w:val="4E611FAD"/>
    <w:rsid w:val="4E6B55E1"/>
    <w:rsid w:val="4E827DC3"/>
    <w:rsid w:val="4EA733B4"/>
    <w:rsid w:val="4EB15200"/>
    <w:rsid w:val="4EB61898"/>
    <w:rsid w:val="4ED17F67"/>
    <w:rsid w:val="4EE26C5F"/>
    <w:rsid w:val="4EF15C72"/>
    <w:rsid w:val="4EF80DAD"/>
    <w:rsid w:val="4F107906"/>
    <w:rsid w:val="4F2A17CE"/>
    <w:rsid w:val="4F4379F4"/>
    <w:rsid w:val="4F5352D8"/>
    <w:rsid w:val="4F535523"/>
    <w:rsid w:val="4F571022"/>
    <w:rsid w:val="4F5E4566"/>
    <w:rsid w:val="4F764E7A"/>
    <w:rsid w:val="4F8C036D"/>
    <w:rsid w:val="4F931135"/>
    <w:rsid w:val="4F9B5A2B"/>
    <w:rsid w:val="4F9D688E"/>
    <w:rsid w:val="4FB31116"/>
    <w:rsid w:val="4FC20CD7"/>
    <w:rsid w:val="4FC92795"/>
    <w:rsid w:val="4FDF1C24"/>
    <w:rsid w:val="4FEF0AC8"/>
    <w:rsid w:val="4FEF75AF"/>
    <w:rsid w:val="4FFB01D2"/>
    <w:rsid w:val="4FFE53DE"/>
    <w:rsid w:val="5008473A"/>
    <w:rsid w:val="500D6C5B"/>
    <w:rsid w:val="50196598"/>
    <w:rsid w:val="502F2E92"/>
    <w:rsid w:val="503651FA"/>
    <w:rsid w:val="503C3F8B"/>
    <w:rsid w:val="50437D87"/>
    <w:rsid w:val="504D474A"/>
    <w:rsid w:val="50577CF3"/>
    <w:rsid w:val="506B6094"/>
    <w:rsid w:val="506F328F"/>
    <w:rsid w:val="5076286F"/>
    <w:rsid w:val="509017BE"/>
    <w:rsid w:val="50994F3E"/>
    <w:rsid w:val="50A30B5D"/>
    <w:rsid w:val="50D33C70"/>
    <w:rsid w:val="50E5018B"/>
    <w:rsid w:val="50F92E23"/>
    <w:rsid w:val="50FB4B04"/>
    <w:rsid w:val="51306CE0"/>
    <w:rsid w:val="513138C0"/>
    <w:rsid w:val="51430405"/>
    <w:rsid w:val="51527C4F"/>
    <w:rsid w:val="515D413D"/>
    <w:rsid w:val="516522E5"/>
    <w:rsid w:val="51A5108F"/>
    <w:rsid w:val="51E63B62"/>
    <w:rsid w:val="51EA6943"/>
    <w:rsid w:val="520E1802"/>
    <w:rsid w:val="521D3B03"/>
    <w:rsid w:val="52314324"/>
    <w:rsid w:val="524B3F97"/>
    <w:rsid w:val="5254266D"/>
    <w:rsid w:val="526A6404"/>
    <w:rsid w:val="527F0F8D"/>
    <w:rsid w:val="528B45AD"/>
    <w:rsid w:val="52910121"/>
    <w:rsid w:val="52952141"/>
    <w:rsid w:val="52B40A70"/>
    <w:rsid w:val="52C22B70"/>
    <w:rsid w:val="52D16153"/>
    <w:rsid w:val="52D27CC0"/>
    <w:rsid w:val="52D44B30"/>
    <w:rsid w:val="52D73E1F"/>
    <w:rsid w:val="52EC2CEA"/>
    <w:rsid w:val="530F1502"/>
    <w:rsid w:val="53185E60"/>
    <w:rsid w:val="53272A85"/>
    <w:rsid w:val="53383187"/>
    <w:rsid w:val="53446D7D"/>
    <w:rsid w:val="534D59E4"/>
    <w:rsid w:val="53561B50"/>
    <w:rsid w:val="536410A5"/>
    <w:rsid w:val="536E3CD2"/>
    <w:rsid w:val="537B6EB9"/>
    <w:rsid w:val="538E2E9D"/>
    <w:rsid w:val="53946E65"/>
    <w:rsid w:val="539D7C35"/>
    <w:rsid w:val="53A36BB2"/>
    <w:rsid w:val="53A96AB8"/>
    <w:rsid w:val="53B61189"/>
    <w:rsid w:val="53D31547"/>
    <w:rsid w:val="53D33ED7"/>
    <w:rsid w:val="53D65ED8"/>
    <w:rsid w:val="53EA513F"/>
    <w:rsid w:val="5418469E"/>
    <w:rsid w:val="54217021"/>
    <w:rsid w:val="542F15EB"/>
    <w:rsid w:val="5434056E"/>
    <w:rsid w:val="5466715A"/>
    <w:rsid w:val="54757F32"/>
    <w:rsid w:val="549E27ED"/>
    <w:rsid w:val="549F05B2"/>
    <w:rsid w:val="54A73332"/>
    <w:rsid w:val="54C641E4"/>
    <w:rsid w:val="54C87920"/>
    <w:rsid w:val="54CA2703"/>
    <w:rsid w:val="54CE0ED2"/>
    <w:rsid w:val="54F12B03"/>
    <w:rsid w:val="54F67583"/>
    <w:rsid w:val="550100AE"/>
    <w:rsid w:val="550706D4"/>
    <w:rsid w:val="55155117"/>
    <w:rsid w:val="551A72E5"/>
    <w:rsid w:val="55307EF3"/>
    <w:rsid w:val="553D6F3E"/>
    <w:rsid w:val="55743B6F"/>
    <w:rsid w:val="557701C5"/>
    <w:rsid w:val="557B4831"/>
    <w:rsid w:val="55B82996"/>
    <w:rsid w:val="55C20299"/>
    <w:rsid w:val="55DC728A"/>
    <w:rsid w:val="55EB785C"/>
    <w:rsid w:val="55ED612D"/>
    <w:rsid w:val="55FD5D85"/>
    <w:rsid w:val="55FE2F98"/>
    <w:rsid w:val="56243D8D"/>
    <w:rsid w:val="56290B68"/>
    <w:rsid w:val="56301712"/>
    <w:rsid w:val="56384123"/>
    <w:rsid w:val="56434328"/>
    <w:rsid w:val="56564376"/>
    <w:rsid w:val="56590C75"/>
    <w:rsid w:val="56684F3B"/>
    <w:rsid w:val="56A92D28"/>
    <w:rsid w:val="56B730B0"/>
    <w:rsid w:val="56D66A9F"/>
    <w:rsid w:val="56DF6854"/>
    <w:rsid w:val="56E10C5F"/>
    <w:rsid w:val="570A3C88"/>
    <w:rsid w:val="5751243D"/>
    <w:rsid w:val="57515F19"/>
    <w:rsid w:val="575433FC"/>
    <w:rsid w:val="57787D68"/>
    <w:rsid w:val="577949F3"/>
    <w:rsid w:val="57850AFA"/>
    <w:rsid w:val="57876F8D"/>
    <w:rsid w:val="578D1721"/>
    <w:rsid w:val="57A72F68"/>
    <w:rsid w:val="57A92595"/>
    <w:rsid w:val="57EE770F"/>
    <w:rsid w:val="57F65B79"/>
    <w:rsid w:val="580C044B"/>
    <w:rsid w:val="58145286"/>
    <w:rsid w:val="581B1EAF"/>
    <w:rsid w:val="582132B5"/>
    <w:rsid w:val="58262DCD"/>
    <w:rsid w:val="58271522"/>
    <w:rsid w:val="582F73E6"/>
    <w:rsid w:val="58402623"/>
    <w:rsid w:val="5865392A"/>
    <w:rsid w:val="58661910"/>
    <w:rsid w:val="58680017"/>
    <w:rsid w:val="586C5606"/>
    <w:rsid w:val="586E7784"/>
    <w:rsid w:val="586F0D3C"/>
    <w:rsid w:val="587B4013"/>
    <w:rsid w:val="58844656"/>
    <w:rsid w:val="5886561A"/>
    <w:rsid w:val="588C31F2"/>
    <w:rsid w:val="58A149E6"/>
    <w:rsid w:val="58AD5A4B"/>
    <w:rsid w:val="58B95CBA"/>
    <w:rsid w:val="58BC03D1"/>
    <w:rsid w:val="58BF70EA"/>
    <w:rsid w:val="58C03464"/>
    <w:rsid w:val="58CA1BB8"/>
    <w:rsid w:val="58CB2496"/>
    <w:rsid w:val="58D25F74"/>
    <w:rsid w:val="58D9352F"/>
    <w:rsid w:val="58E26F74"/>
    <w:rsid w:val="590354C0"/>
    <w:rsid w:val="59110763"/>
    <w:rsid w:val="59177871"/>
    <w:rsid w:val="591C6C35"/>
    <w:rsid w:val="595345F5"/>
    <w:rsid w:val="597129E8"/>
    <w:rsid w:val="5974797D"/>
    <w:rsid w:val="597722E9"/>
    <w:rsid w:val="59935A82"/>
    <w:rsid w:val="59A303B2"/>
    <w:rsid w:val="59BD28CD"/>
    <w:rsid w:val="59CD0866"/>
    <w:rsid w:val="59D51EE4"/>
    <w:rsid w:val="59E7701E"/>
    <w:rsid w:val="5A1A163B"/>
    <w:rsid w:val="5A2D4339"/>
    <w:rsid w:val="5A343205"/>
    <w:rsid w:val="5A39497D"/>
    <w:rsid w:val="5A3E6ED1"/>
    <w:rsid w:val="5A3F4431"/>
    <w:rsid w:val="5A422DE2"/>
    <w:rsid w:val="5A6B5717"/>
    <w:rsid w:val="5A766DF7"/>
    <w:rsid w:val="5A954906"/>
    <w:rsid w:val="5A965B37"/>
    <w:rsid w:val="5AAF2D32"/>
    <w:rsid w:val="5AC533D7"/>
    <w:rsid w:val="5ACD5782"/>
    <w:rsid w:val="5AE40D1D"/>
    <w:rsid w:val="5AE925DB"/>
    <w:rsid w:val="5AE93ACB"/>
    <w:rsid w:val="5B152C47"/>
    <w:rsid w:val="5B422BC0"/>
    <w:rsid w:val="5B4D241F"/>
    <w:rsid w:val="5B8878FB"/>
    <w:rsid w:val="5B9D73E0"/>
    <w:rsid w:val="5B9F2A71"/>
    <w:rsid w:val="5BAE7E17"/>
    <w:rsid w:val="5BB560BF"/>
    <w:rsid w:val="5BB87140"/>
    <w:rsid w:val="5BC47FEE"/>
    <w:rsid w:val="5C0B0157"/>
    <w:rsid w:val="5C5945BB"/>
    <w:rsid w:val="5C6B3B3A"/>
    <w:rsid w:val="5C7B5896"/>
    <w:rsid w:val="5C802CC0"/>
    <w:rsid w:val="5C99710C"/>
    <w:rsid w:val="5CAD7A90"/>
    <w:rsid w:val="5CB23F52"/>
    <w:rsid w:val="5CD21825"/>
    <w:rsid w:val="5CD8738E"/>
    <w:rsid w:val="5D167EB1"/>
    <w:rsid w:val="5D177188"/>
    <w:rsid w:val="5D585BFC"/>
    <w:rsid w:val="5D7419BC"/>
    <w:rsid w:val="5D7719D5"/>
    <w:rsid w:val="5DA5770D"/>
    <w:rsid w:val="5DAD386D"/>
    <w:rsid w:val="5DB95201"/>
    <w:rsid w:val="5DCF3114"/>
    <w:rsid w:val="5DD938F3"/>
    <w:rsid w:val="5DE63497"/>
    <w:rsid w:val="5E1A1E42"/>
    <w:rsid w:val="5E23641E"/>
    <w:rsid w:val="5E435813"/>
    <w:rsid w:val="5E5204B0"/>
    <w:rsid w:val="5E5D2242"/>
    <w:rsid w:val="5E755150"/>
    <w:rsid w:val="5E815A50"/>
    <w:rsid w:val="5E8D55DB"/>
    <w:rsid w:val="5EA64AA4"/>
    <w:rsid w:val="5EA87935"/>
    <w:rsid w:val="5EB87CF1"/>
    <w:rsid w:val="5ECF5804"/>
    <w:rsid w:val="5EE11D9A"/>
    <w:rsid w:val="5EE277B4"/>
    <w:rsid w:val="5EFA4BEB"/>
    <w:rsid w:val="5F0951A0"/>
    <w:rsid w:val="5F146D52"/>
    <w:rsid w:val="5F225655"/>
    <w:rsid w:val="5F3B6B65"/>
    <w:rsid w:val="5F3C74A0"/>
    <w:rsid w:val="5F3F5420"/>
    <w:rsid w:val="5F41229A"/>
    <w:rsid w:val="5F5F4E16"/>
    <w:rsid w:val="5F652F18"/>
    <w:rsid w:val="5F7277D2"/>
    <w:rsid w:val="5FAA6092"/>
    <w:rsid w:val="5FB408AD"/>
    <w:rsid w:val="5FD61186"/>
    <w:rsid w:val="5FD74CEE"/>
    <w:rsid w:val="5FDB2229"/>
    <w:rsid w:val="5FDF1023"/>
    <w:rsid w:val="5FE7666D"/>
    <w:rsid w:val="5FEA19F5"/>
    <w:rsid w:val="5FF27179"/>
    <w:rsid w:val="5FF93032"/>
    <w:rsid w:val="600F6311"/>
    <w:rsid w:val="601F50B0"/>
    <w:rsid w:val="60236C7D"/>
    <w:rsid w:val="60393BDD"/>
    <w:rsid w:val="603E1F27"/>
    <w:rsid w:val="604528A3"/>
    <w:rsid w:val="604F1762"/>
    <w:rsid w:val="60555D39"/>
    <w:rsid w:val="6057283A"/>
    <w:rsid w:val="60645170"/>
    <w:rsid w:val="606E6554"/>
    <w:rsid w:val="60830691"/>
    <w:rsid w:val="6095345E"/>
    <w:rsid w:val="609A2B52"/>
    <w:rsid w:val="609C4948"/>
    <w:rsid w:val="60CD2EFD"/>
    <w:rsid w:val="60E11378"/>
    <w:rsid w:val="60E25BBF"/>
    <w:rsid w:val="60EC11A6"/>
    <w:rsid w:val="60ED1B61"/>
    <w:rsid w:val="60F414FD"/>
    <w:rsid w:val="60FA3454"/>
    <w:rsid w:val="611018A1"/>
    <w:rsid w:val="61102B81"/>
    <w:rsid w:val="612435B8"/>
    <w:rsid w:val="6131776C"/>
    <w:rsid w:val="614D4825"/>
    <w:rsid w:val="615F226E"/>
    <w:rsid w:val="616361B9"/>
    <w:rsid w:val="61676E43"/>
    <w:rsid w:val="6172131F"/>
    <w:rsid w:val="61827CD6"/>
    <w:rsid w:val="61AA7929"/>
    <w:rsid w:val="61BC3E5A"/>
    <w:rsid w:val="61E25083"/>
    <w:rsid w:val="61E33567"/>
    <w:rsid w:val="622000F1"/>
    <w:rsid w:val="622550D1"/>
    <w:rsid w:val="622D19CB"/>
    <w:rsid w:val="623053C5"/>
    <w:rsid w:val="62370CCE"/>
    <w:rsid w:val="626A0681"/>
    <w:rsid w:val="6290278B"/>
    <w:rsid w:val="62A71689"/>
    <w:rsid w:val="62A974A8"/>
    <w:rsid w:val="62D84342"/>
    <w:rsid w:val="62E10DE7"/>
    <w:rsid w:val="62EA2C49"/>
    <w:rsid w:val="62F62973"/>
    <w:rsid w:val="63096C2B"/>
    <w:rsid w:val="631E4B41"/>
    <w:rsid w:val="632C49D5"/>
    <w:rsid w:val="632E1EAE"/>
    <w:rsid w:val="634240F6"/>
    <w:rsid w:val="634B1821"/>
    <w:rsid w:val="634C0AC5"/>
    <w:rsid w:val="63535478"/>
    <w:rsid w:val="635508CA"/>
    <w:rsid w:val="635575E2"/>
    <w:rsid w:val="635A645A"/>
    <w:rsid w:val="635B608A"/>
    <w:rsid w:val="637707DC"/>
    <w:rsid w:val="637C7D45"/>
    <w:rsid w:val="637D2A3A"/>
    <w:rsid w:val="637D5EC7"/>
    <w:rsid w:val="638C7D15"/>
    <w:rsid w:val="63955DF4"/>
    <w:rsid w:val="639D22A3"/>
    <w:rsid w:val="63B33357"/>
    <w:rsid w:val="63C461B4"/>
    <w:rsid w:val="63CB65D6"/>
    <w:rsid w:val="63EA2F11"/>
    <w:rsid w:val="63FC2C34"/>
    <w:rsid w:val="64032EB8"/>
    <w:rsid w:val="640C7A49"/>
    <w:rsid w:val="642B76E3"/>
    <w:rsid w:val="642E6B65"/>
    <w:rsid w:val="6435653E"/>
    <w:rsid w:val="644562BE"/>
    <w:rsid w:val="645838C5"/>
    <w:rsid w:val="64604357"/>
    <w:rsid w:val="64635E1B"/>
    <w:rsid w:val="648A05E8"/>
    <w:rsid w:val="64A147B1"/>
    <w:rsid w:val="64A26442"/>
    <w:rsid w:val="64AB6686"/>
    <w:rsid w:val="64B51165"/>
    <w:rsid w:val="64C94CC1"/>
    <w:rsid w:val="64D7780F"/>
    <w:rsid w:val="64EF20BB"/>
    <w:rsid w:val="652C087D"/>
    <w:rsid w:val="65471753"/>
    <w:rsid w:val="655E01A2"/>
    <w:rsid w:val="655E4C8F"/>
    <w:rsid w:val="6566243E"/>
    <w:rsid w:val="656755F0"/>
    <w:rsid w:val="6573281D"/>
    <w:rsid w:val="658A1EFB"/>
    <w:rsid w:val="658A23BF"/>
    <w:rsid w:val="65901A12"/>
    <w:rsid w:val="65A5592C"/>
    <w:rsid w:val="65C76F9A"/>
    <w:rsid w:val="65D00688"/>
    <w:rsid w:val="65D7216C"/>
    <w:rsid w:val="65E76FEC"/>
    <w:rsid w:val="65EE0E11"/>
    <w:rsid w:val="65F479E9"/>
    <w:rsid w:val="66120DBC"/>
    <w:rsid w:val="661F51B3"/>
    <w:rsid w:val="66591CED"/>
    <w:rsid w:val="665B43AE"/>
    <w:rsid w:val="665F4EFB"/>
    <w:rsid w:val="66766C2B"/>
    <w:rsid w:val="667E4EE4"/>
    <w:rsid w:val="668B0805"/>
    <w:rsid w:val="66A4665C"/>
    <w:rsid w:val="66B12C63"/>
    <w:rsid w:val="66BB1946"/>
    <w:rsid w:val="66C47F0B"/>
    <w:rsid w:val="66CF5917"/>
    <w:rsid w:val="66D02156"/>
    <w:rsid w:val="66D460EA"/>
    <w:rsid w:val="66F5508C"/>
    <w:rsid w:val="6719394B"/>
    <w:rsid w:val="671B3A5E"/>
    <w:rsid w:val="672506F4"/>
    <w:rsid w:val="673B6D5F"/>
    <w:rsid w:val="674A63AC"/>
    <w:rsid w:val="675863D3"/>
    <w:rsid w:val="675A0B87"/>
    <w:rsid w:val="675E59B4"/>
    <w:rsid w:val="676A3865"/>
    <w:rsid w:val="677B64D9"/>
    <w:rsid w:val="67956570"/>
    <w:rsid w:val="67964380"/>
    <w:rsid w:val="67A06871"/>
    <w:rsid w:val="67A21D44"/>
    <w:rsid w:val="67A755AC"/>
    <w:rsid w:val="67AF39BB"/>
    <w:rsid w:val="67B4705C"/>
    <w:rsid w:val="67BD3642"/>
    <w:rsid w:val="67C90F90"/>
    <w:rsid w:val="67F23E91"/>
    <w:rsid w:val="67FD472D"/>
    <w:rsid w:val="6809495F"/>
    <w:rsid w:val="6820055A"/>
    <w:rsid w:val="682E797D"/>
    <w:rsid w:val="682F02A6"/>
    <w:rsid w:val="68482B8F"/>
    <w:rsid w:val="684955C0"/>
    <w:rsid w:val="684F0421"/>
    <w:rsid w:val="6867556E"/>
    <w:rsid w:val="686D6A6C"/>
    <w:rsid w:val="6873619E"/>
    <w:rsid w:val="689A2A1B"/>
    <w:rsid w:val="68A055CA"/>
    <w:rsid w:val="68AF6D54"/>
    <w:rsid w:val="68EF0AB3"/>
    <w:rsid w:val="68F81A80"/>
    <w:rsid w:val="68FC7232"/>
    <w:rsid w:val="68FE3290"/>
    <w:rsid w:val="6910635C"/>
    <w:rsid w:val="69125A96"/>
    <w:rsid w:val="692662CA"/>
    <w:rsid w:val="69393AB2"/>
    <w:rsid w:val="69460F95"/>
    <w:rsid w:val="694A4C77"/>
    <w:rsid w:val="69552455"/>
    <w:rsid w:val="695D4052"/>
    <w:rsid w:val="695F0D01"/>
    <w:rsid w:val="69992DD4"/>
    <w:rsid w:val="69A2727C"/>
    <w:rsid w:val="69B55AF0"/>
    <w:rsid w:val="69B809EB"/>
    <w:rsid w:val="69B85288"/>
    <w:rsid w:val="69C31C95"/>
    <w:rsid w:val="69C8485A"/>
    <w:rsid w:val="69DA1D29"/>
    <w:rsid w:val="69DA3A17"/>
    <w:rsid w:val="69E84AEC"/>
    <w:rsid w:val="69F46BCD"/>
    <w:rsid w:val="69F919EE"/>
    <w:rsid w:val="69FC1BE0"/>
    <w:rsid w:val="6A0313D8"/>
    <w:rsid w:val="6A070432"/>
    <w:rsid w:val="6A111168"/>
    <w:rsid w:val="6A3058C0"/>
    <w:rsid w:val="6A352BFB"/>
    <w:rsid w:val="6A3B2307"/>
    <w:rsid w:val="6A4564EA"/>
    <w:rsid w:val="6A465911"/>
    <w:rsid w:val="6A4E6F2A"/>
    <w:rsid w:val="6A5D5140"/>
    <w:rsid w:val="6A8938FE"/>
    <w:rsid w:val="6AA04422"/>
    <w:rsid w:val="6AB87E3C"/>
    <w:rsid w:val="6ABE6A0A"/>
    <w:rsid w:val="6ABF3D84"/>
    <w:rsid w:val="6AD91777"/>
    <w:rsid w:val="6ADE5499"/>
    <w:rsid w:val="6AE72963"/>
    <w:rsid w:val="6AED450B"/>
    <w:rsid w:val="6AED4FCD"/>
    <w:rsid w:val="6AEF0820"/>
    <w:rsid w:val="6B064398"/>
    <w:rsid w:val="6B0D5727"/>
    <w:rsid w:val="6B0F2B61"/>
    <w:rsid w:val="6B237B2C"/>
    <w:rsid w:val="6B3233DF"/>
    <w:rsid w:val="6B4A181C"/>
    <w:rsid w:val="6B6A637C"/>
    <w:rsid w:val="6BA11E35"/>
    <w:rsid w:val="6BC17842"/>
    <w:rsid w:val="6BD23FCC"/>
    <w:rsid w:val="6BE85925"/>
    <w:rsid w:val="6C1D4FDC"/>
    <w:rsid w:val="6C306BBF"/>
    <w:rsid w:val="6C3106B0"/>
    <w:rsid w:val="6C347845"/>
    <w:rsid w:val="6C3C3A60"/>
    <w:rsid w:val="6C47110C"/>
    <w:rsid w:val="6C512460"/>
    <w:rsid w:val="6C694D96"/>
    <w:rsid w:val="6C696071"/>
    <w:rsid w:val="6C6972D4"/>
    <w:rsid w:val="6C8341DF"/>
    <w:rsid w:val="6C9D10E7"/>
    <w:rsid w:val="6CAE6026"/>
    <w:rsid w:val="6CD01960"/>
    <w:rsid w:val="6CDB6CBE"/>
    <w:rsid w:val="6D1C659D"/>
    <w:rsid w:val="6D216E90"/>
    <w:rsid w:val="6D477F1A"/>
    <w:rsid w:val="6D5105C0"/>
    <w:rsid w:val="6D5D2061"/>
    <w:rsid w:val="6D61130D"/>
    <w:rsid w:val="6D69001C"/>
    <w:rsid w:val="6D75484E"/>
    <w:rsid w:val="6D8F6D17"/>
    <w:rsid w:val="6D955BC3"/>
    <w:rsid w:val="6D9C0365"/>
    <w:rsid w:val="6DAC31F8"/>
    <w:rsid w:val="6DAC69E6"/>
    <w:rsid w:val="6DBB1185"/>
    <w:rsid w:val="6DDE0506"/>
    <w:rsid w:val="6DF0327F"/>
    <w:rsid w:val="6DF17F07"/>
    <w:rsid w:val="6DF82E32"/>
    <w:rsid w:val="6E367659"/>
    <w:rsid w:val="6E5365A1"/>
    <w:rsid w:val="6E592D44"/>
    <w:rsid w:val="6E5E3AE5"/>
    <w:rsid w:val="6E614507"/>
    <w:rsid w:val="6E917BAE"/>
    <w:rsid w:val="6E930AAD"/>
    <w:rsid w:val="6E9323A2"/>
    <w:rsid w:val="6E99700F"/>
    <w:rsid w:val="6E9E5B93"/>
    <w:rsid w:val="6EA000C1"/>
    <w:rsid w:val="6EC06DFC"/>
    <w:rsid w:val="6EDA2CA0"/>
    <w:rsid w:val="6EF01F01"/>
    <w:rsid w:val="6F01678C"/>
    <w:rsid w:val="6F1C2EB7"/>
    <w:rsid w:val="6F246EBA"/>
    <w:rsid w:val="6F2715E1"/>
    <w:rsid w:val="6F7920D4"/>
    <w:rsid w:val="6F7D5BE4"/>
    <w:rsid w:val="6F8F6B9A"/>
    <w:rsid w:val="6F91234A"/>
    <w:rsid w:val="6F96656B"/>
    <w:rsid w:val="6FAA79E8"/>
    <w:rsid w:val="6FB152BF"/>
    <w:rsid w:val="6FD66A2F"/>
    <w:rsid w:val="6FDE0474"/>
    <w:rsid w:val="700E441B"/>
    <w:rsid w:val="7018373F"/>
    <w:rsid w:val="70261B7A"/>
    <w:rsid w:val="702F65E1"/>
    <w:rsid w:val="705346F7"/>
    <w:rsid w:val="70614DA6"/>
    <w:rsid w:val="70792BEB"/>
    <w:rsid w:val="70956AAF"/>
    <w:rsid w:val="70A635A9"/>
    <w:rsid w:val="70B250DD"/>
    <w:rsid w:val="70B35BEA"/>
    <w:rsid w:val="70B442FB"/>
    <w:rsid w:val="70C5520F"/>
    <w:rsid w:val="7100515F"/>
    <w:rsid w:val="713C2928"/>
    <w:rsid w:val="71463740"/>
    <w:rsid w:val="71486144"/>
    <w:rsid w:val="71533BF1"/>
    <w:rsid w:val="716344FB"/>
    <w:rsid w:val="716C2EA3"/>
    <w:rsid w:val="717B60FB"/>
    <w:rsid w:val="718631A2"/>
    <w:rsid w:val="718C3CC4"/>
    <w:rsid w:val="71902C0D"/>
    <w:rsid w:val="71A167EC"/>
    <w:rsid w:val="71A7138E"/>
    <w:rsid w:val="71A76F1E"/>
    <w:rsid w:val="71AC1481"/>
    <w:rsid w:val="71AD4F5C"/>
    <w:rsid w:val="71C55FF5"/>
    <w:rsid w:val="71C92CA7"/>
    <w:rsid w:val="71D53C8A"/>
    <w:rsid w:val="71D63371"/>
    <w:rsid w:val="71D71CC3"/>
    <w:rsid w:val="71E56FD1"/>
    <w:rsid w:val="71E8200D"/>
    <w:rsid w:val="72041542"/>
    <w:rsid w:val="721153A9"/>
    <w:rsid w:val="723853D3"/>
    <w:rsid w:val="72390C8E"/>
    <w:rsid w:val="723A4A2D"/>
    <w:rsid w:val="7249404E"/>
    <w:rsid w:val="724B4950"/>
    <w:rsid w:val="725C6C79"/>
    <w:rsid w:val="72847D57"/>
    <w:rsid w:val="72954D11"/>
    <w:rsid w:val="729668DE"/>
    <w:rsid w:val="72A721A8"/>
    <w:rsid w:val="72C619A7"/>
    <w:rsid w:val="72C93ED1"/>
    <w:rsid w:val="72E35334"/>
    <w:rsid w:val="72E94745"/>
    <w:rsid w:val="72F31DC2"/>
    <w:rsid w:val="72FD7412"/>
    <w:rsid w:val="730F01E1"/>
    <w:rsid w:val="731C234E"/>
    <w:rsid w:val="73245D66"/>
    <w:rsid w:val="73375A36"/>
    <w:rsid w:val="73426189"/>
    <w:rsid w:val="73682094"/>
    <w:rsid w:val="7369731A"/>
    <w:rsid w:val="737A5923"/>
    <w:rsid w:val="738343D4"/>
    <w:rsid w:val="7392615E"/>
    <w:rsid w:val="73964142"/>
    <w:rsid w:val="73B841BC"/>
    <w:rsid w:val="73D84E23"/>
    <w:rsid w:val="7402444C"/>
    <w:rsid w:val="7416564C"/>
    <w:rsid w:val="7434122B"/>
    <w:rsid w:val="7442522C"/>
    <w:rsid w:val="74546063"/>
    <w:rsid w:val="745F6A3B"/>
    <w:rsid w:val="746109EC"/>
    <w:rsid w:val="746F2A65"/>
    <w:rsid w:val="747D4277"/>
    <w:rsid w:val="74957608"/>
    <w:rsid w:val="74982C3C"/>
    <w:rsid w:val="749C61F2"/>
    <w:rsid w:val="74B42E1A"/>
    <w:rsid w:val="74B76FB9"/>
    <w:rsid w:val="74D428B5"/>
    <w:rsid w:val="74EF3D56"/>
    <w:rsid w:val="74F77924"/>
    <w:rsid w:val="74FA4F81"/>
    <w:rsid w:val="75031635"/>
    <w:rsid w:val="75116EC0"/>
    <w:rsid w:val="75176052"/>
    <w:rsid w:val="751B2205"/>
    <w:rsid w:val="75262943"/>
    <w:rsid w:val="75324669"/>
    <w:rsid w:val="75522D32"/>
    <w:rsid w:val="755C79D6"/>
    <w:rsid w:val="75964080"/>
    <w:rsid w:val="759B043A"/>
    <w:rsid w:val="759C7DD3"/>
    <w:rsid w:val="75A63090"/>
    <w:rsid w:val="75A924F0"/>
    <w:rsid w:val="75B25848"/>
    <w:rsid w:val="75E10A2B"/>
    <w:rsid w:val="75E25FFD"/>
    <w:rsid w:val="75EC3104"/>
    <w:rsid w:val="75FF1E82"/>
    <w:rsid w:val="760650F7"/>
    <w:rsid w:val="761426A7"/>
    <w:rsid w:val="76195FC4"/>
    <w:rsid w:val="7620310E"/>
    <w:rsid w:val="76260F69"/>
    <w:rsid w:val="76320737"/>
    <w:rsid w:val="763E2F50"/>
    <w:rsid w:val="763E74CA"/>
    <w:rsid w:val="766823AB"/>
    <w:rsid w:val="76A31CC1"/>
    <w:rsid w:val="76B66AD9"/>
    <w:rsid w:val="76D569BA"/>
    <w:rsid w:val="76E41B79"/>
    <w:rsid w:val="76FB4C0F"/>
    <w:rsid w:val="77145543"/>
    <w:rsid w:val="773A2350"/>
    <w:rsid w:val="77462C4C"/>
    <w:rsid w:val="77462CC3"/>
    <w:rsid w:val="77543F22"/>
    <w:rsid w:val="775A47A1"/>
    <w:rsid w:val="77667709"/>
    <w:rsid w:val="776B4E89"/>
    <w:rsid w:val="77813179"/>
    <w:rsid w:val="77882D05"/>
    <w:rsid w:val="779A29E9"/>
    <w:rsid w:val="779E7512"/>
    <w:rsid w:val="77A23776"/>
    <w:rsid w:val="77A45D79"/>
    <w:rsid w:val="77BF2581"/>
    <w:rsid w:val="77E96A13"/>
    <w:rsid w:val="77EC5079"/>
    <w:rsid w:val="77F17940"/>
    <w:rsid w:val="780711A8"/>
    <w:rsid w:val="781027EE"/>
    <w:rsid w:val="782236A8"/>
    <w:rsid w:val="783022A9"/>
    <w:rsid w:val="783562BD"/>
    <w:rsid w:val="78446137"/>
    <w:rsid w:val="78452F15"/>
    <w:rsid w:val="785B0F33"/>
    <w:rsid w:val="785B21C7"/>
    <w:rsid w:val="78742581"/>
    <w:rsid w:val="78770683"/>
    <w:rsid w:val="78782796"/>
    <w:rsid w:val="78855E52"/>
    <w:rsid w:val="78894689"/>
    <w:rsid w:val="789034FD"/>
    <w:rsid w:val="78920DFC"/>
    <w:rsid w:val="789456D9"/>
    <w:rsid w:val="78A31478"/>
    <w:rsid w:val="78AB549C"/>
    <w:rsid w:val="78C6730C"/>
    <w:rsid w:val="78E83F1C"/>
    <w:rsid w:val="78F362FD"/>
    <w:rsid w:val="78F4232A"/>
    <w:rsid w:val="7916566F"/>
    <w:rsid w:val="79257C48"/>
    <w:rsid w:val="79467D25"/>
    <w:rsid w:val="79572BE7"/>
    <w:rsid w:val="795F16DB"/>
    <w:rsid w:val="795F7A95"/>
    <w:rsid w:val="79654980"/>
    <w:rsid w:val="79753885"/>
    <w:rsid w:val="797B1C5F"/>
    <w:rsid w:val="79C50EFE"/>
    <w:rsid w:val="79C8388C"/>
    <w:rsid w:val="79FC7092"/>
    <w:rsid w:val="7A0428E0"/>
    <w:rsid w:val="7A195778"/>
    <w:rsid w:val="7A356F7D"/>
    <w:rsid w:val="7A381E73"/>
    <w:rsid w:val="7A4F7FC6"/>
    <w:rsid w:val="7A614D0F"/>
    <w:rsid w:val="7A637111"/>
    <w:rsid w:val="7A8007BC"/>
    <w:rsid w:val="7A9821CC"/>
    <w:rsid w:val="7A993B46"/>
    <w:rsid w:val="7AAF1AD7"/>
    <w:rsid w:val="7ABC4924"/>
    <w:rsid w:val="7AE6483E"/>
    <w:rsid w:val="7AE925B3"/>
    <w:rsid w:val="7AEA77F4"/>
    <w:rsid w:val="7AF91BDE"/>
    <w:rsid w:val="7B017913"/>
    <w:rsid w:val="7B05466C"/>
    <w:rsid w:val="7B0A1E23"/>
    <w:rsid w:val="7B1E39FA"/>
    <w:rsid w:val="7B2E3BAA"/>
    <w:rsid w:val="7B654FC6"/>
    <w:rsid w:val="7B702C48"/>
    <w:rsid w:val="7B7D3550"/>
    <w:rsid w:val="7B953311"/>
    <w:rsid w:val="7B984315"/>
    <w:rsid w:val="7B9D530A"/>
    <w:rsid w:val="7BA830E1"/>
    <w:rsid w:val="7BDB1DE8"/>
    <w:rsid w:val="7BE03D69"/>
    <w:rsid w:val="7BED0585"/>
    <w:rsid w:val="7BF2124A"/>
    <w:rsid w:val="7C02657E"/>
    <w:rsid w:val="7C1103AD"/>
    <w:rsid w:val="7C1E28EF"/>
    <w:rsid w:val="7C206AD5"/>
    <w:rsid w:val="7C226E02"/>
    <w:rsid w:val="7C25671B"/>
    <w:rsid w:val="7C317723"/>
    <w:rsid w:val="7C46219A"/>
    <w:rsid w:val="7C4C0AC2"/>
    <w:rsid w:val="7C530EBB"/>
    <w:rsid w:val="7C532AC6"/>
    <w:rsid w:val="7C913162"/>
    <w:rsid w:val="7C946411"/>
    <w:rsid w:val="7CA6446A"/>
    <w:rsid w:val="7CC045B1"/>
    <w:rsid w:val="7CC3658D"/>
    <w:rsid w:val="7CC7607D"/>
    <w:rsid w:val="7CE52393"/>
    <w:rsid w:val="7CED360A"/>
    <w:rsid w:val="7CF30D13"/>
    <w:rsid w:val="7D033F33"/>
    <w:rsid w:val="7D165739"/>
    <w:rsid w:val="7D315609"/>
    <w:rsid w:val="7D3B7B5E"/>
    <w:rsid w:val="7D562F5D"/>
    <w:rsid w:val="7D632A89"/>
    <w:rsid w:val="7D687351"/>
    <w:rsid w:val="7D6A1E11"/>
    <w:rsid w:val="7D710793"/>
    <w:rsid w:val="7D711B45"/>
    <w:rsid w:val="7D761C93"/>
    <w:rsid w:val="7D763BDD"/>
    <w:rsid w:val="7D8307D5"/>
    <w:rsid w:val="7DB313D1"/>
    <w:rsid w:val="7DB616F1"/>
    <w:rsid w:val="7DCF13BD"/>
    <w:rsid w:val="7DD345AE"/>
    <w:rsid w:val="7DD86068"/>
    <w:rsid w:val="7DE31FB8"/>
    <w:rsid w:val="7E053B0D"/>
    <w:rsid w:val="7E087152"/>
    <w:rsid w:val="7E1E06FA"/>
    <w:rsid w:val="7E3A4768"/>
    <w:rsid w:val="7E4839E7"/>
    <w:rsid w:val="7E55787D"/>
    <w:rsid w:val="7E6076FB"/>
    <w:rsid w:val="7E6F29EA"/>
    <w:rsid w:val="7E816FB0"/>
    <w:rsid w:val="7E8E1BD5"/>
    <w:rsid w:val="7E947B9D"/>
    <w:rsid w:val="7EB50056"/>
    <w:rsid w:val="7ED84792"/>
    <w:rsid w:val="7EEB5627"/>
    <w:rsid w:val="7F0A2F5C"/>
    <w:rsid w:val="7F1D76A9"/>
    <w:rsid w:val="7F360E03"/>
    <w:rsid w:val="7F445C18"/>
    <w:rsid w:val="7F4C3726"/>
    <w:rsid w:val="7F5D33BC"/>
    <w:rsid w:val="7F5F4ECC"/>
    <w:rsid w:val="7F710BA0"/>
    <w:rsid w:val="7F7906C9"/>
    <w:rsid w:val="7F8E34B9"/>
    <w:rsid w:val="7F9D30C5"/>
    <w:rsid w:val="7F9F3496"/>
    <w:rsid w:val="7FB93611"/>
    <w:rsid w:val="7FBB2EA3"/>
    <w:rsid w:val="7FCD452E"/>
    <w:rsid w:val="7FE01204"/>
    <w:rsid w:val="7FED214B"/>
    <w:rsid w:val="7FFC685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qFormat="1"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99"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00" w:lineRule="exact"/>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1"/>
    <w:qFormat/>
    <w:uiPriority w:val="0"/>
    <w:pPr>
      <w:keepNext/>
      <w:keepLines/>
      <w:numPr>
        <w:ilvl w:val="0"/>
        <w:numId w:val="1"/>
      </w:numPr>
      <w:spacing w:before="240" w:after="360" w:line="480" w:lineRule="auto"/>
      <w:ind w:firstLineChars="0"/>
      <w:jc w:val="center"/>
      <w:outlineLvl w:val="0"/>
    </w:pPr>
    <w:rPr>
      <w:b/>
      <w:bCs/>
      <w:kern w:val="44"/>
      <w:sz w:val="36"/>
      <w:szCs w:val="44"/>
    </w:rPr>
  </w:style>
  <w:style w:type="paragraph" w:styleId="4">
    <w:name w:val="heading 2"/>
    <w:basedOn w:val="1"/>
    <w:next w:val="1"/>
    <w:link w:val="62"/>
    <w:qFormat/>
    <w:uiPriority w:val="0"/>
    <w:pPr>
      <w:keepNext/>
      <w:keepLines/>
      <w:numPr>
        <w:ilvl w:val="1"/>
        <w:numId w:val="1"/>
      </w:numPr>
      <w:spacing w:before="120" w:after="120" w:line="360" w:lineRule="auto"/>
      <w:ind w:left="0" w:firstLineChars="0"/>
      <w:outlineLvl w:val="1"/>
    </w:pPr>
    <w:rPr>
      <w:b/>
      <w:bCs/>
      <w:sz w:val="28"/>
      <w:szCs w:val="32"/>
    </w:rPr>
  </w:style>
  <w:style w:type="paragraph" w:styleId="5">
    <w:name w:val="heading 3"/>
    <w:basedOn w:val="1"/>
    <w:next w:val="1"/>
    <w:link w:val="63"/>
    <w:qFormat/>
    <w:uiPriority w:val="0"/>
    <w:pPr>
      <w:keepNext/>
      <w:keepLines/>
      <w:numPr>
        <w:ilvl w:val="2"/>
        <w:numId w:val="1"/>
      </w:numPr>
      <w:spacing w:before="50" w:beforeLines="50" w:line="360" w:lineRule="auto"/>
      <w:ind w:firstLineChars="0"/>
      <w:jc w:val="left"/>
      <w:outlineLvl w:val="2"/>
    </w:pPr>
    <w:rPr>
      <w:b/>
      <w:bCs/>
      <w:szCs w:val="32"/>
    </w:rPr>
  </w:style>
  <w:style w:type="paragraph" w:styleId="2">
    <w:name w:val="heading 4"/>
    <w:basedOn w:val="1"/>
    <w:next w:val="1"/>
    <w:link w:val="60"/>
    <w:qFormat/>
    <w:uiPriority w:val="0"/>
    <w:pPr>
      <w:keepNext/>
      <w:keepLines/>
      <w:numPr>
        <w:ilvl w:val="3"/>
        <w:numId w:val="1"/>
      </w:numPr>
      <w:spacing w:line="240" w:lineRule="auto"/>
      <w:ind w:left="0" w:firstLine="0" w:firstLineChars="0"/>
      <w:jc w:val="left"/>
      <w:outlineLvl w:val="3"/>
    </w:pPr>
    <w:rPr>
      <w:rFonts w:ascii="Times New Roman" w:hAnsi="Times New Roman"/>
      <w:b/>
      <w:bCs/>
      <w:szCs w:val="28"/>
    </w:rPr>
  </w:style>
  <w:style w:type="paragraph" w:styleId="6">
    <w:name w:val="heading 5"/>
    <w:basedOn w:val="1"/>
    <w:next w:val="1"/>
    <w:link w:val="64"/>
    <w:qFormat/>
    <w:uiPriority w:val="0"/>
    <w:pPr>
      <w:keepNext/>
      <w:keepLines/>
      <w:numPr>
        <w:ilvl w:val="4"/>
        <w:numId w:val="1"/>
      </w:numPr>
      <w:spacing w:before="280" w:after="290" w:line="376" w:lineRule="auto"/>
      <w:ind w:firstLineChars="0"/>
      <w:outlineLvl w:val="4"/>
    </w:pPr>
    <w:rPr>
      <w:b/>
      <w:bCs/>
      <w:sz w:val="28"/>
      <w:szCs w:val="28"/>
    </w:rPr>
  </w:style>
  <w:style w:type="paragraph" w:styleId="7">
    <w:name w:val="heading 6"/>
    <w:basedOn w:val="1"/>
    <w:next w:val="1"/>
    <w:link w:val="65"/>
    <w:qFormat/>
    <w:uiPriority w:val="0"/>
    <w:pPr>
      <w:keepNext/>
      <w:keepLines/>
      <w:numPr>
        <w:ilvl w:val="5"/>
        <w:numId w:val="1"/>
      </w:numPr>
      <w:spacing w:before="240" w:after="64" w:line="320" w:lineRule="auto"/>
      <w:ind w:firstLineChars="0"/>
      <w:outlineLvl w:val="5"/>
    </w:pPr>
    <w:rPr>
      <w:rFonts w:ascii="Arial" w:hAnsi="Arial" w:eastAsia="黑体"/>
      <w:b/>
      <w:bCs/>
      <w:sz w:val="24"/>
    </w:rPr>
  </w:style>
  <w:style w:type="paragraph" w:styleId="8">
    <w:name w:val="heading 7"/>
    <w:basedOn w:val="1"/>
    <w:next w:val="1"/>
    <w:link w:val="66"/>
    <w:qFormat/>
    <w:uiPriority w:val="0"/>
    <w:pPr>
      <w:keepNext/>
      <w:keepLines/>
      <w:numPr>
        <w:ilvl w:val="6"/>
        <w:numId w:val="1"/>
      </w:numPr>
      <w:spacing w:before="240" w:after="64" w:line="320" w:lineRule="auto"/>
      <w:ind w:firstLineChars="0"/>
      <w:outlineLvl w:val="6"/>
    </w:pPr>
    <w:rPr>
      <w:b/>
      <w:bCs/>
      <w:sz w:val="24"/>
    </w:rPr>
  </w:style>
  <w:style w:type="paragraph" w:styleId="9">
    <w:name w:val="heading 8"/>
    <w:basedOn w:val="1"/>
    <w:next w:val="1"/>
    <w:link w:val="67"/>
    <w:qFormat/>
    <w:uiPriority w:val="0"/>
    <w:pPr>
      <w:keepNext/>
      <w:keepLines/>
      <w:numPr>
        <w:ilvl w:val="7"/>
        <w:numId w:val="1"/>
      </w:numPr>
      <w:spacing w:before="240" w:after="64" w:line="320" w:lineRule="auto"/>
      <w:ind w:firstLineChars="0"/>
      <w:outlineLvl w:val="7"/>
    </w:pPr>
    <w:rPr>
      <w:rFonts w:ascii="Arial" w:hAnsi="Arial" w:eastAsia="黑体"/>
      <w:sz w:val="24"/>
    </w:rPr>
  </w:style>
  <w:style w:type="paragraph" w:styleId="10">
    <w:name w:val="heading 9"/>
    <w:basedOn w:val="1"/>
    <w:next w:val="1"/>
    <w:link w:val="68"/>
    <w:qFormat/>
    <w:uiPriority w:val="0"/>
    <w:pPr>
      <w:keepNext/>
      <w:keepLines/>
      <w:numPr>
        <w:ilvl w:val="8"/>
        <w:numId w:val="1"/>
      </w:numPr>
      <w:spacing w:before="240" w:after="64" w:line="320" w:lineRule="auto"/>
      <w:ind w:firstLineChars="0"/>
      <w:outlineLvl w:val="8"/>
    </w:pPr>
    <w:rPr>
      <w:rFonts w:ascii="Arial" w:hAnsi="Arial" w:eastAsia="黑体"/>
      <w:szCs w:val="21"/>
    </w:rPr>
  </w:style>
  <w:style w:type="character" w:default="1" w:styleId="51">
    <w:name w:val="Default Paragraph Font"/>
    <w:link w:val="52"/>
    <w:semiHidden/>
    <w:qFormat/>
    <w:uiPriority w:val="0"/>
  </w:style>
  <w:style w:type="table" w:default="1" w:styleId="48">
    <w:name w:val="Normal Table"/>
    <w:semiHidden/>
    <w:qFormat/>
    <w:uiPriority w:val="0"/>
    <w:tblPr>
      <w:tblCellMar>
        <w:top w:w="0" w:type="dxa"/>
        <w:left w:w="108" w:type="dxa"/>
        <w:bottom w:w="0" w:type="dxa"/>
        <w:right w:w="108" w:type="dxa"/>
      </w:tblCellMar>
    </w:tblPr>
  </w:style>
  <w:style w:type="paragraph" w:styleId="11">
    <w:name w:val="toc 7"/>
    <w:basedOn w:val="1"/>
    <w:next w:val="1"/>
    <w:qFormat/>
    <w:uiPriority w:val="0"/>
    <w:pPr>
      <w:spacing w:line="240" w:lineRule="auto"/>
      <w:ind w:left="1260" w:firstLine="0" w:firstLineChars="0"/>
      <w:jc w:val="left"/>
    </w:pPr>
    <w:rPr>
      <w:sz w:val="18"/>
      <w:szCs w:val="18"/>
    </w:rPr>
  </w:style>
  <w:style w:type="paragraph" w:styleId="12">
    <w:name w:val="Normal Indent"/>
    <w:basedOn w:val="1"/>
    <w:next w:val="1"/>
    <w:link w:val="69"/>
    <w:qFormat/>
    <w:uiPriority w:val="0"/>
    <w:pPr>
      <w:adjustRightInd w:val="0"/>
      <w:snapToGrid w:val="0"/>
      <w:spacing w:line="300" w:lineRule="auto"/>
    </w:pPr>
    <w:rPr>
      <w:rFonts w:ascii="仿宋_GB2312" w:eastAsia="仿宋_GB2312"/>
      <w:color w:val="000000"/>
      <w:sz w:val="28"/>
    </w:rPr>
  </w:style>
  <w:style w:type="paragraph" w:styleId="13">
    <w:name w:val="caption"/>
    <w:basedOn w:val="1"/>
    <w:next w:val="1"/>
    <w:qFormat/>
    <w:uiPriority w:val="0"/>
    <w:rPr>
      <w:rFonts w:ascii="Arial" w:hAnsi="Arial" w:eastAsia="黑体" w:cs="Arial"/>
      <w:sz w:val="20"/>
      <w:szCs w:val="20"/>
    </w:rPr>
  </w:style>
  <w:style w:type="paragraph" w:styleId="14">
    <w:name w:val="Document Map"/>
    <w:basedOn w:val="1"/>
    <w:link w:val="70"/>
    <w:semiHidden/>
    <w:qFormat/>
    <w:uiPriority w:val="99"/>
    <w:pPr>
      <w:shd w:val="clear" w:color="auto" w:fill="000080"/>
    </w:pPr>
  </w:style>
  <w:style w:type="paragraph" w:styleId="15">
    <w:name w:val="toa heading"/>
    <w:basedOn w:val="1"/>
    <w:next w:val="1"/>
    <w:semiHidden/>
    <w:qFormat/>
    <w:uiPriority w:val="0"/>
    <w:pPr>
      <w:adjustRightInd w:val="0"/>
      <w:snapToGrid w:val="0"/>
      <w:spacing w:before="120" w:line="312" w:lineRule="auto"/>
      <w:ind w:firstLine="0" w:firstLineChars="0"/>
    </w:pPr>
    <w:rPr>
      <w:rFonts w:ascii="Arial" w:hAnsi="Arial" w:cs="Arial"/>
    </w:rPr>
  </w:style>
  <w:style w:type="paragraph" w:styleId="16">
    <w:name w:val="annotation text"/>
    <w:basedOn w:val="1"/>
    <w:link w:val="71"/>
    <w:qFormat/>
    <w:uiPriority w:val="0"/>
    <w:pPr>
      <w:jc w:val="left"/>
    </w:pPr>
  </w:style>
  <w:style w:type="paragraph" w:styleId="17">
    <w:name w:val="Body Text 3"/>
    <w:basedOn w:val="1"/>
    <w:link w:val="72"/>
    <w:qFormat/>
    <w:uiPriority w:val="0"/>
    <w:pPr>
      <w:spacing w:line="240" w:lineRule="auto"/>
      <w:ind w:firstLine="0" w:firstLineChars="0"/>
      <w:jc w:val="center"/>
    </w:pPr>
    <w:rPr>
      <w:rFonts w:eastAsia="仿宋_GB2312"/>
      <w:sz w:val="28"/>
      <w:szCs w:val="28"/>
    </w:rPr>
  </w:style>
  <w:style w:type="paragraph" w:styleId="18">
    <w:name w:val="List Bullet 3"/>
    <w:basedOn w:val="1"/>
    <w:qFormat/>
    <w:uiPriority w:val="0"/>
    <w:pPr>
      <w:spacing w:line="520" w:lineRule="exact"/>
      <w:ind w:firstLine="0" w:firstLineChars="0"/>
      <w:jc w:val="center"/>
    </w:pPr>
    <w:rPr>
      <w:sz w:val="28"/>
      <w:szCs w:val="20"/>
    </w:rPr>
  </w:style>
  <w:style w:type="paragraph" w:styleId="19">
    <w:name w:val="Body Text"/>
    <w:basedOn w:val="1"/>
    <w:next w:val="20"/>
    <w:link w:val="73"/>
    <w:qFormat/>
    <w:uiPriority w:val="0"/>
    <w:pPr>
      <w:spacing w:after="120"/>
    </w:pPr>
  </w:style>
  <w:style w:type="paragraph" w:customStyle="1" w:styleId="20">
    <w:name w:val="xl27"/>
    <w:basedOn w:val="1"/>
    <w:next w:val="21"/>
    <w:qFormat/>
    <w:uiPriority w:val="0"/>
    <w:pPr>
      <w:widowControl/>
      <w:pBdr>
        <w:bottom w:val="single" w:color="auto" w:sz="4" w:space="0"/>
      </w:pBdr>
      <w:spacing w:before="100" w:beforeAutospacing="1" w:after="100" w:afterAutospacing="1" w:line="240" w:lineRule="auto"/>
      <w:ind w:firstLine="0" w:firstLineChars="0"/>
      <w:jc w:val="center"/>
      <w:textAlignment w:val="center"/>
    </w:pPr>
    <w:rPr>
      <w:rFonts w:hint="eastAsia" w:ascii="黑体" w:hAnsi="宋体" w:eastAsia="黑体"/>
      <w:kern w:val="0"/>
    </w:rPr>
  </w:style>
  <w:style w:type="paragraph" w:customStyle="1" w:styleId="21">
    <w:name w:val="A正文"/>
    <w:basedOn w:val="1"/>
    <w:qFormat/>
    <w:uiPriority w:val="0"/>
    <w:pPr>
      <w:widowControl/>
      <w:overflowPunct w:val="0"/>
      <w:autoSpaceDE w:val="0"/>
      <w:autoSpaceDN w:val="0"/>
      <w:jc w:val="left"/>
      <w:textAlignment w:val="baseline"/>
    </w:pPr>
  </w:style>
  <w:style w:type="paragraph" w:styleId="22">
    <w:name w:val="Body Text Indent"/>
    <w:basedOn w:val="1"/>
    <w:next w:val="1"/>
    <w:link w:val="74"/>
    <w:qFormat/>
    <w:uiPriority w:val="0"/>
    <w:pPr>
      <w:spacing w:after="120" w:line="240" w:lineRule="auto"/>
      <w:ind w:left="420" w:leftChars="200" w:firstLine="0" w:firstLineChars="0"/>
    </w:pPr>
    <w:rPr>
      <w:sz w:val="21"/>
    </w:rPr>
  </w:style>
  <w:style w:type="paragraph" w:styleId="23">
    <w:name w:val="Block Text"/>
    <w:basedOn w:val="1"/>
    <w:qFormat/>
    <w:uiPriority w:val="0"/>
    <w:pPr>
      <w:spacing w:after="120"/>
      <w:ind w:left="1440" w:leftChars="700" w:right="1440" w:rightChars="700"/>
    </w:pPr>
  </w:style>
  <w:style w:type="paragraph" w:styleId="24">
    <w:name w:val="List Bullet 2"/>
    <w:basedOn w:val="1"/>
    <w:qFormat/>
    <w:uiPriority w:val="0"/>
    <w:pPr>
      <w:adjustRightInd w:val="0"/>
      <w:spacing w:line="240" w:lineRule="atLeast"/>
      <w:ind w:firstLine="0" w:firstLineChars="0"/>
      <w:jc w:val="left"/>
      <w:textAlignment w:val="baseline"/>
    </w:pPr>
    <w:rPr>
      <w:rFonts w:ascii="宋体"/>
      <w:kern w:val="0"/>
      <w:sz w:val="34"/>
      <w:szCs w:val="34"/>
    </w:rPr>
  </w:style>
  <w:style w:type="paragraph" w:styleId="25">
    <w:name w:val="toc 5"/>
    <w:basedOn w:val="1"/>
    <w:next w:val="1"/>
    <w:qFormat/>
    <w:uiPriority w:val="0"/>
    <w:pPr>
      <w:spacing w:line="240" w:lineRule="auto"/>
      <w:ind w:firstLine="0" w:firstLineChars="0"/>
      <w:jc w:val="center"/>
    </w:pPr>
    <w:rPr>
      <w:sz w:val="21"/>
    </w:rPr>
  </w:style>
  <w:style w:type="paragraph" w:styleId="26">
    <w:name w:val="toc 3"/>
    <w:basedOn w:val="1"/>
    <w:next w:val="1"/>
    <w:qFormat/>
    <w:uiPriority w:val="0"/>
    <w:pPr>
      <w:spacing w:line="240" w:lineRule="auto"/>
      <w:ind w:left="420" w:firstLine="0" w:firstLineChars="0"/>
      <w:jc w:val="left"/>
    </w:pPr>
    <w:rPr>
      <w:i/>
      <w:iCs/>
      <w:sz w:val="20"/>
      <w:szCs w:val="20"/>
    </w:rPr>
  </w:style>
  <w:style w:type="paragraph" w:styleId="27">
    <w:name w:val="Plain Text"/>
    <w:basedOn w:val="1"/>
    <w:qFormat/>
    <w:uiPriority w:val="0"/>
    <w:pPr>
      <w:spacing w:line="240" w:lineRule="auto"/>
      <w:ind w:firstLine="0" w:firstLineChars="0"/>
    </w:pPr>
    <w:rPr>
      <w:rFonts w:ascii="宋体" w:hAnsi="Courier New" w:cs="Courier New"/>
      <w:sz w:val="21"/>
      <w:szCs w:val="21"/>
    </w:rPr>
  </w:style>
  <w:style w:type="paragraph" w:styleId="28">
    <w:name w:val="toc 8"/>
    <w:basedOn w:val="1"/>
    <w:next w:val="1"/>
    <w:qFormat/>
    <w:uiPriority w:val="0"/>
    <w:pPr>
      <w:spacing w:line="240" w:lineRule="auto"/>
      <w:ind w:left="1470" w:firstLine="0" w:firstLineChars="0"/>
      <w:jc w:val="left"/>
    </w:pPr>
    <w:rPr>
      <w:sz w:val="18"/>
      <w:szCs w:val="18"/>
    </w:rPr>
  </w:style>
  <w:style w:type="paragraph" w:styleId="29">
    <w:name w:val="Date"/>
    <w:basedOn w:val="1"/>
    <w:next w:val="1"/>
    <w:qFormat/>
    <w:uiPriority w:val="0"/>
    <w:pPr>
      <w:adjustRightInd w:val="0"/>
      <w:snapToGrid w:val="0"/>
      <w:spacing w:line="360" w:lineRule="auto"/>
      <w:ind w:left="100" w:leftChars="2500"/>
    </w:pPr>
    <w:rPr>
      <w:rFonts w:eastAsia="仿宋_GB2312"/>
      <w:bCs/>
      <w:sz w:val="28"/>
      <w:szCs w:val="32"/>
    </w:rPr>
  </w:style>
  <w:style w:type="paragraph" w:styleId="30">
    <w:name w:val="Body Text Indent 2"/>
    <w:basedOn w:val="1"/>
    <w:next w:val="1"/>
    <w:qFormat/>
    <w:uiPriority w:val="0"/>
    <w:pPr>
      <w:spacing w:line="520" w:lineRule="exact"/>
      <w:ind w:firstLine="560"/>
    </w:pPr>
    <w:rPr>
      <w:rFonts w:ascii="长城黑体" w:eastAsia="长城黑体"/>
      <w:sz w:val="28"/>
    </w:rPr>
  </w:style>
  <w:style w:type="paragraph" w:styleId="31">
    <w:name w:val="Balloon Text"/>
    <w:basedOn w:val="1"/>
    <w:link w:val="76"/>
    <w:qFormat/>
    <w:uiPriority w:val="0"/>
    <w:rPr>
      <w:sz w:val="18"/>
      <w:szCs w:val="18"/>
    </w:rPr>
  </w:style>
  <w:style w:type="paragraph" w:styleId="32">
    <w:name w:val="footer"/>
    <w:basedOn w:val="1"/>
    <w:link w:val="77"/>
    <w:qFormat/>
    <w:uiPriority w:val="0"/>
    <w:pPr>
      <w:tabs>
        <w:tab w:val="center" w:pos="4153"/>
        <w:tab w:val="right" w:pos="8306"/>
      </w:tabs>
      <w:snapToGrid w:val="0"/>
      <w:spacing w:line="240" w:lineRule="atLeast"/>
      <w:jc w:val="left"/>
    </w:pPr>
    <w:rPr>
      <w:sz w:val="18"/>
      <w:szCs w:val="18"/>
    </w:rPr>
  </w:style>
  <w:style w:type="paragraph" w:styleId="33">
    <w:name w:val="header"/>
    <w:basedOn w:val="1"/>
    <w:link w:val="78"/>
    <w:qFormat/>
    <w:uiPriority w:val="0"/>
    <w:pPr>
      <w:pBdr>
        <w:bottom w:val="single" w:color="auto" w:sz="6" w:space="1"/>
      </w:pBdr>
      <w:tabs>
        <w:tab w:val="center" w:pos="4153"/>
        <w:tab w:val="right" w:pos="8306"/>
      </w:tabs>
      <w:snapToGrid w:val="0"/>
      <w:spacing w:line="240" w:lineRule="atLeast"/>
      <w:jc w:val="center"/>
    </w:pPr>
    <w:rPr>
      <w:sz w:val="18"/>
      <w:szCs w:val="18"/>
    </w:rPr>
  </w:style>
  <w:style w:type="paragraph" w:styleId="34">
    <w:name w:val="toc 1"/>
    <w:basedOn w:val="1"/>
    <w:next w:val="1"/>
    <w:qFormat/>
    <w:uiPriority w:val="39"/>
  </w:style>
  <w:style w:type="paragraph" w:styleId="35">
    <w:name w:val="toc 4"/>
    <w:basedOn w:val="1"/>
    <w:next w:val="1"/>
    <w:qFormat/>
    <w:uiPriority w:val="0"/>
    <w:pPr>
      <w:spacing w:line="240" w:lineRule="auto"/>
      <w:ind w:left="630" w:firstLine="0" w:firstLineChars="0"/>
      <w:jc w:val="left"/>
    </w:pPr>
    <w:rPr>
      <w:sz w:val="18"/>
      <w:szCs w:val="18"/>
    </w:rPr>
  </w:style>
  <w:style w:type="paragraph" w:styleId="36">
    <w:name w:val="List"/>
    <w:basedOn w:val="1"/>
    <w:qFormat/>
    <w:uiPriority w:val="0"/>
    <w:pPr>
      <w:ind w:left="200" w:hanging="200" w:hangingChars="200"/>
    </w:pPr>
  </w:style>
  <w:style w:type="paragraph" w:styleId="37">
    <w:name w:val="toc 6"/>
    <w:basedOn w:val="1"/>
    <w:next w:val="1"/>
    <w:qFormat/>
    <w:uiPriority w:val="0"/>
    <w:pPr>
      <w:spacing w:line="240" w:lineRule="auto"/>
      <w:ind w:left="1050" w:firstLine="0" w:firstLineChars="0"/>
      <w:jc w:val="left"/>
    </w:pPr>
    <w:rPr>
      <w:sz w:val="18"/>
      <w:szCs w:val="18"/>
    </w:rPr>
  </w:style>
  <w:style w:type="paragraph" w:styleId="38">
    <w:name w:val="Body Text Indent 3"/>
    <w:basedOn w:val="1"/>
    <w:link w:val="79"/>
    <w:qFormat/>
    <w:uiPriority w:val="0"/>
    <w:pPr>
      <w:spacing w:after="120"/>
      <w:ind w:left="420" w:leftChars="200"/>
    </w:pPr>
    <w:rPr>
      <w:sz w:val="16"/>
      <w:szCs w:val="16"/>
    </w:rPr>
  </w:style>
  <w:style w:type="paragraph" w:styleId="39">
    <w:name w:val="toc 2"/>
    <w:basedOn w:val="1"/>
    <w:next w:val="1"/>
    <w:qFormat/>
    <w:uiPriority w:val="39"/>
    <w:pPr>
      <w:ind w:left="420" w:leftChars="200"/>
    </w:pPr>
  </w:style>
  <w:style w:type="paragraph" w:styleId="40">
    <w:name w:val="toc 9"/>
    <w:basedOn w:val="1"/>
    <w:next w:val="1"/>
    <w:qFormat/>
    <w:uiPriority w:val="0"/>
    <w:pPr>
      <w:spacing w:line="240" w:lineRule="auto"/>
      <w:ind w:left="1680" w:firstLine="0" w:firstLineChars="0"/>
      <w:jc w:val="left"/>
    </w:pPr>
    <w:rPr>
      <w:sz w:val="18"/>
      <w:szCs w:val="18"/>
    </w:rPr>
  </w:style>
  <w:style w:type="paragraph" w:styleId="41">
    <w:name w:val="Body Text 2"/>
    <w:basedOn w:val="1"/>
    <w:link w:val="80"/>
    <w:qFormat/>
    <w:uiPriority w:val="0"/>
    <w:pPr>
      <w:spacing w:line="240" w:lineRule="auto"/>
      <w:ind w:firstLine="0" w:firstLineChars="0"/>
    </w:pPr>
    <w:rPr>
      <w:rFonts w:ascii="Calibri" w:hAnsi="Calibri"/>
      <w:bCs/>
      <w:color w:val="000000"/>
      <w:sz w:val="21"/>
    </w:rPr>
  </w:style>
  <w:style w:type="paragraph" w:styleId="42">
    <w:name w:val="HTML Preformatted"/>
    <w:basedOn w:val="1"/>
    <w:link w:val="81"/>
    <w:qFormat/>
    <w:uiPriority w:val="0"/>
    <w:pPr>
      <w:spacing w:line="240" w:lineRule="auto"/>
      <w:ind w:firstLine="0" w:firstLineChars="0"/>
    </w:pPr>
    <w:rPr>
      <w:rFonts w:ascii="Courier New" w:hAnsi="Courier New" w:cs="Courier New"/>
      <w:sz w:val="20"/>
      <w:szCs w:val="20"/>
    </w:rPr>
  </w:style>
  <w:style w:type="paragraph" w:styleId="43">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rPr>
  </w:style>
  <w:style w:type="paragraph" w:styleId="44">
    <w:name w:val="Title"/>
    <w:basedOn w:val="1"/>
    <w:link w:val="82"/>
    <w:qFormat/>
    <w:uiPriority w:val="0"/>
    <w:pPr>
      <w:spacing w:before="240" w:after="60" w:line="240" w:lineRule="auto"/>
      <w:ind w:firstLine="0" w:firstLineChars="0"/>
      <w:jc w:val="center"/>
      <w:outlineLvl w:val="0"/>
    </w:pPr>
    <w:rPr>
      <w:rFonts w:ascii="Arial" w:hAnsi="Arial" w:cs="Arial"/>
      <w:b/>
      <w:bCs/>
      <w:szCs w:val="32"/>
    </w:rPr>
  </w:style>
  <w:style w:type="paragraph" w:styleId="45">
    <w:name w:val="annotation subject"/>
    <w:basedOn w:val="16"/>
    <w:next w:val="16"/>
    <w:qFormat/>
    <w:uiPriority w:val="0"/>
    <w:rPr>
      <w:b/>
      <w:bCs/>
    </w:rPr>
  </w:style>
  <w:style w:type="paragraph" w:styleId="46">
    <w:name w:val="Body Text First Indent"/>
    <w:basedOn w:val="19"/>
    <w:link w:val="83"/>
    <w:qFormat/>
    <w:uiPriority w:val="0"/>
    <w:pPr>
      <w:spacing w:line="240" w:lineRule="auto"/>
      <w:ind w:firstLine="420" w:firstLineChars="100"/>
    </w:pPr>
    <w:rPr>
      <w:sz w:val="21"/>
    </w:rPr>
  </w:style>
  <w:style w:type="paragraph" w:styleId="47">
    <w:name w:val="Body Text First Indent 2"/>
    <w:basedOn w:val="22"/>
    <w:next w:val="1"/>
    <w:link w:val="75"/>
    <w:qFormat/>
    <w:uiPriority w:val="0"/>
    <w:pPr>
      <w:ind w:firstLine="420" w:firstLineChars="200"/>
    </w:pPr>
    <w:rPr>
      <w:szCs w:val="20"/>
    </w:rPr>
  </w:style>
  <w:style w:type="table" w:styleId="49">
    <w:name w:val="Table Grid"/>
    <w:basedOn w:val="4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0">
    <w:name w:val="Table Theme"/>
    <w:basedOn w:val="48"/>
    <w:qFormat/>
    <w:uiPriority w:val="0"/>
    <w:pPr>
      <w:widowControl w:val="0"/>
      <w:spacing w:line="500" w:lineRule="exac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2">
    <w:name w:val="1 Char Char Char Char"/>
    <w:basedOn w:val="1"/>
    <w:link w:val="51"/>
    <w:qFormat/>
    <w:uiPriority w:val="0"/>
  </w:style>
  <w:style w:type="character" w:styleId="53">
    <w:name w:val="Strong"/>
    <w:basedOn w:val="51"/>
    <w:qFormat/>
    <w:uiPriority w:val="0"/>
    <w:rPr>
      <w:b/>
      <w:bCs/>
    </w:rPr>
  </w:style>
  <w:style w:type="character" w:styleId="54">
    <w:name w:val="page number"/>
    <w:basedOn w:val="51"/>
    <w:qFormat/>
    <w:uiPriority w:val="0"/>
  </w:style>
  <w:style w:type="character" w:styleId="55">
    <w:name w:val="FollowedHyperlink"/>
    <w:basedOn w:val="51"/>
    <w:qFormat/>
    <w:uiPriority w:val="0"/>
    <w:rPr>
      <w:color w:val="800080"/>
      <w:u w:val="none"/>
    </w:rPr>
  </w:style>
  <w:style w:type="character" w:styleId="56">
    <w:name w:val="Emphasis"/>
    <w:qFormat/>
    <w:uiPriority w:val="20"/>
    <w:rPr>
      <w:i/>
      <w:iCs/>
    </w:rPr>
  </w:style>
  <w:style w:type="character" w:styleId="57">
    <w:name w:val="Hyperlink"/>
    <w:basedOn w:val="51"/>
    <w:qFormat/>
    <w:uiPriority w:val="99"/>
    <w:rPr>
      <w:color w:val="0000FF"/>
      <w:u w:val="none"/>
    </w:rPr>
  </w:style>
  <w:style w:type="character" w:styleId="58">
    <w:name w:val="annotation reference"/>
    <w:semiHidden/>
    <w:qFormat/>
    <w:uiPriority w:val="0"/>
    <w:rPr>
      <w:sz w:val="21"/>
      <w:szCs w:val="21"/>
    </w:rPr>
  </w:style>
  <w:style w:type="paragraph" w:customStyle="1" w:styleId="59">
    <w:name w:val="正文 首行缩进:  2 字符"/>
    <w:basedOn w:val="1"/>
    <w:qFormat/>
    <w:uiPriority w:val="0"/>
    <w:pPr>
      <w:ind w:firstLine="579" w:firstLineChars="200"/>
    </w:pPr>
    <w:rPr>
      <w:sz w:val="28"/>
      <w:szCs w:val="20"/>
    </w:rPr>
  </w:style>
  <w:style w:type="character" w:customStyle="1" w:styleId="60">
    <w:name w:val="标题 4 Char"/>
    <w:link w:val="2"/>
    <w:qFormat/>
    <w:uiPriority w:val="0"/>
    <w:rPr>
      <w:rFonts w:ascii="Times New Roman" w:hAnsi="Times New Roman" w:eastAsia="宋体"/>
      <w:b/>
      <w:bCs/>
      <w:kern w:val="2"/>
      <w:sz w:val="24"/>
      <w:szCs w:val="28"/>
    </w:rPr>
  </w:style>
  <w:style w:type="character" w:customStyle="1" w:styleId="61">
    <w:name w:val="标题 1 Char"/>
    <w:link w:val="3"/>
    <w:qFormat/>
    <w:uiPriority w:val="0"/>
    <w:rPr>
      <w:b/>
      <w:bCs/>
      <w:kern w:val="44"/>
      <w:sz w:val="36"/>
      <w:szCs w:val="44"/>
    </w:rPr>
  </w:style>
  <w:style w:type="character" w:customStyle="1" w:styleId="62">
    <w:name w:val="标题 2 Char"/>
    <w:link w:val="4"/>
    <w:qFormat/>
    <w:uiPriority w:val="0"/>
    <w:rPr>
      <w:b/>
      <w:bCs/>
      <w:kern w:val="2"/>
      <w:sz w:val="28"/>
      <w:szCs w:val="32"/>
    </w:rPr>
  </w:style>
  <w:style w:type="character" w:customStyle="1" w:styleId="63">
    <w:name w:val="标题 3 Char"/>
    <w:link w:val="5"/>
    <w:qFormat/>
    <w:uiPriority w:val="0"/>
    <w:rPr>
      <w:b/>
      <w:bCs/>
      <w:kern w:val="2"/>
      <w:sz w:val="24"/>
      <w:szCs w:val="32"/>
    </w:rPr>
  </w:style>
  <w:style w:type="character" w:customStyle="1" w:styleId="64">
    <w:name w:val="标题 5 Char"/>
    <w:link w:val="6"/>
    <w:qFormat/>
    <w:uiPriority w:val="0"/>
    <w:rPr>
      <w:b/>
      <w:bCs/>
      <w:kern w:val="2"/>
      <w:sz w:val="28"/>
      <w:szCs w:val="28"/>
    </w:rPr>
  </w:style>
  <w:style w:type="character" w:customStyle="1" w:styleId="65">
    <w:name w:val="标题 6 Char"/>
    <w:link w:val="7"/>
    <w:qFormat/>
    <w:uiPriority w:val="0"/>
    <w:rPr>
      <w:rFonts w:ascii="Arial" w:hAnsi="Arial" w:eastAsia="黑体"/>
      <w:b/>
      <w:bCs/>
      <w:kern w:val="2"/>
      <w:sz w:val="24"/>
      <w:szCs w:val="24"/>
    </w:rPr>
  </w:style>
  <w:style w:type="character" w:customStyle="1" w:styleId="66">
    <w:name w:val="标题 7 Char"/>
    <w:link w:val="8"/>
    <w:qFormat/>
    <w:uiPriority w:val="0"/>
    <w:rPr>
      <w:b/>
      <w:bCs/>
      <w:kern w:val="2"/>
      <w:sz w:val="24"/>
      <w:szCs w:val="24"/>
    </w:rPr>
  </w:style>
  <w:style w:type="character" w:customStyle="1" w:styleId="67">
    <w:name w:val="标题 8 Char"/>
    <w:link w:val="9"/>
    <w:qFormat/>
    <w:uiPriority w:val="0"/>
    <w:rPr>
      <w:rFonts w:ascii="Arial" w:hAnsi="Arial" w:eastAsia="黑体"/>
      <w:kern w:val="2"/>
      <w:sz w:val="24"/>
      <w:szCs w:val="24"/>
    </w:rPr>
  </w:style>
  <w:style w:type="character" w:customStyle="1" w:styleId="68">
    <w:name w:val="标题 9 Char"/>
    <w:link w:val="10"/>
    <w:qFormat/>
    <w:uiPriority w:val="0"/>
    <w:rPr>
      <w:rFonts w:ascii="Arial" w:hAnsi="Arial" w:eastAsia="黑体"/>
      <w:kern w:val="2"/>
      <w:sz w:val="24"/>
      <w:szCs w:val="21"/>
    </w:rPr>
  </w:style>
  <w:style w:type="character" w:customStyle="1" w:styleId="69">
    <w:name w:val="正文缩进 Char"/>
    <w:link w:val="12"/>
    <w:qFormat/>
    <w:uiPriority w:val="0"/>
    <w:rPr>
      <w:rFonts w:ascii="仿宋_GB2312" w:eastAsia="仿宋_GB2312"/>
      <w:color w:val="000000"/>
      <w:kern w:val="2"/>
      <w:sz w:val="28"/>
      <w:szCs w:val="24"/>
      <w:lang w:val="en-US" w:eastAsia="zh-CN" w:bidi="ar-SA"/>
    </w:rPr>
  </w:style>
  <w:style w:type="character" w:customStyle="1" w:styleId="70">
    <w:name w:val="文档结构图 Char"/>
    <w:link w:val="14"/>
    <w:semiHidden/>
    <w:qFormat/>
    <w:uiPriority w:val="99"/>
    <w:rPr>
      <w:kern w:val="2"/>
      <w:sz w:val="24"/>
      <w:szCs w:val="24"/>
      <w:shd w:val="clear" w:color="auto" w:fill="000080"/>
    </w:rPr>
  </w:style>
  <w:style w:type="character" w:customStyle="1" w:styleId="71">
    <w:name w:val="批注文字 Char"/>
    <w:link w:val="16"/>
    <w:qFormat/>
    <w:uiPriority w:val="0"/>
    <w:rPr>
      <w:kern w:val="2"/>
      <w:sz w:val="24"/>
      <w:szCs w:val="24"/>
    </w:rPr>
  </w:style>
  <w:style w:type="character" w:customStyle="1" w:styleId="72">
    <w:name w:val="正文文本 3 Char"/>
    <w:link w:val="17"/>
    <w:qFormat/>
    <w:uiPriority w:val="0"/>
    <w:rPr>
      <w:rFonts w:eastAsia="仿宋_GB2312"/>
      <w:kern w:val="2"/>
      <w:sz w:val="28"/>
      <w:szCs w:val="28"/>
    </w:rPr>
  </w:style>
  <w:style w:type="character" w:customStyle="1" w:styleId="73">
    <w:name w:val="正文文本 Char1"/>
    <w:link w:val="19"/>
    <w:qFormat/>
    <w:uiPriority w:val="0"/>
    <w:rPr>
      <w:kern w:val="2"/>
      <w:sz w:val="24"/>
      <w:szCs w:val="24"/>
    </w:rPr>
  </w:style>
  <w:style w:type="character" w:customStyle="1" w:styleId="74">
    <w:name w:val="正文文本缩进 Char1"/>
    <w:link w:val="22"/>
    <w:qFormat/>
    <w:uiPriority w:val="0"/>
    <w:rPr>
      <w:kern w:val="2"/>
      <w:sz w:val="21"/>
      <w:szCs w:val="24"/>
    </w:rPr>
  </w:style>
  <w:style w:type="character" w:customStyle="1" w:styleId="75">
    <w:name w:val="正文首行缩进 2 Char"/>
    <w:basedOn w:val="74"/>
    <w:link w:val="47"/>
    <w:qFormat/>
    <w:uiPriority w:val="0"/>
  </w:style>
  <w:style w:type="character" w:customStyle="1" w:styleId="76">
    <w:name w:val="批注框文本 Char"/>
    <w:link w:val="31"/>
    <w:qFormat/>
    <w:uiPriority w:val="0"/>
    <w:rPr>
      <w:kern w:val="2"/>
      <w:sz w:val="18"/>
      <w:szCs w:val="18"/>
    </w:rPr>
  </w:style>
  <w:style w:type="character" w:customStyle="1" w:styleId="77">
    <w:name w:val="页脚 Char"/>
    <w:link w:val="32"/>
    <w:qFormat/>
    <w:uiPriority w:val="0"/>
    <w:rPr>
      <w:kern w:val="2"/>
      <w:sz w:val="18"/>
      <w:szCs w:val="18"/>
    </w:rPr>
  </w:style>
  <w:style w:type="character" w:customStyle="1" w:styleId="78">
    <w:name w:val="页眉 Char"/>
    <w:link w:val="33"/>
    <w:qFormat/>
    <w:uiPriority w:val="0"/>
    <w:rPr>
      <w:rFonts w:eastAsia="宋体"/>
      <w:kern w:val="2"/>
      <w:sz w:val="18"/>
      <w:szCs w:val="18"/>
      <w:lang w:val="en-US" w:eastAsia="zh-CN" w:bidi="ar-SA"/>
    </w:rPr>
  </w:style>
  <w:style w:type="character" w:customStyle="1" w:styleId="79">
    <w:name w:val="正文文本缩进 3 Char"/>
    <w:link w:val="38"/>
    <w:qFormat/>
    <w:uiPriority w:val="0"/>
    <w:rPr>
      <w:kern w:val="2"/>
      <w:sz w:val="16"/>
      <w:szCs w:val="16"/>
    </w:rPr>
  </w:style>
  <w:style w:type="character" w:customStyle="1" w:styleId="80">
    <w:name w:val="正文文本 2 Char"/>
    <w:link w:val="41"/>
    <w:qFormat/>
    <w:uiPriority w:val="0"/>
    <w:rPr>
      <w:rFonts w:ascii="Calibri" w:hAnsi="Calibri"/>
      <w:bCs/>
      <w:color w:val="000000"/>
      <w:kern w:val="2"/>
      <w:sz w:val="21"/>
      <w:szCs w:val="24"/>
    </w:rPr>
  </w:style>
  <w:style w:type="character" w:customStyle="1" w:styleId="81">
    <w:name w:val="HTML 预设格式 Char"/>
    <w:link w:val="42"/>
    <w:qFormat/>
    <w:uiPriority w:val="0"/>
    <w:rPr>
      <w:rFonts w:ascii="Courier New" w:hAnsi="Courier New" w:cs="Courier New"/>
      <w:kern w:val="2"/>
    </w:rPr>
  </w:style>
  <w:style w:type="character" w:customStyle="1" w:styleId="82">
    <w:name w:val="标题 Char"/>
    <w:link w:val="44"/>
    <w:qFormat/>
    <w:uiPriority w:val="0"/>
    <w:rPr>
      <w:rFonts w:ascii="Arial" w:hAnsi="Arial" w:cs="Arial"/>
      <w:b/>
      <w:bCs/>
      <w:kern w:val="2"/>
      <w:sz w:val="24"/>
      <w:szCs w:val="32"/>
    </w:rPr>
  </w:style>
  <w:style w:type="character" w:customStyle="1" w:styleId="83">
    <w:name w:val="正文首行缩进 Char"/>
    <w:basedOn w:val="73"/>
    <w:link w:val="46"/>
    <w:qFormat/>
    <w:uiPriority w:val="0"/>
  </w:style>
  <w:style w:type="paragraph" w:customStyle="1" w:styleId="84">
    <w:name w:val="k正文"/>
    <w:basedOn w:val="1"/>
    <w:qFormat/>
    <w:uiPriority w:val="0"/>
    <w:pPr>
      <w:adjustRightInd w:val="0"/>
      <w:snapToGrid w:val="0"/>
      <w:spacing w:line="360" w:lineRule="auto"/>
      <w:ind w:firstLine="539"/>
    </w:pPr>
    <w:rPr>
      <w:rFonts w:eastAsia="仿宋_GB2312"/>
      <w:sz w:val="28"/>
      <w:szCs w:val="20"/>
    </w:rPr>
  </w:style>
  <w:style w:type="paragraph" w:customStyle="1" w:styleId="85">
    <w:name w:val="标号正文"/>
    <w:basedOn w:val="1"/>
    <w:next w:val="1"/>
    <w:qFormat/>
    <w:uiPriority w:val="0"/>
    <w:pPr>
      <w:tabs>
        <w:tab w:val="left" w:pos="1540"/>
      </w:tabs>
      <w:overflowPunct w:val="0"/>
      <w:snapToGrid w:val="0"/>
      <w:spacing w:line="360" w:lineRule="auto"/>
      <w:ind w:left="0" w:firstLine="1040"/>
      <w:jc w:val="left"/>
    </w:pPr>
    <w:rPr>
      <w:rFonts w:ascii="Arial" w:hAnsi="Arial" w:eastAsia="宋体"/>
      <w:sz w:val="24"/>
      <w:szCs w:val="20"/>
    </w:rPr>
  </w:style>
  <w:style w:type="character" w:customStyle="1" w:styleId="86">
    <w:name w:val="postbody1"/>
    <w:qFormat/>
    <w:uiPriority w:val="0"/>
    <w:rPr>
      <w:sz w:val="21"/>
      <w:szCs w:val="21"/>
    </w:rPr>
  </w:style>
  <w:style w:type="character" w:customStyle="1" w:styleId="87">
    <w:name w:val="znspantitle"/>
    <w:basedOn w:val="51"/>
    <w:qFormat/>
    <w:uiPriority w:val="0"/>
    <w:rPr>
      <w:b/>
      <w:color w:val="333333"/>
    </w:rPr>
  </w:style>
  <w:style w:type="character" w:customStyle="1" w:styleId="88">
    <w:name w:val="表格 Char1"/>
    <w:link w:val="89"/>
    <w:qFormat/>
    <w:uiPriority w:val="0"/>
    <w:rPr>
      <w:rFonts w:eastAsia="仿宋_GB2312"/>
      <w:kern w:val="2"/>
      <w:sz w:val="21"/>
    </w:rPr>
  </w:style>
  <w:style w:type="paragraph" w:customStyle="1" w:styleId="89">
    <w:name w:val="表格"/>
    <w:basedOn w:val="1"/>
    <w:link w:val="88"/>
    <w:qFormat/>
    <w:uiPriority w:val="0"/>
    <w:pPr>
      <w:adjustRightInd w:val="0"/>
      <w:snapToGrid w:val="0"/>
      <w:spacing w:line="240" w:lineRule="atLeast"/>
      <w:ind w:firstLine="0" w:firstLineChars="0"/>
      <w:jc w:val="center"/>
    </w:pPr>
    <w:rPr>
      <w:rFonts w:eastAsia="仿宋_GB2312"/>
      <w:sz w:val="21"/>
      <w:szCs w:val="20"/>
    </w:rPr>
  </w:style>
  <w:style w:type="character" w:customStyle="1" w:styleId="90">
    <w:name w:val="fontstyle21"/>
    <w:qFormat/>
    <w:uiPriority w:val="0"/>
    <w:rPr>
      <w:rFonts w:hint="default" w:ascii="TimesNewRomanPSMT" w:hAnsi="TimesNewRomanPSMT"/>
      <w:color w:val="000000"/>
      <w:sz w:val="24"/>
      <w:szCs w:val="24"/>
    </w:rPr>
  </w:style>
  <w:style w:type="character" w:customStyle="1" w:styleId="91">
    <w:name w:val="t_tag"/>
    <w:basedOn w:val="51"/>
    <w:qFormat/>
    <w:uiPriority w:val="0"/>
  </w:style>
  <w:style w:type="character" w:customStyle="1" w:styleId="92">
    <w:name w:val="px14"/>
    <w:basedOn w:val="51"/>
    <w:qFormat/>
    <w:uiPriority w:val="0"/>
  </w:style>
  <w:style w:type="character" w:customStyle="1" w:styleId="93">
    <w:name w:val=" Char Char9"/>
    <w:qFormat/>
    <w:uiPriority w:val="0"/>
    <w:rPr>
      <w:rFonts w:ascii="Arial" w:hAnsi="Arial" w:eastAsia="黑体"/>
      <w:b/>
      <w:sz w:val="28"/>
      <w:lang w:val="en-US" w:eastAsia="zh-CN" w:bidi="ar-SA"/>
    </w:rPr>
  </w:style>
  <w:style w:type="character" w:customStyle="1" w:styleId="94">
    <w:name w:val="font51"/>
    <w:basedOn w:val="51"/>
    <w:qFormat/>
    <w:uiPriority w:val="0"/>
    <w:rPr>
      <w:rFonts w:hint="default" w:ascii="Times New Roman" w:hAnsi="Times New Roman" w:cs="Times New Roman"/>
      <w:color w:val="000000"/>
      <w:sz w:val="21"/>
      <w:szCs w:val="21"/>
      <w:u w:val="none"/>
    </w:rPr>
  </w:style>
  <w:style w:type="character" w:customStyle="1" w:styleId="95">
    <w:name w:val="wz"/>
    <w:basedOn w:val="51"/>
    <w:qFormat/>
    <w:uiPriority w:val="0"/>
  </w:style>
  <w:style w:type="character" w:customStyle="1" w:styleId="96">
    <w:name w:val="style11"/>
    <w:qFormat/>
    <w:uiPriority w:val="0"/>
    <w:rPr>
      <w:color w:val="FF0000"/>
    </w:rPr>
  </w:style>
  <w:style w:type="character" w:customStyle="1" w:styleId="97">
    <w:name w:val="表格内文字 Char"/>
    <w:link w:val="98"/>
    <w:qFormat/>
    <w:uiPriority w:val="0"/>
    <w:rPr>
      <w:rFonts w:eastAsia="仿宋_GB2312"/>
      <w:kern w:val="2"/>
      <w:sz w:val="24"/>
      <w:szCs w:val="24"/>
    </w:rPr>
  </w:style>
  <w:style w:type="paragraph" w:customStyle="1" w:styleId="98">
    <w:name w:val="表格内文字"/>
    <w:basedOn w:val="1"/>
    <w:link w:val="97"/>
    <w:qFormat/>
    <w:uiPriority w:val="0"/>
    <w:pPr>
      <w:tabs>
        <w:tab w:val="left" w:pos="0"/>
      </w:tabs>
      <w:adjustRightInd w:val="0"/>
      <w:snapToGrid w:val="0"/>
      <w:spacing w:line="240" w:lineRule="auto"/>
      <w:ind w:firstLine="0" w:firstLineChars="0"/>
      <w:jc w:val="center"/>
    </w:pPr>
    <w:rPr>
      <w:rFonts w:eastAsia="仿宋_GB2312"/>
    </w:rPr>
  </w:style>
  <w:style w:type="character" w:customStyle="1" w:styleId="99">
    <w:name w:val="中文报告书样式 Char1"/>
    <w:link w:val="100"/>
    <w:qFormat/>
    <w:uiPriority w:val="0"/>
    <w:rPr>
      <w:rFonts w:eastAsia="宋体"/>
      <w:kern w:val="24"/>
      <w:sz w:val="24"/>
      <w:lang w:val="en-US" w:eastAsia="zh-CN" w:bidi="ar-SA"/>
    </w:rPr>
  </w:style>
  <w:style w:type="paragraph" w:customStyle="1" w:styleId="100">
    <w:name w:val="中文报告书样式"/>
    <w:basedOn w:val="1"/>
    <w:link w:val="99"/>
    <w:qFormat/>
    <w:uiPriority w:val="0"/>
    <w:pPr>
      <w:adjustRightInd w:val="0"/>
      <w:spacing w:line="480" w:lineRule="atLeast"/>
      <w:ind w:firstLine="482" w:firstLineChars="0"/>
      <w:textAlignment w:val="baseline"/>
    </w:pPr>
    <w:rPr>
      <w:kern w:val="24"/>
      <w:szCs w:val="20"/>
    </w:rPr>
  </w:style>
  <w:style w:type="character" w:customStyle="1" w:styleId="101">
    <w:name w:val=" Char Char Char Char Char Char Char Char Char Char Char Char Char Char Char Char Char Char Char Cha Char Char"/>
    <w:qFormat/>
    <w:uiPriority w:val="0"/>
    <w:rPr>
      <w:rFonts w:ascii="宋体" w:hAnsi="宋体" w:eastAsia="宋体"/>
      <w:color w:val="000000"/>
      <w:kern w:val="2"/>
      <w:sz w:val="28"/>
      <w:szCs w:val="24"/>
      <w:lang w:val="en-US" w:eastAsia="zh-CN" w:bidi="ar-SA"/>
    </w:rPr>
  </w:style>
  <w:style w:type="character" w:customStyle="1" w:styleId="102">
    <w:name w:val="lishishuju"/>
    <w:basedOn w:val="51"/>
    <w:qFormat/>
    <w:uiPriority w:val="0"/>
    <w:rPr>
      <w:b/>
      <w:color w:val="000052"/>
      <w:sz w:val="24"/>
      <w:szCs w:val="24"/>
      <w:bdr w:val="single" w:color="E3E3E3" w:sz="6" w:space="0"/>
    </w:rPr>
  </w:style>
  <w:style w:type="character" w:customStyle="1" w:styleId="103">
    <w:name w:val=" Char Char7"/>
    <w:qFormat/>
    <w:uiPriority w:val="0"/>
    <w:rPr>
      <w:rFonts w:eastAsia="宋体"/>
      <w:kern w:val="2"/>
      <w:sz w:val="18"/>
      <w:szCs w:val="18"/>
      <w:lang w:val="en-US" w:eastAsia="zh-CN" w:bidi="ar-SA"/>
    </w:rPr>
  </w:style>
  <w:style w:type="character" w:customStyle="1" w:styleId="104">
    <w:name w:val="font71"/>
    <w:basedOn w:val="51"/>
    <w:qFormat/>
    <w:uiPriority w:val="0"/>
    <w:rPr>
      <w:rFonts w:hint="eastAsia" w:ascii="宋体" w:hAnsi="宋体" w:eastAsia="宋体" w:cs="宋体"/>
      <w:color w:val="000000"/>
      <w:sz w:val="24"/>
      <w:szCs w:val="24"/>
      <w:u w:val="none"/>
      <w:vertAlign w:val="subscript"/>
    </w:rPr>
  </w:style>
  <w:style w:type="character" w:customStyle="1" w:styleId="105">
    <w:name w:val="text-131"/>
    <w:qFormat/>
    <w:uiPriority w:val="0"/>
    <w:rPr>
      <w:rFonts w:hint="default" w:ascii="ˎ̥" w:hAnsi="ˎ̥"/>
      <w:color w:val="333333"/>
      <w:sz w:val="18"/>
      <w:szCs w:val="18"/>
    </w:rPr>
  </w:style>
  <w:style w:type="character" w:customStyle="1" w:styleId="106">
    <w:name w:val="contentwordstext1"/>
    <w:qFormat/>
    <w:uiPriority w:val="0"/>
    <w:rPr>
      <w:rFonts w:hint="default" w:ascii="_x000B__x000C_" w:hAnsi="_x000B__x000C_"/>
      <w:sz w:val="21"/>
      <w:szCs w:val="21"/>
    </w:rPr>
  </w:style>
  <w:style w:type="character" w:customStyle="1" w:styleId="107">
    <w:name w:val="font61"/>
    <w:basedOn w:val="51"/>
    <w:qFormat/>
    <w:uiPriority w:val="0"/>
    <w:rPr>
      <w:rFonts w:hint="eastAsia" w:ascii="宋体" w:hAnsi="宋体" w:eastAsia="宋体" w:cs="宋体"/>
      <w:color w:val="000000"/>
      <w:sz w:val="24"/>
      <w:szCs w:val="24"/>
      <w:u w:val="none"/>
    </w:rPr>
  </w:style>
  <w:style w:type="character" w:customStyle="1" w:styleId="108">
    <w:name w:val="正文AAA Char"/>
    <w:link w:val="109"/>
    <w:qFormat/>
    <w:uiPriority w:val="0"/>
    <w:rPr>
      <w:rFonts w:ascii="宋体" w:hAnsi="宋体" w:cs="宋体"/>
      <w:kern w:val="2"/>
      <w:sz w:val="24"/>
    </w:rPr>
  </w:style>
  <w:style w:type="paragraph" w:customStyle="1" w:styleId="109">
    <w:name w:val="正文AAA"/>
    <w:basedOn w:val="1"/>
    <w:link w:val="108"/>
    <w:qFormat/>
    <w:uiPriority w:val="0"/>
    <w:pPr>
      <w:ind w:firstLine="480"/>
    </w:pPr>
    <w:rPr>
      <w:rFonts w:ascii="宋体" w:hAnsi="宋体" w:cs="宋体"/>
      <w:szCs w:val="20"/>
    </w:rPr>
  </w:style>
  <w:style w:type="character" w:customStyle="1" w:styleId="110">
    <w:name w:val="1.1.1.1标题四 Char"/>
    <w:qFormat/>
    <w:uiPriority w:val="0"/>
    <w:rPr>
      <w:rFonts w:ascii="Arial" w:hAnsi="Arial" w:eastAsia="宋体"/>
      <w:b/>
      <w:bCs/>
      <w:kern w:val="2"/>
      <w:sz w:val="28"/>
      <w:szCs w:val="28"/>
      <w:lang w:val="en-US" w:eastAsia="zh-CN" w:bidi="ar-SA"/>
    </w:rPr>
  </w:style>
  <w:style w:type="character" w:customStyle="1" w:styleId="111">
    <w:name w:val="txt1"/>
    <w:qFormat/>
    <w:uiPriority w:val="0"/>
    <w:rPr>
      <w:color w:val="000000"/>
      <w:sz w:val="21"/>
      <w:szCs w:val="21"/>
    </w:rPr>
  </w:style>
  <w:style w:type="character" w:customStyle="1" w:styleId="112">
    <w:name w:val="注释 Char"/>
    <w:link w:val="113"/>
    <w:qFormat/>
    <w:uiPriority w:val="0"/>
    <w:rPr>
      <w:rFonts w:ascii="宋体" w:eastAsia="仿宋_GB2312" w:cs="宋体"/>
      <w:snapToGrid w:val="0"/>
      <w:spacing w:val="4"/>
      <w:sz w:val="24"/>
    </w:rPr>
  </w:style>
  <w:style w:type="paragraph" w:customStyle="1" w:styleId="113">
    <w:name w:val="注释"/>
    <w:basedOn w:val="1"/>
    <w:link w:val="112"/>
    <w:qFormat/>
    <w:uiPriority w:val="0"/>
    <w:pPr>
      <w:adjustRightInd w:val="0"/>
      <w:spacing w:before="156" w:beforeLines="50" w:line="240" w:lineRule="auto"/>
      <w:ind w:firstLine="0"/>
      <w:textAlignment w:val="baseline"/>
    </w:pPr>
    <w:rPr>
      <w:rFonts w:ascii="宋体" w:eastAsia="仿宋_GB2312" w:cs="宋体"/>
      <w:snapToGrid w:val="0"/>
      <w:spacing w:val="4"/>
      <w:kern w:val="0"/>
      <w:szCs w:val="20"/>
    </w:rPr>
  </w:style>
  <w:style w:type="character" w:customStyle="1" w:styleId="114">
    <w:name w:val="11p1"/>
    <w:qFormat/>
    <w:uiPriority w:val="0"/>
    <w:rPr>
      <w:sz w:val="23"/>
      <w:szCs w:val="23"/>
    </w:rPr>
  </w:style>
  <w:style w:type="character" w:customStyle="1" w:styleId="115">
    <w:name w:val="标题 1 Char Char"/>
    <w:qFormat/>
    <w:uiPriority w:val="0"/>
    <w:rPr>
      <w:rFonts w:eastAsia="宋体"/>
      <w:b/>
      <w:bCs/>
      <w:kern w:val="44"/>
      <w:sz w:val="44"/>
      <w:szCs w:val="44"/>
      <w:lang w:val="en-US" w:eastAsia="zh-CN" w:bidi="ar-SA"/>
    </w:rPr>
  </w:style>
  <w:style w:type="character" w:customStyle="1" w:styleId="116">
    <w:name w:val="正文缩进：2字符 Char"/>
    <w:link w:val="117"/>
    <w:qFormat/>
    <w:uiPriority w:val="0"/>
    <w:rPr>
      <w:rFonts w:ascii="宋体" w:hAnsi="宋体" w:cs="宋体"/>
      <w:kern w:val="2"/>
      <w:sz w:val="28"/>
    </w:rPr>
  </w:style>
  <w:style w:type="paragraph" w:customStyle="1" w:styleId="117">
    <w:name w:val="正文缩进：2字符"/>
    <w:basedOn w:val="1"/>
    <w:link w:val="116"/>
    <w:qFormat/>
    <w:uiPriority w:val="0"/>
    <w:pPr>
      <w:spacing w:line="360" w:lineRule="auto"/>
      <w:ind w:firstLine="560"/>
    </w:pPr>
    <w:rPr>
      <w:rFonts w:ascii="宋体" w:hAnsi="宋体" w:cs="宋体"/>
      <w:sz w:val="28"/>
      <w:szCs w:val="20"/>
    </w:rPr>
  </w:style>
  <w:style w:type="character" w:customStyle="1" w:styleId="118">
    <w:name w:val="font11"/>
    <w:basedOn w:val="51"/>
    <w:qFormat/>
    <w:uiPriority w:val="0"/>
    <w:rPr>
      <w:rFonts w:hint="default" w:ascii="Times New Roman" w:hAnsi="Times New Roman" w:cs="Times New Roman"/>
      <w:color w:val="000000"/>
      <w:sz w:val="20"/>
      <w:szCs w:val="20"/>
      <w:u w:val="none"/>
      <w:vertAlign w:val="superscript"/>
    </w:rPr>
  </w:style>
  <w:style w:type="character" w:customStyle="1" w:styleId="119">
    <w:name w:val="radio-btn2"/>
    <w:basedOn w:val="51"/>
    <w:qFormat/>
    <w:uiPriority w:val="0"/>
    <w:rPr>
      <w:sz w:val="24"/>
      <w:szCs w:val="24"/>
    </w:rPr>
  </w:style>
  <w:style w:type="character" w:customStyle="1" w:styleId="120">
    <w:name w:val="font01"/>
    <w:basedOn w:val="51"/>
    <w:qFormat/>
    <w:uiPriority w:val="0"/>
    <w:rPr>
      <w:rFonts w:hint="default" w:ascii="Times New Roman" w:hAnsi="Times New Roman" w:cs="Times New Roman"/>
      <w:color w:val="000000"/>
      <w:sz w:val="21"/>
      <w:szCs w:val="21"/>
      <w:u w:val="none"/>
      <w:vertAlign w:val="subscript"/>
    </w:rPr>
  </w:style>
  <w:style w:type="character" w:customStyle="1" w:styleId="121">
    <w:name w:val="正文文字 Char"/>
    <w:qFormat/>
    <w:uiPriority w:val="0"/>
    <w:rPr>
      <w:rFonts w:eastAsia="宋体"/>
      <w:kern w:val="2"/>
      <w:sz w:val="24"/>
      <w:lang w:val="en-US" w:eastAsia="zh-CN" w:bidi="ar-SA"/>
    </w:rPr>
  </w:style>
  <w:style w:type="character" w:customStyle="1" w:styleId="122">
    <w:name w:val="表格 Char"/>
    <w:qFormat/>
    <w:uiPriority w:val="0"/>
    <w:rPr>
      <w:rFonts w:eastAsia="宋体"/>
      <w:kern w:val="2"/>
      <w:sz w:val="21"/>
      <w:lang w:val="en-US" w:eastAsia="zh-CN" w:bidi="ar-SA"/>
    </w:rPr>
  </w:style>
  <w:style w:type="character" w:customStyle="1" w:styleId="123">
    <w:name w:val="正文01 Char1"/>
    <w:link w:val="124"/>
    <w:qFormat/>
    <w:uiPriority w:val="0"/>
    <w:rPr>
      <w:bCs/>
      <w:kern w:val="2"/>
      <w:sz w:val="24"/>
      <w:szCs w:val="24"/>
    </w:rPr>
  </w:style>
  <w:style w:type="paragraph" w:customStyle="1" w:styleId="124">
    <w:name w:val="正文01"/>
    <w:basedOn w:val="1"/>
    <w:link w:val="123"/>
    <w:qFormat/>
    <w:uiPriority w:val="0"/>
    <w:pPr>
      <w:spacing w:before="60" w:line="460" w:lineRule="exact"/>
    </w:pPr>
    <w:rPr>
      <w:bCs/>
    </w:rPr>
  </w:style>
  <w:style w:type="character" w:customStyle="1" w:styleId="125">
    <w:name w:val="fontstyle01"/>
    <w:qFormat/>
    <w:uiPriority w:val="0"/>
    <w:rPr>
      <w:rFonts w:hint="eastAsia" w:ascii="宋体" w:hAnsi="宋体" w:eastAsia="宋体"/>
      <w:color w:val="000000"/>
      <w:sz w:val="24"/>
      <w:szCs w:val="24"/>
    </w:rPr>
  </w:style>
  <w:style w:type="character" w:customStyle="1" w:styleId="126">
    <w:name w:val="君邦正文 Char"/>
    <w:link w:val="127"/>
    <w:qFormat/>
    <w:uiPriority w:val="0"/>
    <w:rPr>
      <w:kern w:val="2"/>
      <w:sz w:val="21"/>
      <w:szCs w:val="21"/>
      <w:lang w:val="en-US" w:eastAsia="zh-CN" w:bidi="ar-SA"/>
    </w:rPr>
  </w:style>
  <w:style w:type="paragraph" w:customStyle="1" w:styleId="127">
    <w:name w:val="君邦正文"/>
    <w:link w:val="126"/>
    <w:qFormat/>
    <w:uiPriority w:val="0"/>
    <w:pPr>
      <w:snapToGrid w:val="0"/>
      <w:spacing w:line="360" w:lineRule="auto"/>
      <w:jc w:val="center"/>
    </w:pPr>
    <w:rPr>
      <w:rFonts w:ascii="Times New Roman" w:hAnsi="Times New Roman" w:eastAsia="宋体" w:cs="Times New Roman"/>
      <w:kern w:val="2"/>
      <w:sz w:val="21"/>
      <w:szCs w:val="21"/>
      <w:lang w:val="en-US" w:eastAsia="zh-CN" w:bidi="ar-SA"/>
    </w:rPr>
  </w:style>
  <w:style w:type="character" w:customStyle="1" w:styleId="128">
    <w:name w:val="cur1"/>
    <w:basedOn w:val="51"/>
    <w:qFormat/>
    <w:uiPriority w:val="0"/>
    <w:rPr>
      <w:color w:val="FFFFFF"/>
      <w:shd w:val="clear" w:color="auto" w:fill="2F6B98"/>
    </w:rPr>
  </w:style>
  <w:style w:type="character" w:customStyle="1" w:styleId="129">
    <w:name w:val="表格标题新 Char"/>
    <w:basedOn w:val="97"/>
    <w:link w:val="130"/>
    <w:qFormat/>
    <w:uiPriority w:val="0"/>
  </w:style>
  <w:style w:type="paragraph" w:customStyle="1" w:styleId="130">
    <w:name w:val="表格标题新"/>
    <w:basedOn w:val="98"/>
    <w:link w:val="129"/>
    <w:qFormat/>
    <w:uiPriority w:val="0"/>
  </w:style>
  <w:style w:type="character" w:customStyle="1" w:styleId="131">
    <w:name w:val="标题 4 Char Char"/>
    <w:qFormat/>
    <w:uiPriority w:val="0"/>
    <w:rPr>
      <w:rFonts w:eastAsia="宋体"/>
      <w:b/>
      <w:bCs/>
      <w:kern w:val="2"/>
      <w:sz w:val="24"/>
      <w:szCs w:val="28"/>
      <w:lang w:val="en-US" w:eastAsia="zh-CN" w:bidi="ar-SA"/>
    </w:rPr>
  </w:style>
  <w:style w:type="character" w:customStyle="1" w:styleId="132">
    <w:name w:val="font41"/>
    <w:basedOn w:val="51"/>
    <w:qFormat/>
    <w:uiPriority w:val="0"/>
    <w:rPr>
      <w:rFonts w:hint="default" w:ascii="Times New Roman" w:hAnsi="Times New Roman" w:cs="Times New Roman"/>
      <w:color w:val="000000"/>
      <w:sz w:val="20"/>
      <w:szCs w:val="20"/>
      <w:u w:val="none"/>
    </w:rPr>
  </w:style>
  <w:style w:type="character" w:customStyle="1" w:styleId="133">
    <w:name w:val="t_blue_011"/>
    <w:qFormat/>
    <w:uiPriority w:val="0"/>
    <w:rPr>
      <w:rFonts w:hint="default" w:ascii="_x001A_" w:hAnsi="_x001A_"/>
      <w:color w:val="4A81B5"/>
      <w:sz w:val="27"/>
      <w:szCs w:val="27"/>
    </w:rPr>
  </w:style>
  <w:style w:type="character" w:customStyle="1" w:styleId="134">
    <w:name w:val="font21"/>
    <w:basedOn w:val="51"/>
    <w:qFormat/>
    <w:uiPriority w:val="0"/>
    <w:rPr>
      <w:rFonts w:hint="eastAsia" w:ascii="宋体" w:hAnsi="宋体" w:eastAsia="宋体" w:cs="宋体"/>
      <w:color w:val="000000"/>
      <w:sz w:val="20"/>
      <w:szCs w:val="20"/>
      <w:u w:val="none"/>
    </w:rPr>
  </w:style>
  <w:style w:type="character" w:customStyle="1" w:styleId="135">
    <w:name w:val="正文文字缩进 3 Char"/>
    <w:qFormat/>
    <w:uiPriority w:val="0"/>
    <w:rPr>
      <w:rFonts w:ascii="宋体" w:hAnsi="宋体" w:eastAsia="宋体"/>
      <w:color w:val="000000"/>
      <w:kern w:val="2"/>
      <w:sz w:val="28"/>
      <w:szCs w:val="24"/>
      <w:lang w:val="en-US" w:eastAsia="zh-CN" w:bidi="ar-SA"/>
    </w:rPr>
  </w:style>
  <w:style w:type="character" w:customStyle="1" w:styleId="136">
    <w:name w:val="2级标题 Char"/>
    <w:link w:val="137"/>
    <w:qFormat/>
    <w:uiPriority w:val="0"/>
    <w:rPr>
      <w:rFonts w:ascii="黑体" w:hAnsi="Arial" w:eastAsia="黑体"/>
      <w:kern w:val="2"/>
      <w:sz w:val="28"/>
      <w:szCs w:val="28"/>
    </w:rPr>
  </w:style>
  <w:style w:type="paragraph" w:customStyle="1" w:styleId="137">
    <w:name w:val="2级标题"/>
    <w:basedOn w:val="4"/>
    <w:link w:val="136"/>
    <w:qFormat/>
    <w:uiPriority w:val="0"/>
    <w:pPr>
      <w:keepNext w:val="0"/>
      <w:keepLines w:val="0"/>
      <w:numPr>
        <w:ilvl w:val="1"/>
        <w:numId w:val="0"/>
      </w:numPr>
      <w:tabs>
        <w:tab w:val="left" w:pos="3564"/>
      </w:tabs>
      <w:spacing w:before="0" w:after="0"/>
    </w:pPr>
    <w:rPr>
      <w:rFonts w:ascii="黑体" w:hAnsi="Arial" w:eastAsia="黑体"/>
      <w:b w:val="0"/>
      <w:bCs w:val="0"/>
      <w:szCs w:val="28"/>
    </w:rPr>
  </w:style>
  <w:style w:type="character" w:customStyle="1" w:styleId="138">
    <w:name w:val="font81"/>
    <w:basedOn w:val="51"/>
    <w:qFormat/>
    <w:uiPriority w:val="0"/>
    <w:rPr>
      <w:rFonts w:hint="eastAsia" w:ascii="宋体" w:hAnsi="宋体" w:eastAsia="宋体" w:cs="宋体"/>
      <w:color w:val="000000"/>
      <w:sz w:val="24"/>
      <w:szCs w:val="24"/>
      <w:u w:val="none"/>
    </w:rPr>
  </w:style>
  <w:style w:type="character" w:customStyle="1" w:styleId="139">
    <w:name w:val="aspmaker1"/>
    <w:qFormat/>
    <w:uiPriority w:val="0"/>
    <w:rPr>
      <w:sz w:val="20"/>
    </w:rPr>
  </w:style>
  <w:style w:type="character" w:customStyle="1" w:styleId="140">
    <w:name w:val=" Char Char4"/>
    <w:qFormat/>
    <w:uiPriority w:val="0"/>
    <w:rPr>
      <w:sz w:val="18"/>
      <w:szCs w:val="18"/>
    </w:rPr>
  </w:style>
  <w:style w:type="character" w:customStyle="1" w:styleId="141">
    <w:name w:val="font31"/>
    <w:basedOn w:val="51"/>
    <w:qFormat/>
    <w:uiPriority w:val="0"/>
    <w:rPr>
      <w:rFonts w:hint="default" w:ascii="Times New Roman" w:hAnsi="Times New Roman" w:cs="Times New Roman"/>
      <w:color w:val="000000"/>
      <w:sz w:val="21"/>
      <w:szCs w:val="21"/>
      <w:u w:val="none"/>
    </w:rPr>
  </w:style>
  <w:style w:type="character" w:customStyle="1" w:styleId="142">
    <w:name w:val="正文文本缩进 Char"/>
    <w:qFormat/>
    <w:uiPriority w:val="0"/>
    <w:rPr>
      <w:rFonts w:eastAsia="宋体"/>
      <w:kern w:val="2"/>
      <w:sz w:val="21"/>
      <w:szCs w:val="24"/>
      <w:lang w:val="en-US" w:eastAsia="zh-CN" w:bidi="ar-SA"/>
    </w:rPr>
  </w:style>
  <w:style w:type="character" w:customStyle="1" w:styleId="143">
    <w:name w:val="my Char"/>
    <w:link w:val="144"/>
    <w:qFormat/>
    <w:uiPriority w:val="0"/>
    <w:rPr>
      <w:sz w:val="24"/>
      <w:szCs w:val="24"/>
      <w:lang w:val="en-US" w:eastAsia="zh-CN" w:bidi="ar-SA"/>
    </w:rPr>
  </w:style>
  <w:style w:type="paragraph" w:customStyle="1" w:styleId="144">
    <w:name w:val="my"/>
    <w:link w:val="143"/>
    <w:qFormat/>
    <w:uiPriority w:val="0"/>
    <w:pPr>
      <w:widowControl w:val="0"/>
      <w:spacing w:before="60" w:line="460" w:lineRule="exact"/>
      <w:ind w:firstLine="200" w:firstLineChars="200"/>
    </w:pPr>
    <w:rPr>
      <w:rFonts w:ascii="Times New Roman" w:hAnsi="Times New Roman" w:eastAsia="宋体" w:cs="Times New Roman"/>
      <w:sz w:val="24"/>
      <w:szCs w:val="24"/>
      <w:lang w:val="en-US" w:eastAsia="zh-CN" w:bidi="ar-SA"/>
    </w:rPr>
  </w:style>
  <w:style w:type="character" w:customStyle="1" w:styleId="145">
    <w:name w:val=" Char Char8"/>
    <w:qFormat/>
    <w:uiPriority w:val="0"/>
    <w:rPr>
      <w:rFonts w:eastAsia="宋体"/>
      <w:kern w:val="2"/>
      <w:sz w:val="18"/>
      <w:lang w:val="en-US" w:eastAsia="zh-CN" w:bidi="ar-SA"/>
    </w:rPr>
  </w:style>
  <w:style w:type="character" w:customStyle="1" w:styleId="146">
    <w:name w:val="百大正文 Char"/>
    <w:link w:val="147"/>
    <w:qFormat/>
    <w:uiPriority w:val="0"/>
    <w:rPr>
      <w:rFonts w:ascii="宋体" w:hAnsi="宋体" w:cs="宋体"/>
      <w:kern w:val="2"/>
      <w:sz w:val="28"/>
    </w:rPr>
  </w:style>
  <w:style w:type="paragraph" w:customStyle="1" w:styleId="147">
    <w:name w:val="百大正文"/>
    <w:basedOn w:val="1"/>
    <w:link w:val="146"/>
    <w:qFormat/>
    <w:uiPriority w:val="0"/>
    <w:pPr>
      <w:spacing w:line="560" w:lineRule="exact"/>
      <w:ind w:firstLine="560"/>
    </w:pPr>
    <w:rPr>
      <w:rFonts w:ascii="宋体" w:hAnsi="宋体" w:cs="宋体"/>
      <w:sz w:val="28"/>
      <w:szCs w:val="20"/>
    </w:rPr>
  </w:style>
  <w:style w:type="character" w:customStyle="1" w:styleId="148">
    <w:name w:val="表格标题＋单位 Char"/>
    <w:link w:val="149"/>
    <w:qFormat/>
    <w:uiPriority w:val="0"/>
    <w:rPr>
      <w:rFonts w:eastAsia="宋体"/>
      <w:b/>
      <w:kern w:val="2"/>
      <w:sz w:val="24"/>
      <w:szCs w:val="24"/>
      <w:lang w:val="en-US" w:eastAsia="zh-CN" w:bidi="ar-SA"/>
    </w:rPr>
  </w:style>
  <w:style w:type="paragraph" w:customStyle="1" w:styleId="149">
    <w:name w:val="表格标题＋单位"/>
    <w:basedOn w:val="1"/>
    <w:link w:val="148"/>
    <w:qFormat/>
    <w:uiPriority w:val="0"/>
    <w:pPr>
      <w:wordWrap w:val="0"/>
      <w:ind w:firstLine="0" w:firstLineChars="0"/>
      <w:jc w:val="right"/>
    </w:pPr>
    <w:rPr>
      <w:b/>
    </w:rPr>
  </w:style>
  <w:style w:type="character" w:customStyle="1" w:styleId="150">
    <w:name w:val="radio-btn"/>
    <w:basedOn w:val="51"/>
    <w:qFormat/>
    <w:uiPriority w:val="0"/>
    <w:rPr>
      <w:sz w:val="21"/>
      <w:szCs w:val="21"/>
    </w:rPr>
  </w:style>
  <w:style w:type="character" w:customStyle="1" w:styleId="151">
    <w:name w:val="radio-btn1"/>
    <w:basedOn w:val="51"/>
    <w:qFormat/>
    <w:uiPriority w:val="0"/>
    <w:rPr>
      <w:sz w:val="24"/>
      <w:szCs w:val="24"/>
    </w:rPr>
  </w:style>
  <w:style w:type="character" w:customStyle="1" w:styleId="152">
    <w:name w:val="apple-converted-space"/>
    <w:basedOn w:val="51"/>
    <w:qFormat/>
    <w:uiPriority w:val="0"/>
  </w:style>
  <w:style w:type="character" w:customStyle="1" w:styleId="153">
    <w:name w:val="lable"/>
    <w:basedOn w:val="51"/>
    <w:qFormat/>
    <w:uiPriority w:val="0"/>
    <w:rPr>
      <w:sz w:val="24"/>
      <w:szCs w:val="24"/>
    </w:rPr>
  </w:style>
  <w:style w:type="character" w:customStyle="1" w:styleId="154">
    <w:name w:val=" Char Char5"/>
    <w:qFormat/>
    <w:uiPriority w:val="0"/>
    <w:rPr>
      <w:rFonts w:ascii="宋体" w:hAnsi="宋体" w:eastAsia="宋体" w:cs="Times New Roman"/>
      <w:color w:val="000000"/>
      <w:kern w:val="0"/>
      <w:szCs w:val="21"/>
    </w:rPr>
  </w:style>
  <w:style w:type="character" w:customStyle="1" w:styleId="155">
    <w:name w:val="HTML 预设格式 Char1"/>
    <w:qFormat/>
    <w:uiPriority w:val="0"/>
    <w:rPr>
      <w:rFonts w:ascii="Courier New" w:hAnsi="Courier New" w:cs="Courier New"/>
      <w:kern w:val="2"/>
    </w:rPr>
  </w:style>
  <w:style w:type="character" w:customStyle="1" w:styleId="156">
    <w:name w:val="正文正本 + 宋体 Char"/>
    <w:link w:val="157"/>
    <w:qFormat/>
    <w:uiPriority w:val="0"/>
    <w:rPr>
      <w:rFonts w:ascii="宋体" w:hAnsi="宋体"/>
      <w:sz w:val="24"/>
      <w:szCs w:val="24"/>
    </w:rPr>
  </w:style>
  <w:style w:type="paragraph" w:customStyle="1" w:styleId="157">
    <w:name w:val="正文正本 + 宋体"/>
    <w:basedOn w:val="1"/>
    <w:link w:val="156"/>
    <w:qFormat/>
    <w:uiPriority w:val="0"/>
    <w:pPr>
      <w:widowControl/>
      <w:spacing w:line="360" w:lineRule="auto"/>
      <w:ind w:firstLine="510" w:firstLineChars="0"/>
      <w:jc w:val="left"/>
    </w:pPr>
    <w:rPr>
      <w:rFonts w:ascii="宋体" w:hAnsi="宋体"/>
      <w:kern w:val="0"/>
    </w:rPr>
  </w:style>
  <w:style w:type="character" w:customStyle="1" w:styleId="158">
    <w:name w:val="正文(首行缩进) Char"/>
    <w:link w:val="159"/>
    <w:qFormat/>
    <w:uiPriority w:val="0"/>
    <w:rPr>
      <w:snapToGrid w:val="0"/>
      <w:sz w:val="24"/>
      <w:szCs w:val="24"/>
    </w:rPr>
  </w:style>
  <w:style w:type="paragraph" w:customStyle="1" w:styleId="159">
    <w:name w:val="正文(首行缩进)"/>
    <w:basedOn w:val="1"/>
    <w:link w:val="158"/>
    <w:qFormat/>
    <w:uiPriority w:val="0"/>
    <w:pPr>
      <w:spacing w:line="360" w:lineRule="auto"/>
      <w:ind w:firstLine="480"/>
    </w:pPr>
    <w:rPr>
      <w:snapToGrid w:val="0"/>
      <w:kern w:val="0"/>
    </w:rPr>
  </w:style>
  <w:style w:type="character" w:customStyle="1" w:styleId="160">
    <w:name w:val="正文文本 Char"/>
    <w:qFormat/>
    <w:uiPriority w:val="0"/>
    <w:rPr>
      <w:rFonts w:eastAsia="宋体"/>
      <w:kern w:val="2"/>
      <w:sz w:val="21"/>
      <w:szCs w:val="24"/>
      <w:lang w:val="en-US" w:eastAsia="zh-CN" w:bidi="ar-SA"/>
    </w:rPr>
  </w:style>
  <w:style w:type="character" w:customStyle="1" w:styleId="161">
    <w:name w:val="pt91"/>
    <w:qFormat/>
    <w:uiPriority w:val="0"/>
    <w:rPr>
      <w:color w:val="666666"/>
      <w:sz w:val="18"/>
      <w:u w:val="none"/>
    </w:rPr>
  </w:style>
  <w:style w:type="character" w:customStyle="1" w:styleId="162">
    <w:name w:val=" Char Char Char1"/>
    <w:qFormat/>
    <w:uiPriority w:val="0"/>
    <w:rPr>
      <w:rFonts w:ascii="宋体" w:hAnsi="宋体" w:eastAsia="宋体"/>
      <w:color w:val="000000"/>
      <w:kern w:val="2"/>
      <w:sz w:val="28"/>
      <w:szCs w:val="24"/>
      <w:lang w:val="en-US" w:eastAsia="zh-CN" w:bidi="ar-SA"/>
    </w:rPr>
  </w:style>
  <w:style w:type="character" w:customStyle="1" w:styleId="163">
    <w:name w:val="3zw"/>
    <w:basedOn w:val="51"/>
    <w:qFormat/>
    <w:uiPriority w:val="0"/>
  </w:style>
  <w:style w:type="character" w:customStyle="1" w:styleId="164">
    <w:name w:val="正文缩进2"/>
    <w:qFormat/>
    <w:uiPriority w:val="0"/>
    <w:rPr>
      <w:rFonts w:ascii="仿宋_GB2312" w:eastAsia="仿宋_GB2312"/>
      <w:kern w:val="2"/>
      <w:sz w:val="28"/>
      <w:szCs w:val="24"/>
      <w:lang w:val="en-US" w:eastAsia="zh-CN" w:bidi="ar-SA"/>
    </w:rPr>
  </w:style>
  <w:style w:type="character" w:customStyle="1" w:styleId="165">
    <w:name w:val="正文文本缩进 2 Char"/>
    <w:qFormat/>
    <w:uiPriority w:val="0"/>
    <w:rPr>
      <w:rFonts w:eastAsia="宋体"/>
      <w:kern w:val="2"/>
      <w:sz w:val="28"/>
      <w:szCs w:val="24"/>
      <w:lang w:val="en-US" w:eastAsia="zh-CN" w:bidi="ar-SA"/>
    </w:rPr>
  </w:style>
  <w:style w:type="character" w:customStyle="1" w:styleId="166">
    <w:name w:val="fontstyle11"/>
    <w:qFormat/>
    <w:uiPriority w:val="0"/>
    <w:rPr>
      <w:rFonts w:hint="eastAsia" w:ascii="宋体" w:hAnsi="宋体" w:eastAsia="宋体"/>
      <w:color w:val="000000"/>
      <w:sz w:val="22"/>
      <w:szCs w:val="22"/>
    </w:rPr>
  </w:style>
  <w:style w:type="paragraph" w:customStyle="1" w:styleId="167">
    <w:name w:val="Char15"/>
    <w:basedOn w:val="1"/>
    <w:qFormat/>
    <w:uiPriority w:val="0"/>
    <w:pPr>
      <w:spacing w:line="240" w:lineRule="auto"/>
      <w:ind w:firstLine="0" w:firstLineChars="0"/>
    </w:pPr>
    <w:rPr>
      <w:sz w:val="21"/>
    </w:rPr>
  </w:style>
  <w:style w:type="paragraph" w:customStyle="1" w:styleId="168">
    <w:name w:val="样式2"/>
    <w:basedOn w:val="1"/>
    <w:qFormat/>
    <w:uiPriority w:val="0"/>
    <w:pPr>
      <w:spacing w:line="480" w:lineRule="exact"/>
      <w:ind w:firstLine="480"/>
    </w:pPr>
    <w:rPr>
      <w:rFonts w:ascii="Calibri" w:hAnsi="Calibri"/>
    </w:rPr>
  </w:style>
  <w:style w:type="paragraph" w:customStyle="1" w:styleId="169">
    <w:name w:val="_Style 167"/>
    <w:semiHidden/>
    <w:qFormat/>
    <w:uiPriority w:val="99"/>
    <w:rPr>
      <w:rFonts w:ascii="Times New Roman" w:hAnsi="Times New Roman" w:eastAsia="宋体" w:cs="Times New Roman"/>
      <w:kern w:val="2"/>
      <w:sz w:val="24"/>
      <w:szCs w:val="24"/>
      <w:lang w:val="en-US" w:eastAsia="zh-CN" w:bidi="ar-SA"/>
    </w:rPr>
  </w:style>
  <w:style w:type="paragraph" w:customStyle="1" w:styleId="170">
    <w:name w:val="报告"/>
    <w:basedOn w:val="1"/>
    <w:qFormat/>
    <w:uiPriority w:val="0"/>
    <w:pPr>
      <w:adjustRightInd w:val="0"/>
      <w:spacing w:line="360" w:lineRule="auto"/>
      <w:ind w:firstLine="505" w:firstLineChars="0"/>
      <w:textAlignment w:val="center"/>
    </w:pPr>
    <w:rPr>
      <w:rFonts w:ascii="TimesNewRoman" w:hAnsi="TimesNewRoman"/>
      <w:kern w:val="0"/>
      <w:szCs w:val="20"/>
    </w:rPr>
  </w:style>
  <w:style w:type="paragraph" w:customStyle="1" w:styleId="171">
    <w:name w:val="font6"/>
    <w:basedOn w:val="1"/>
    <w:qFormat/>
    <w:uiPriority w:val="0"/>
    <w:pPr>
      <w:widowControl/>
      <w:spacing w:before="100" w:beforeAutospacing="1" w:after="100" w:afterAutospacing="1" w:line="240" w:lineRule="auto"/>
      <w:ind w:firstLine="0" w:firstLineChars="0"/>
      <w:jc w:val="left"/>
    </w:pPr>
    <w:rPr>
      <w:rFonts w:hint="eastAsia" w:ascii="宋体" w:hAnsi="宋体"/>
      <w:color w:val="000000"/>
      <w:kern w:val="0"/>
    </w:rPr>
  </w:style>
  <w:style w:type="paragraph" w:customStyle="1" w:styleId="172">
    <w:name w:val="p16"/>
    <w:basedOn w:val="1"/>
    <w:qFormat/>
    <w:uiPriority w:val="0"/>
    <w:pPr>
      <w:widowControl/>
      <w:snapToGrid w:val="0"/>
      <w:spacing w:line="240" w:lineRule="atLeast"/>
      <w:ind w:firstLine="0" w:firstLineChars="0"/>
      <w:jc w:val="center"/>
    </w:pPr>
    <w:rPr>
      <w:kern w:val="0"/>
      <w:sz w:val="21"/>
      <w:szCs w:val="21"/>
    </w:rPr>
  </w:style>
  <w:style w:type="paragraph" w:customStyle="1" w:styleId="173">
    <w:name w:val=" Char1 Char Char3 Char Char Char Char"/>
    <w:basedOn w:val="1"/>
    <w:qFormat/>
    <w:uiPriority w:val="0"/>
    <w:pPr>
      <w:tabs>
        <w:tab w:val="left" w:pos="4665"/>
        <w:tab w:val="left" w:pos="8970"/>
      </w:tabs>
      <w:ind w:firstLine="420"/>
      <w:jc w:val="center"/>
    </w:pPr>
    <w:rPr>
      <w:rFonts w:ascii="Tahoma" w:hAnsi="Tahoma"/>
      <w:sz w:val="21"/>
      <w:szCs w:val="21"/>
    </w:rPr>
  </w:style>
  <w:style w:type="paragraph" w:customStyle="1" w:styleId="174">
    <w:name w:val=" 字元 字元"/>
    <w:basedOn w:val="1"/>
    <w:qFormat/>
    <w:uiPriority w:val="0"/>
    <w:pPr>
      <w:spacing w:line="240" w:lineRule="auto"/>
      <w:ind w:firstLine="0" w:firstLineChars="0"/>
    </w:pPr>
    <w:rPr>
      <w:sz w:val="21"/>
    </w:rPr>
  </w:style>
  <w:style w:type="paragraph" w:customStyle="1" w:styleId="175">
    <w:name w:val="xl37"/>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line="240" w:lineRule="auto"/>
      <w:ind w:firstLine="0" w:firstLineChars="0"/>
      <w:jc w:val="left"/>
      <w:textAlignment w:val="center"/>
    </w:pPr>
    <w:rPr>
      <w:rFonts w:ascii="Arial Unicode MS" w:hAnsi="Arial Unicode MS"/>
      <w:color w:val="000000"/>
      <w:kern w:val="0"/>
    </w:rPr>
  </w:style>
  <w:style w:type="paragraph" w:customStyle="1" w:styleId="176">
    <w:name w:val="Char13"/>
    <w:basedOn w:val="1"/>
    <w:qFormat/>
    <w:uiPriority w:val="0"/>
    <w:pPr>
      <w:spacing w:line="240" w:lineRule="auto"/>
      <w:ind w:firstLine="0" w:firstLineChars="0"/>
    </w:pPr>
    <w:rPr>
      <w:sz w:val="21"/>
    </w:rPr>
  </w:style>
  <w:style w:type="paragraph" w:customStyle="1" w:styleId="177">
    <w:name w:val="xl30"/>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178">
    <w:name w:val="正文样式"/>
    <w:basedOn w:val="1"/>
    <w:qFormat/>
    <w:uiPriority w:val="0"/>
    <w:pPr>
      <w:spacing w:line="360" w:lineRule="auto"/>
      <w:ind w:firstLine="480"/>
    </w:pPr>
    <w:rPr>
      <w:szCs w:val="20"/>
    </w:rPr>
  </w:style>
  <w:style w:type="paragraph" w:customStyle="1" w:styleId="179">
    <w:name w:val="Normal_14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80">
    <w:name w:val="Normal_14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81">
    <w:name w:val="xl22"/>
    <w:basedOn w:val="1"/>
    <w:qFormat/>
    <w:uiPriority w:val="0"/>
    <w:pPr>
      <w:widowControl/>
      <w:pBdr>
        <w:bottom w:val="single" w:color="auto" w:sz="4" w:space="0"/>
        <w:right w:val="single" w:color="auto" w:sz="4" w:space="0"/>
      </w:pBdr>
      <w:spacing w:before="100" w:after="100" w:line="240" w:lineRule="auto"/>
      <w:ind w:firstLine="0" w:firstLineChars="0"/>
      <w:jc w:val="center"/>
    </w:pPr>
    <w:rPr>
      <w:rFonts w:ascii="宋体" w:hAnsi="宋体"/>
      <w:kern w:val="0"/>
      <w:sz w:val="21"/>
      <w:szCs w:val="20"/>
    </w:rPr>
  </w:style>
  <w:style w:type="paragraph" w:customStyle="1" w:styleId="182">
    <w:name w:val="xl32"/>
    <w:basedOn w:val="1"/>
    <w:qFormat/>
    <w:uiPriority w:val="0"/>
    <w:pPr>
      <w:widowControl/>
      <w:pBdr>
        <w:top w:val="single" w:color="000000" w:sz="4" w:space="0"/>
        <w:left w:val="single" w:color="000000" w:sz="8" w:space="0"/>
        <w:bottom w:val="single" w:color="000000" w:sz="4" w:space="0"/>
        <w:right w:val="single" w:color="000000" w:sz="4" w:space="0"/>
      </w:pBdr>
      <w:spacing w:before="100" w:beforeAutospacing="1" w:after="100" w:afterAutospacing="1" w:line="240" w:lineRule="auto"/>
      <w:ind w:firstLine="0" w:firstLineChars="0"/>
      <w:jc w:val="left"/>
      <w:textAlignment w:val="center"/>
    </w:pPr>
    <w:rPr>
      <w:rFonts w:ascii="Arial Unicode MS" w:hAnsi="Arial Unicode MS"/>
      <w:color w:val="000000"/>
      <w:kern w:val="0"/>
    </w:rPr>
  </w:style>
  <w:style w:type="paragraph" w:customStyle="1" w:styleId="183">
    <w:name w:val=" Char"/>
    <w:basedOn w:val="1"/>
    <w:qFormat/>
    <w:uiPriority w:val="0"/>
    <w:pPr>
      <w:spacing w:line="240" w:lineRule="auto"/>
      <w:ind w:firstLine="0" w:firstLineChars="0"/>
    </w:pPr>
    <w:rPr>
      <w:sz w:val="21"/>
    </w:rPr>
  </w:style>
  <w:style w:type="paragraph" w:customStyle="1" w:styleId="184">
    <w:name w:val="Char"/>
    <w:basedOn w:val="1"/>
    <w:qFormat/>
    <w:uiPriority w:val="0"/>
    <w:pPr>
      <w:snapToGrid w:val="0"/>
      <w:spacing w:line="560" w:lineRule="exact"/>
      <w:ind w:firstLine="420" w:firstLineChars="200"/>
    </w:pPr>
    <w:rPr>
      <w:rFonts w:ascii="华文仿宋" w:hAnsi="华文仿宋" w:eastAsia="华文仿宋"/>
      <w:sz w:val="24"/>
      <w:szCs w:val="28"/>
    </w:rPr>
  </w:style>
  <w:style w:type="paragraph" w:customStyle="1" w:styleId="185">
    <w:name w:val="xl45"/>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186">
    <w:name w:val="标准"/>
    <w:basedOn w:val="1"/>
    <w:qFormat/>
    <w:uiPriority w:val="0"/>
    <w:pPr>
      <w:adjustRightInd w:val="0"/>
      <w:spacing w:line="360" w:lineRule="auto"/>
      <w:ind w:firstLine="0" w:firstLineChars="0"/>
      <w:textAlignment w:val="baseline"/>
    </w:pPr>
    <w:rPr>
      <w:rFonts w:ascii="楷体_GB2312" w:eastAsia="楷体_GB2312"/>
      <w:kern w:val="0"/>
      <w:sz w:val="28"/>
      <w:szCs w:val="20"/>
    </w:rPr>
  </w:style>
  <w:style w:type="paragraph" w:customStyle="1" w:styleId="187">
    <w:name w:val="Char Char Char Char Char Char Char Char Char Char Char Char Char Char"/>
    <w:basedOn w:val="1"/>
    <w:qFormat/>
    <w:uiPriority w:val="0"/>
    <w:pPr>
      <w:spacing w:line="240" w:lineRule="auto"/>
      <w:ind w:firstLine="0" w:firstLineChars="0"/>
    </w:pPr>
    <w:rPr>
      <w:sz w:val="21"/>
    </w:rPr>
  </w:style>
  <w:style w:type="paragraph" w:customStyle="1" w:styleId="188">
    <w:name w:val="样式1"/>
    <w:basedOn w:val="1"/>
    <w:next w:val="23"/>
    <w:qFormat/>
    <w:uiPriority w:val="0"/>
    <w:pPr>
      <w:spacing w:line="240" w:lineRule="auto"/>
      <w:ind w:firstLine="0" w:firstLineChars="0"/>
      <w:jc w:val="center"/>
    </w:pPr>
    <w:rPr>
      <w:rFonts w:ascii="宋体" w:hAnsi="宋体"/>
      <w:szCs w:val="20"/>
    </w:rPr>
  </w:style>
  <w:style w:type="paragraph" w:customStyle="1" w:styleId="189">
    <w:name w:val="Normal New New New New New New New New New New New New New New New New New New New New New New New New New New New New New New New New New New New New New New New New New New New New New New New New"/>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90">
    <w:name w:val="正文（首行缩进） Charjophy"/>
    <w:basedOn w:val="1"/>
    <w:qFormat/>
    <w:uiPriority w:val="0"/>
    <w:pPr>
      <w:widowControl/>
      <w:overflowPunct w:val="0"/>
      <w:topLinePunct/>
      <w:autoSpaceDE w:val="0"/>
      <w:autoSpaceDN w:val="0"/>
      <w:adjustRightInd w:val="0"/>
      <w:snapToGrid w:val="0"/>
      <w:spacing w:after="0"/>
      <w:ind w:firstLine="480" w:firstLineChars="200"/>
      <w:textAlignment w:val="baseline"/>
    </w:pPr>
    <w:rPr>
      <w:rFonts w:eastAsia="Times New Roman"/>
      <w:sz w:val="24"/>
      <w:szCs w:val="24"/>
    </w:rPr>
  </w:style>
  <w:style w:type="paragraph" w:customStyle="1" w:styleId="191">
    <w:name w:val="样式 首行缩进:  0.99 厘米 行距: 1.5 倍行距2"/>
    <w:basedOn w:val="1"/>
    <w:qFormat/>
    <w:uiPriority w:val="0"/>
    <w:pPr>
      <w:adjustRightInd w:val="0"/>
      <w:snapToGrid w:val="0"/>
      <w:spacing w:line="240" w:lineRule="auto"/>
      <w:ind w:firstLine="0" w:firstLineChars="0"/>
      <w:jc w:val="center"/>
    </w:pPr>
    <w:rPr>
      <w:rFonts w:ascii="宋体" w:hAnsi="宋体"/>
      <w:color w:val="FF0000"/>
      <w:sz w:val="21"/>
      <w:szCs w:val="21"/>
    </w:rPr>
  </w:style>
  <w:style w:type="paragraph" w:customStyle="1" w:styleId="192">
    <w:name w:val="Char11"/>
    <w:basedOn w:val="1"/>
    <w:qFormat/>
    <w:uiPriority w:val="0"/>
    <w:pPr>
      <w:spacing w:line="240" w:lineRule="auto"/>
      <w:ind w:firstLine="0" w:firstLineChars="0"/>
    </w:pPr>
    <w:rPr>
      <w:sz w:val="21"/>
    </w:rPr>
  </w:style>
  <w:style w:type="paragraph" w:customStyle="1" w:styleId="193">
    <w:name w:val="Char Char Char Char1 Char"/>
    <w:basedOn w:val="1"/>
    <w:qFormat/>
    <w:uiPriority w:val="0"/>
    <w:pPr>
      <w:spacing w:line="240" w:lineRule="auto"/>
      <w:ind w:firstLine="0" w:firstLineChars="0"/>
    </w:pPr>
  </w:style>
  <w:style w:type="paragraph" w:customStyle="1" w:styleId="194">
    <w:name w:val=" Char Char Char Char Char Char Char"/>
    <w:basedOn w:val="1"/>
    <w:qFormat/>
    <w:uiPriority w:val="0"/>
    <w:pPr>
      <w:spacing w:line="240" w:lineRule="auto"/>
      <w:ind w:firstLine="0" w:firstLineChars="0"/>
    </w:pPr>
    <w:rPr>
      <w:rFonts w:hAnsi="宋体"/>
      <w:color w:val="000000"/>
      <w:szCs w:val="21"/>
    </w:rPr>
  </w:style>
  <w:style w:type="paragraph" w:customStyle="1" w:styleId="195">
    <w:name w:val=" Char3 Char Char Char1"/>
    <w:basedOn w:val="1"/>
    <w:qFormat/>
    <w:uiPriority w:val="0"/>
    <w:pPr>
      <w:tabs>
        <w:tab w:val="left" w:pos="4665"/>
        <w:tab w:val="left" w:pos="8970"/>
      </w:tabs>
      <w:ind w:firstLine="420"/>
      <w:jc w:val="center"/>
    </w:pPr>
    <w:rPr>
      <w:rFonts w:ascii="Tahoma" w:hAnsi="Tahoma"/>
      <w:sz w:val="21"/>
      <w:szCs w:val="21"/>
    </w:rPr>
  </w:style>
  <w:style w:type="paragraph" w:customStyle="1" w:styleId="196">
    <w:name w:val="表格内-ckg"/>
    <w:qFormat/>
    <w:uiPriority w:val="0"/>
    <w:pPr>
      <w:jc w:val="center"/>
    </w:pPr>
    <w:rPr>
      <w:rFonts w:ascii="Times New Roman" w:hAnsi="Times New Roman" w:eastAsia="宋体" w:cs="Times New Roman"/>
      <w:color w:val="000000"/>
      <w:sz w:val="21"/>
      <w:szCs w:val="22"/>
      <w:lang w:val="en-US" w:eastAsia="zh-CN" w:bidi="ar-SA"/>
    </w:rPr>
  </w:style>
  <w:style w:type="paragraph" w:customStyle="1" w:styleId="197">
    <w:name w:val="表格文字"/>
    <w:basedOn w:val="1"/>
    <w:qFormat/>
    <w:uiPriority w:val="0"/>
    <w:pPr>
      <w:spacing w:line="240" w:lineRule="auto"/>
      <w:ind w:firstLine="0" w:firstLineChars="0"/>
      <w:jc w:val="center"/>
    </w:pPr>
    <w:rPr>
      <w:rFonts w:ascii="仿宋_GB2312" w:hAnsi="Arial Black" w:eastAsia="仿宋_GB2312"/>
      <w:kern w:val="44"/>
      <w:szCs w:val="20"/>
    </w:rPr>
  </w:style>
  <w:style w:type="paragraph" w:customStyle="1" w:styleId="198">
    <w:name w:val="Char Char Char"/>
    <w:basedOn w:val="1"/>
    <w:qFormat/>
    <w:uiPriority w:val="0"/>
    <w:pPr>
      <w:widowControl/>
      <w:spacing w:after="160" w:line="240" w:lineRule="exact"/>
      <w:ind w:firstLine="0" w:firstLineChars="0"/>
      <w:jc w:val="left"/>
    </w:pPr>
    <w:rPr>
      <w:rFonts w:ascii="Verdana" w:hAnsi="Verdana" w:eastAsia="仿宋_GB2312"/>
      <w:kern w:val="0"/>
      <w:szCs w:val="20"/>
      <w:lang w:eastAsia="en-US"/>
    </w:rPr>
  </w:style>
  <w:style w:type="paragraph" w:customStyle="1" w:styleId="199">
    <w:name w:val=" Char Char1 Char Char Char Char Char"/>
    <w:basedOn w:val="1"/>
    <w:qFormat/>
    <w:uiPriority w:val="0"/>
    <w:pPr>
      <w:spacing w:line="240" w:lineRule="auto"/>
      <w:ind w:firstLine="0" w:firstLineChars="0"/>
    </w:pPr>
    <w:rPr>
      <w:rFonts w:ascii="楷体_GB2312" w:hAnsi="楷体_GB2312" w:cs="楷体_GB2312"/>
      <w:snapToGrid w:val="0"/>
      <w:color w:val="000000"/>
      <w:kern w:val="18"/>
      <w:szCs w:val="20"/>
    </w:rPr>
  </w:style>
  <w:style w:type="paragraph" w:customStyle="1" w:styleId="200">
    <w:name w:val=" Char Char1 Char Char Char Char Char Char Char Char Char1 Char"/>
    <w:basedOn w:val="1"/>
    <w:qFormat/>
    <w:uiPriority w:val="0"/>
    <w:pPr>
      <w:spacing w:line="240" w:lineRule="auto"/>
      <w:ind w:firstLine="0" w:firstLineChars="0"/>
    </w:pPr>
    <w:rPr>
      <w:sz w:val="21"/>
    </w:rPr>
  </w:style>
  <w:style w:type="paragraph" w:customStyle="1" w:styleId="201">
    <w:name w:val="1"/>
    <w:basedOn w:val="1"/>
    <w:next w:val="1"/>
    <w:qFormat/>
    <w:uiPriority w:val="0"/>
    <w:pPr>
      <w:spacing w:line="240" w:lineRule="auto"/>
      <w:ind w:firstLine="0" w:firstLineChars="0"/>
    </w:pPr>
    <w:rPr>
      <w:rFonts w:ascii="宋体" w:hAnsi="Courier New" w:cs="Courier New"/>
      <w:sz w:val="21"/>
      <w:szCs w:val="21"/>
    </w:rPr>
  </w:style>
  <w:style w:type="paragraph" w:customStyle="1" w:styleId="202">
    <w:name w:val=" Char Char Char Char Char Char1 Char"/>
    <w:basedOn w:val="1"/>
    <w:qFormat/>
    <w:uiPriority w:val="0"/>
    <w:pPr>
      <w:spacing w:line="240" w:lineRule="auto"/>
      <w:ind w:firstLine="0" w:firstLineChars="0"/>
    </w:pPr>
    <w:rPr>
      <w:sz w:val="21"/>
    </w:rPr>
  </w:style>
  <w:style w:type="paragraph" w:customStyle="1" w:styleId="203">
    <w:name w:val="。"/>
    <w:basedOn w:val="1"/>
    <w:qFormat/>
    <w:uiPriority w:val="0"/>
    <w:pPr>
      <w:spacing w:line="240" w:lineRule="auto"/>
      <w:ind w:firstLine="0" w:firstLineChars="0"/>
    </w:pPr>
    <w:rPr>
      <w:rFonts w:eastAsia="仿宋_GB2312"/>
      <w:sz w:val="32"/>
    </w:rPr>
  </w:style>
  <w:style w:type="paragraph" w:customStyle="1" w:styleId="204">
    <w:name w:val="默认段落字体 Para Char Char Char Char"/>
    <w:basedOn w:val="1"/>
    <w:qFormat/>
    <w:uiPriority w:val="0"/>
    <w:pPr>
      <w:widowControl/>
      <w:spacing w:line="240" w:lineRule="auto"/>
      <w:ind w:firstLine="0" w:firstLineChars="0"/>
      <w:jc w:val="left"/>
    </w:pPr>
    <w:rPr>
      <w:rFonts w:cs="宋体"/>
      <w:kern w:val="0"/>
      <w:sz w:val="21"/>
    </w:rPr>
  </w:style>
  <w:style w:type="paragraph" w:customStyle="1" w:styleId="205">
    <w:name w:val="样式 样式 标题 2节 + (西文) Times New Roman (中文) 宋体 四号 段前: 0.5 行 段后: 0......"/>
    <w:basedOn w:val="1"/>
    <w:qFormat/>
    <w:uiPriority w:val="0"/>
    <w:pPr>
      <w:keepNext/>
      <w:keepLines/>
      <w:adjustRightInd w:val="0"/>
      <w:snapToGrid w:val="0"/>
      <w:spacing w:line="480" w:lineRule="exact"/>
      <w:ind w:firstLine="0" w:firstLineChars="0"/>
      <w:outlineLvl w:val="1"/>
    </w:pPr>
    <w:rPr>
      <w:b/>
    </w:rPr>
  </w:style>
  <w:style w:type="paragraph" w:customStyle="1" w:styleId="206">
    <w:name w:val="5"/>
    <w:basedOn w:val="1"/>
    <w:next w:val="38"/>
    <w:qFormat/>
    <w:uiPriority w:val="0"/>
    <w:pPr>
      <w:adjustRightInd w:val="0"/>
      <w:snapToGrid w:val="0"/>
      <w:spacing w:line="312" w:lineRule="auto"/>
      <w:ind w:firstLine="480"/>
    </w:pPr>
    <w:rPr>
      <w:rFonts w:ascii="仿宋_GB2312" w:eastAsia="仿宋_GB2312"/>
    </w:rPr>
  </w:style>
  <w:style w:type="paragraph" w:customStyle="1" w:styleId="207">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08">
    <w:name w:val="xl39"/>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09">
    <w:name w:val="xl25"/>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hint="eastAsia" w:ascii="仿宋_GB2312" w:hAnsi="Arial Unicode MS" w:eastAsia="仿宋_GB2312"/>
      <w:kern w:val="0"/>
      <w:szCs w:val="20"/>
    </w:rPr>
  </w:style>
  <w:style w:type="paragraph" w:customStyle="1" w:styleId="210">
    <w:name w:val="xl42"/>
    <w:basedOn w:val="1"/>
    <w:qFormat/>
    <w:uiPriority w:val="0"/>
    <w:pPr>
      <w:widowControl/>
      <w:pBdr>
        <w:bottom w:val="dotted" w:color="auto" w:sz="4" w:space="0"/>
        <w:right w:val="dotted" w:color="auto" w:sz="4" w:space="0"/>
      </w:pBdr>
      <w:spacing w:before="100" w:beforeAutospacing="1" w:after="100" w:afterAutospacing="1" w:line="240" w:lineRule="auto"/>
      <w:ind w:firstLine="0" w:firstLineChars="0"/>
      <w:jc w:val="center"/>
    </w:pPr>
    <w:rPr>
      <w:kern w:val="0"/>
      <w:sz w:val="21"/>
      <w:szCs w:val="21"/>
    </w:rPr>
  </w:style>
  <w:style w:type="paragraph" w:customStyle="1" w:styleId="211">
    <w:name w:val=" Char Char Char Char Char Char Char Char Char Char Char Char Char Char"/>
    <w:basedOn w:val="1"/>
    <w:qFormat/>
    <w:uiPriority w:val="0"/>
    <w:pPr>
      <w:spacing w:line="240" w:lineRule="auto"/>
      <w:ind w:firstLine="0" w:firstLineChars="0"/>
    </w:pPr>
    <w:rPr>
      <w:sz w:val="21"/>
    </w:rPr>
  </w:style>
  <w:style w:type="paragraph" w:customStyle="1" w:styleId="212">
    <w:name w:val="普通 (Web)"/>
    <w:basedOn w:val="1"/>
    <w:next w:val="1"/>
    <w:qFormat/>
    <w:uiPriority w:val="0"/>
    <w:pPr>
      <w:autoSpaceDE w:val="0"/>
      <w:autoSpaceDN w:val="0"/>
      <w:adjustRightInd w:val="0"/>
      <w:spacing w:before="100" w:after="100" w:line="240" w:lineRule="auto"/>
      <w:ind w:firstLine="0" w:firstLineChars="0"/>
      <w:jc w:val="left"/>
    </w:pPr>
    <w:rPr>
      <w:rFonts w:ascii="宋体"/>
      <w:kern w:val="0"/>
    </w:rPr>
  </w:style>
  <w:style w:type="paragraph" w:customStyle="1" w:styleId="213">
    <w:name w:val="wtext"/>
    <w:basedOn w:val="1"/>
    <w:qFormat/>
    <w:uiPriority w:val="0"/>
    <w:pPr>
      <w:widowControl/>
      <w:spacing w:before="100" w:beforeAutospacing="1" w:after="100" w:afterAutospacing="1" w:line="240" w:lineRule="auto"/>
      <w:ind w:firstLine="0" w:firstLineChars="0"/>
      <w:jc w:val="left"/>
    </w:pPr>
    <w:rPr>
      <w:rFonts w:ascii="宋体" w:hAnsi="宋体"/>
      <w:color w:val="000000"/>
      <w:kern w:val="0"/>
    </w:rPr>
  </w:style>
  <w:style w:type="paragraph" w:customStyle="1" w:styleId="214">
    <w:name w:val=" 字元"/>
    <w:basedOn w:val="1"/>
    <w:qFormat/>
    <w:uiPriority w:val="0"/>
    <w:pPr>
      <w:spacing w:line="240" w:lineRule="auto"/>
      <w:ind w:firstLine="0" w:firstLineChars="0"/>
    </w:pPr>
  </w:style>
  <w:style w:type="paragraph" w:customStyle="1" w:styleId="215">
    <w:name w:val="xl59"/>
    <w:basedOn w:val="1"/>
    <w:qFormat/>
    <w:uiPriority w:val="0"/>
    <w:pPr>
      <w:widowControl/>
      <w:spacing w:before="100" w:beforeAutospacing="1" w:after="100" w:afterAutospacing="1" w:line="240" w:lineRule="auto"/>
      <w:ind w:firstLine="0" w:firstLineChars="0"/>
      <w:jc w:val="left"/>
      <w:textAlignment w:val="top"/>
    </w:pPr>
    <w:rPr>
      <w:rFonts w:ascii="Arial Unicode MS" w:hAnsi="Arial Unicode MS"/>
      <w:color w:val="000000"/>
      <w:kern w:val="0"/>
    </w:rPr>
  </w:style>
  <w:style w:type="paragraph" w:customStyle="1" w:styleId="216">
    <w:name w:val=" Char Char Char Char Char Char Char Char"/>
    <w:basedOn w:val="1"/>
    <w:qFormat/>
    <w:uiPriority w:val="0"/>
    <w:pPr>
      <w:spacing w:line="240" w:lineRule="auto"/>
      <w:ind w:firstLine="0" w:firstLineChars="0"/>
    </w:pPr>
    <w:rPr>
      <w:rFonts w:ascii="Tahoma" w:hAnsi="Tahoma"/>
    </w:rPr>
  </w:style>
  <w:style w:type="paragraph" w:customStyle="1" w:styleId="217">
    <w:name w:val="1 Char Char Char Char Char Char Char Char Char Char"/>
    <w:basedOn w:val="1"/>
    <w:qFormat/>
    <w:uiPriority w:val="0"/>
    <w:pPr>
      <w:spacing w:line="240" w:lineRule="auto"/>
      <w:ind w:firstLine="0" w:firstLineChars="0"/>
    </w:pPr>
    <w:rPr>
      <w:sz w:val="21"/>
    </w:rPr>
  </w:style>
  <w:style w:type="paragraph" w:customStyle="1" w:styleId="218">
    <w:name w:val="文"/>
    <w:basedOn w:val="5"/>
    <w:qFormat/>
    <w:uiPriority w:val="0"/>
    <w:pPr>
      <w:keepNext w:val="0"/>
      <w:keepLines w:val="0"/>
      <w:numPr>
        <w:ilvl w:val="2"/>
        <w:numId w:val="0"/>
      </w:numPr>
      <w:spacing w:before="0" w:beforeLines="0"/>
      <w:ind w:firstLine="480" w:firstLineChars="200"/>
      <w:outlineLvl w:val="9"/>
    </w:pPr>
    <w:rPr>
      <w:b w:val="0"/>
      <w:bCs w:val="0"/>
      <w:szCs w:val="24"/>
    </w:rPr>
  </w:style>
  <w:style w:type="paragraph" w:customStyle="1" w:styleId="219">
    <w:name w:val="Char16"/>
    <w:basedOn w:val="1"/>
    <w:qFormat/>
    <w:uiPriority w:val="0"/>
    <w:pPr>
      <w:spacing w:line="240" w:lineRule="auto"/>
      <w:ind w:firstLine="0" w:firstLineChars="0"/>
    </w:pPr>
    <w:rPr>
      <w:sz w:val="21"/>
    </w:rPr>
  </w:style>
  <w:style w:type="paragraph" w:customStyle="1" w:styleId="220">
    <w:name w:val=" Char2"/>
    <w:basedOn w:val="1"/>
    <w:qFormat/>
    <w:uiPriority w:val="0"/>
    <w:pPr>
      <w:spacing w:line="240" w:lineRule="auto"/>
      <w:ind w:firstLine="0" w:firstLineChars="0"/>
    </w:pPr>
    <w:rPr>
      <w:rFonts w:ascii="宋体" w:hAnsi="宋体" w:cs="Courier New"/>
      <w:sz w:val="32"/>
      <w:szCs w:val="32"/>
    </w:rPr>
  </w:style>
  <w:style w:type="paragraph" w:customStyle="1" w:styleId="221">
    <w:name w:val="样式 标题 4 + 黑色 左侧:  -0.01 厘米 首行缩进:  0.01 厘米"/>
    <w:basedOn w:val="2"/>
    <w:qFormat/>
    <w:uiPriority w:val="0"/>
    <w:pPr>
      <w:numPr>
        <w:ilvl w:val="3"/>
        <w:numId w:val="0"/>
      </w:numPr>
      <w:spacing w:before="0" w:after="0" w:line="360" w:lineRule="auto"/>
    </w:pPr>
    <w:rPr>
      <w:rFonts w:ascii="宋体" w:hAnsi="宋体" w:eastAsia="宋体" w:cs="宋体"/>
      <w:b w:val="0"/>
      <w:bCs w:val="0"/>
      <w:color w:val="000000"/>
      <w:sz w:val="24"/>
      <w:szCs w:val="20"/>
    </w:rPr>
  </w:style>
  <w:style w:type="paragraph" w:customStyle="1" w:styleId="222">
    <w:name w:val="font5"/>
    <w:basedOn w:val="1"/>
    <w:qFormat/>
    <w:uiPriority w:val="0"/>
    <w:pPr>
      <w:widowControl/>
      <w:spacing w:before="100" w:beforeAutospacing="1" w:after="100" w:afterAutospacing="1" w:line="240" w:lineRule="auto"/>
      <w:ind w:firstLine="0" w:firstLineChars="0"/>
      <w:jc w:val="left"/>
    </w:pPr>
    <w:rPr>
      <w:rFonts w:hint="eastAsia" w:ascii="宋体" w:hAnsi="宋体"/>
      <w:kern w:val="0"/>
      <w:sz w:val="18"/>
      <w:szCs w:val="18"/>
    </w:rPr>
  </w:style>
  <w:style w:type="paragraph" w:customStyle="1" w:styleId="223">
    <w:name w:val="xl56"/>
    <w:basedOn w:val="1"/>
    <w:qFormat/>
    <w:uiPriority w:val="0"/>
    <w:pPr>
      <w:widowControl/>
      <w:pBdr>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24">
    <w:name w:val="xl53"/>
    <w:basedOn w:val="1"/>
    <w:qFormat/>
    <w:uiPriority w:val="0"/>
    <w:pPr>
      <w:widowControl/>
      <w:pBdr>
        <w:lef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25">
    <w:name w:val="正文楷体"/>
    <w:basedOn w:val="1"/>
    <w:qFormat/>
    <w:uiPriority w:val="0"/>
    <w:pPr>
      <w:spacing w:line="240" w:lineRule="auto"/>
      <w:ind w:firstLine="0" w:firstLineChars="0"/>
    </w:pPr>
    <w:rPr>
      <w:rFonts w:eastAsia="楷体_GB2312"/>
      <w:sz w:val="21"/>
    </w:rPr>
  </w:style>
  <w:style w:type="paragraph" w:customStyle="1" w:styleId="226">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27">
    <w:name w:val="1正文段落"/>
    <w:basedOn w:val="1"/>
    <w:qFormat/>
    <w:uiPriority w:val="0"/>
    <w:pPr>
      <w:spacing w:line="360" w:lineRule="auto"/>
      <w:ind w:firstLine="480"/>
      <w:jc w:val="left"/>
    </w:pPr>
    <w:rPr>
      <w:snapToGrid w:val="0"/>
      <w:kern w:val="0"/>
    </w:rPr>
  </w:style>
  <w:style w:type="paragraph" w:styleId="228">
    <w:name w:val="List Paragraph"/>
    <w:basedOn w:val="1"/>
    <w:qFormat/>
    <w:uiPriority w:val="0"/>
    <w:pPr>
      <w:ind w:firstLine="420"/>
    </w:pPr>
  </w:style>
  <w:style w:type="paragraph" w:customStyle="1" w:styleId="229">
    <w:name w:val="xl31"/>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line="240" w:lineRule="auto"/>
      <w:ind w:firstLine="0" w:firstLineChars="0"/>
      <w:jc w:val="left"/>
      <w:textAlignment w:val="center"/>
    </w:pPr>
    <w:rPr>
      <w:rFonts w:ascii="Arial Unicode MS" w:hAnsi="Arial Unicode MS"/>
      <w:color w:val="000000"/>
      <w:kern w:val="0"/>
    </w:rPr>
  </w:style>
  <w:style w:type="paragraph" w:customStyle="1" w:styleId="230">
    <w:name w:val=" Char Char Char Char Char Char Char Char Char Char Char Char Char Char Char Char Char Char1 Char Char Char Char Char Char Char"/>
    <w:basedOn w:val="1"/>
    <w:next w:val="1"/>
    <w:qFormat/>
    <w:uiPriority w:val="0"/>
    <w:pPr>
      <w:keepNext/>
      <w:keepLines/>
      <w:widowControl/>
      <w:adjustRightInd w:val="0"/>
      <w:spacing w:before="40" w:after="40" w:line="360" w:lineRule="auto"/>
      <w:ind w:firstLine="482"/>
      <w:textAlignment w:val="baseline"/>
    </w:pPr>
    <w:rPr>
      <w:sz w:val="21"/>
    </w:rPr>
  </w:style>
  <w:style w:type="paragraph" w:customStyle="1" w:styleId="231">
    <w:name w:val="Table Paragraph"/>
    <w:basedOn w:val="1"/>
    <w:qFormat/>
    <w:uiPriority w:val="1"/>
    <w:pPr>
      <w:spacing w:before="27"/>
      <w:jc w:val="center"/>
    </w:pPr>
    <w:rPr>
      <w:rFonts w:ascii="Times New Roman" w:hAnsi="Times New Roman" w:eastAsia="Times New Roman" w:cs="Times New Roman"/>
      <w:lang w:val="zh-CN" w:eastAsia="zh-CN" w:bidi="zh-CN"/>
    </w:rPr>
  </w:style>
  <w:style w:type="paragraph" w:customStyle="1" w:styleId="232">
    <w:name w:val="表目"/>
    <w:basedOn w:val="1"/>
    <w:qFormat/>
    <w:uiPriority w:val="0"/>
    <w:pPr>
      <w:adjustRightInd w:val="0"/>
      <w:spacing w:line="480" w:lineRule="atLeast"/>
      <w:ind w:left="-105" w:leftChars="-50" w:right="-105" w:rightChars="-50" w:firstLine="0" w:firstLineChars="0"/>
      <w:jc w:val="center"/>
      <w:textAlignment w:val="baseline"/>
    </w:pPr>
    <w:rPr>
      <w:rFonts w:ascii="Arial" w:hAnsi="Arial" w:eastAsia="仿宋_GB2312" w:cs="Arial"/>
      <w:kern w:val="0"/>
      <w:szCs w:val="20"/>
    </w:rPr>
  </w:style>
  <w:style w:type="paragraph" w:customStyle="1" w:styleId="233">
    <w:name w:val="xl2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left"/>
      <w:textAlignment w:val="center"/>
    </w:pPr>
    <w:rPr>
      <w:rFonts w:ascii="Arial Unicode MS" w:hAnsi="Arial Unicode MS"/>
      <w:color w:val="000000"/>
      <w:kern w:val="0"/>
    </w:rPr>
  </w:style>
  <w:style w:type="paragraph" w:customStyle="1" w:styleId="234">
    <w:name w:val="简单回函地址"/>
    <w:basedOn w:val="1"/>
    <w:qFormat/>
    <w:uiPriority w:val="0"/>
    <w:pPr>
      <w:spacing w:line="240" w:lineRule="auto"/>
      <w:ind w:firstLine="0" w:firstLineChars="0"/>
    </w:pPr>
    <w:rPr>
      <w:sz w:val="21"/>
      <w:szCs w:val="20"/>
    </w:rPr>
  </w:style>
  <w:style w:type="paragraph" w:customStyle="1" w:styleId="235">
    <w:name w:val="xl46"/>
    <w:basedOn w:val="1"/>
    <w:qFormat/>
    <w:uiPriority w:val="0"/>
    <w:pPr>
      <w:widowControl/>
      <w:pBdr>
        <w:top w:val="single" w:color="000000" w:sz="4" w:space="0"/>
        <w:left w:val="single" w:color="000000" w:sz="8"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36">
    <w:name w:val="表格2"/>
    <w:basedOn w:val="1"/>
    <w:qFormat/>
    <w:uiPriority w:val="0"/>
    <w:pPr>
      <w:spacing w:line="500" w:lineRule="atLeast"/>
      <w:ind w:firstLine="0" w:firstLineChars="0"/>
    </w:pPr>
    <w:rPr>
      <w:sz w:val="28"/>
      <w:szCs w:val="20"/>
    </w:rPr>
  </w:style>
  <w:style w:type="paragraph" w:customStyle="1" w:styleId="237">
    <w:name w:val=" Char Char1 Char Char Char Char Char Char"/>
    <w:basedOn w:val="1"/>
    <w:qFormat/>
    <w:uiPriority w:val="0"/>
    <w:pPr>
      <w:spacing w:line="240" w:lineRule="auto"/>
      <w:ind w:firstLine="0" w:firstLineChars="0"/>
    </w:pPr>
    <w:rPr>
      <w:sz w:val="21"/>
    </w:rPr>
  </w:style>
  <w:style w:type="paragraph" w:customStyle="1" w:styleId="238">
    <w:name w:val="xl5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left"/>
      <w:textAlignment w:val="center"/>
    </w:pPr>
    <w:rPr>
      <w:rFonts w:ascii="Arial Unicode MS" w:hAnsi="Arial Unicode MS"/>
      <w:color w:val="000000"/>
      <w:kern w:val="0"/>
    </w:rPr>
  </w:style>
  <w:style w:type="paragraph" w:customStyle="1" w:styleId="239">
    <w:name w:val=" Char Char Char"/>
    <w:basedOn w:val="1"/>
    <w:qFormat/>
    <w:uiPriority w:val="0"/>
    <w:rPr>
      <w:sz w:val="24"/>
    </w:rPr>
  </w:style>
  <w:style w:type="paragraph" w:customStyle="1" w:styleId="240">
    <w:name w:val="xl41"/>
    <w:basedOn w:val="1"/>
    <w:qFormat/>
    <w:uiPriority w:val="0"/>
    <w:pPr>
      <w:widowControl/>
      <w:pBdr>
        <w:top w:val="single" w:color="000000" w:sz="4" w:space="0"/>
        <w:left w:val="single" w:color="000000" w:sz="4" w:space="0"/>
        <w:bottom w:val="single" w:color="000000" w:sz="8" w:space="0"/>
        <w:right w:val="single" w:color="000000" w:sz="8"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41">
    <w:name w:val="环表头"/>
    <w:basedOn w:val="1"/>
    <w:qFormat/>
    <w:uiPriority w:val="0"/>
    <w:pPr>
      <w:spacing w:line="480" w:lineRule="exact"/>
      <w:ind w:firstLine="0" w:firstLineChars="0"/>
      <w:jc w:val="center"/>
    </w:pPr>
    <w:rPr>
      <w:rFonts w:eastAsia="黑体"/>
      <w:b/>
      <w:iCs/>
      <w:snapToGrid w:val="0"/>
      <w:color w:val="000000"/>
    </w:rPr>
  </w:style>
  <w:style w:type="paragraph" w:customStyle="1" w:styleId="242">
    <w:name w:val="正文首行缩进 2 + Times New Roman"/>
    <w:basedOn w:val="1"/>
    <w:qFormat/>
    <w:uiPriority w:val="0"/>
    <w:pPr>
      <w:tabs>
        <w:tab w:val="left" w:pos="0"/>
        <w:tab w:val="left" w:pos="870"/>
        <w:tab w:val="left" w:pos="3150"/>
      </w:tabs>
      <w:autoSpaceDE w:val="0"/>
      <w:autoSpaceDN w:val="0"/>
      <w:spacing w:line="360" w:lineRule="auto"/>
      <w:ind w:firstLine="480"/>
      <w:jc w:val="left"/>
    </w:pPr>
    <w:rPr>
      <w:kern w:val="0"/>
    </w:rPr>
  </w:style>
  <w:style w:type="paragraph" w:customStyle="1" w:styleId="243">
    <w:name w:val="正文（1）"/>
    <w:basedOn w:val="1"/>
    <w:qFormat/>
    <w:uiPriority w:val="0"/>
    <w:pPr>
      <w:autoSpaceDE w:val="0"/>
      <w:autoSpaceDN w:val="0"/>
      <w:adjustRightInd w:val="0"/>
      <w:snapToGrid w:val="0"/>
      <w:spacing w:line="480" w:lineRule="exact"/>
      <w:ind w:firstLine="480"/>
    </w:pPr>
    <w:rPr>
      <w:color w:val="000000"/>
      <w:lang w:val="zh-CN"/>
    </w:rPr>
  </w:style>
  <w:style w:type="paragraph" w:customStyle="1" w:styleId="244">
    <w:name w:val="正文001"/>
    <w:basedOn w:val="1"/>
    <w:qFormat/>
    <w:uiPriority w:val="0"/>
    <w:pPr>
      <w:spacing w:before="60" w:line="360" w:lineRule="auto"/>
    </w:pPr>
    <w:rPr>
      <w:rFonts w:ascii="Arial" w:hAnsi="Arial" w:cs="Arial"/>
      <w:szCs w:val="20"/>
    </w:rPr>
  </w:style>
  <w:style w:type="paragraph" w:customStyle="1" w:styleId="245">
    <w:name w:val="xl43"/>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b/>
      <w:bCs/>
      <w:color w:val="000000"/>
      <w:kern w:val="0"/>
      <w:sz w:val="40"/>
      <w:szCs w:val="40"/>
    </w:rPr>
  </w:style>
  <w:style w:type="paragraph" w:customStyle="1" w:styleId="246">
    <w:name w:val="xl54"/>
    <w:basedOn w:val="1"/>
    <w:qFormat/>
    <w:uiPriority w:val="0"/>
    <w:pPr>
      <w:widowControl/>
      <w:pBdr>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47">
    <w:name w:val="表格文字（对中）"/>
    <w:basedOn w:val="12"/>
    <w:qFormat/>
    <w:uiPriority w:val="0"/>
    <w:pPr>
      <w:adjustRightInd/>
      <w:snapToGrid/>
      <w:spacing w:line="240" w:lineRule="auto"/>
      <w:ind w:firstLine="0" w:firstLineChars="0"/>
      <w:jc w:val="center"/>
    </w:pPr>
    <w:rPr>
      <w:rFonts w:ascii="Calibri" w:hAnsi="Calibri" w:eastAsia="宋体"/>
      <w:sz w:val="21"/>
      <w:szCs w:val="21"/>
    </w:rPr>
  </w:style>
  <w:style w:type="paragraph" w:customStyle="1" w:styleId="248">
    <w:name w:val="正文11"/>
    <w:basedOn w:val="1"/>
    <w:qFormat/>
    <w:uiPriority w:val="0"/>
    <w:pPr>
      <w:adjustRightInd w:val="0"/>
      <w:spacing w:before="120" w:after="120" w:line="360" w:lineRule="auto"/>
      <w:ind w:firstLine="539" w:firstLineChars="0"/>
    </w:pPr>
    <w:rPr>
      <w:rFonts w:hint="eastAsia" w:ascii="宋体" w:hAnsi="宋体"/>
      <w:kern w:val="0"/>
      <w:sz w:val="28"/>
    </w:rPr>
  </w:style>
  <w:style w:type="paragraph" w:customStyle="1" w:styleId="249">
    <w:name w:val="xl24"/>
    <w:basedOn w:val="1"/>
    <w:qFormat/>
    <w:uiPriority w:val="0"/>
    <w:pPr>
      <w:widowControl/>
      <w:pBdr>
        <w:right w:val="single" w:color="auto" w:sz="4" w:space="0"/>
      </w:pBdr>
      <w:spacing w:before="100" w:beforeAutospacing="1" w:after="100" w:afterAutospacing="1" w:line="240" w:lineRule="auto"/>
      <w:ind w:firstLine="0" w:firstLineChars="0"/>
      <w:jc w:val="center"/>
    </w:pPr>
    <w:rPr>
      <w:rFonts w:hint="eastAsia" w:ascii="仿宋_GB2312" w:hAnsi="宋体" w:eastAsia="仿宋_GB2312"/>
      <w:kern w:val="0"/>
      <w:sz w:val="21"/>
      <w:szCs w:val="21"/>
    </w:rPr>
  </w:style>
  <w:style w:type="paragraph" w:customStyle="1" w:styleId="250">
    <w:name w:val=" Char Char"/>
    <w:basedOn w:val="1"/>
    <w:qFormat/>
    <w:uiPriority w:val="0"/>
    <w:pPr>
      <w:spacing w:line="240" w:lineRule="auto"/>
      <w:ind w:firstLine="0" w:firstLineChars="0"/>
    </w:pPr>
  </w:style>
  <w:style w:type="paragraph" w:customStyle="1" w:styleId="251">
    <w:name w:val="样式 标题 2节节标题 1.1H2（一）Underrubrik1prop2Heading 2 HiddenHea...2"/>
    <w:basedOn w:val="4"/>
    <w:qFormat/>
    <w:uiPriority w:val="0"/>
    <w:pPr>
      <w:numPr>
        <w:ilvl w:val="1"/>
        <w:numId w:val="0"/>
      </w:numPr>
      <w:tabs>
        <w:tab w:val="left" w:pos="576"/>
      </w:tabs>
      <w:spacing w:before="156" w:beforeLines="50" w:after="0"/>
      <w:jc w:val="left"/>
    </w:pPr>
    <w:rPr>
      <w:rFonts w:ascii="宋体" w:hAnsi="宋体"/>
      <w:color w:val="000000"/>
      <w:sz w:val="30"/>
    </w:rPr>
  </w:style>
  <w:style w:type="paragraph" w:customStyle="1" w:styleId="252">
    <w:name w:val="xl5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53">
    <w:name w:val="1char"/>
    <w:basedOn w:val="1"/>
    <w:qFormat/>
    <w:uiPriority w:val="0"/>
    <w:pPr>
      <w:widowControl/>
      <w:spacing w:before="100" w:beforeAutospacing="1" w:after="100" w:afterAutospacing="1" w:line="240" w:lineRule="auto"/>
      <w:ind w:firstLine="0" w:firstLineChars="0"/>
      <w:jc w:val="left"/>
    </w:pPr>
    <w:rPr>
      <w:rFonts w:ascii="Arial Unicode MS" w:hAnsi="Arial Unicode MS"/>
      <w:kern w:val="0"/>
    </w:rPr>
  </w:style>
  <w:style w:type="paragraph" w:customStyle="1" w:styleId="254">
    <w:name w:val="dandan6-13正文 Char Char Char Char Char Char"/>
    <w:basedOn w:val="1"/>
    <w:next w:val="1"/>
    <w:qFormat/>
    <w:uiPriority w:val="0"/>
    <w:pPr>
      <w:keepNext/>
      <w:keepLines/>
      <w:widowControl/>
      <w:adjustRightInd w:val="0"/>
      <w:spacing w:before="40" w:after="40" w:line="360" w:lineRule="auto"/>
      <w:textAlignment w:val="baseline"/>
    </w:pPr>
    <w:rPr>
      <w:rFonts w:cs="宋体"/>
      <w:kern w:val="0"/>
      <w:szCs w:val="28"/>
    </w:rPr>
  </w:style>
  <w:style w:type="paragraph" w:customStyle="1" w:styleId="255">
    <w:name w:val="xl55"/>
    <w:basedOn w:val="1"/>
    <w:qFormat/>
    <w:uiPriority w:val="0"/>
    <w:pPr>
      <w:widowControl/>
      <w:pBdr>
        <w:left w:val="single" w:color="000000" w:sz="4" w:space="0"/>
        <w:bottom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56">
    <w:name w:val="表文"/>
    <w:basedOn w:val="1"/>
    <w:qFormat/>
    <w:uiPriority w:val="0"/>
    <w:pPr>
      <w:adjustRightInd w:val="0"/>
      <w:snapToGrid w:val="0"/>
      <w:spacing w:line="240" w:lineRule="auto"/>
      <w:ind w:firstLine="0" w:firstLineChars="0"/>
      <w:jc w:val="center"/>
    </w:pPr>
    <w:rPr>
      <w:rFonts w:ascii="Calibri" w:hAnsi="Calibri"/>
      <w:color w:val="000000"/>
      <w:sz w:val="21"/>
      <w:szCs w:val="21"/>
    </w:rPr>
  </w:style>
  <w:style w:type="paragraph" w:customStyle="1" w:styleId="257">
    <w:name w:val="Plain Text"/>
    <w:basedOn w:val="1"/>
    <w:qFormat/>
    <w:uiPriority w:val="0"/>
    <w:pPr>
      <w:spacing w:line="240" w:lineRule="auto"/>
      <w:ind w:firstLine="0" w:firstLineChars="0"/>
    </w:pPr>
    <w:rPr>
      <w:rFonts w:hint="eastAsia" w:hAnsi="Courier New"/>
      <w:sz w:val="21"/>
      <w:szCs w:val="20"/>
    </w:rPr>
  </w:style>
  <w:style w:type="paragraph" w:customStyle="1" w:styleId="258">
    <w:name w:val="p0"/>
    <w:basedOn w:val="1"/>
    <w:qFormat/>
    <w:uiPriority w:val="0"/>
    <w:pPr>
      <w:widowControl/>
      <w:spacing w:line="595" w:lineRule="atLeast"/>
      <w:ind w:left="1" w:firstLine="0" w:firstLineChars="0"/>
      <w:textAlignment w:val="bottom"/>
    </w:pPr>
    <w:rPr>
      <w:color w:val="000000"/>
      <w:kern w:val="0"/>
      <w:sz w:val="21"/>
      <w:szCs w:val="21"/>
    </w:rPr>
  </w:style>
  <w:style w:type="paragraph" w:customStyle="1" w:styleId="259">
    <w:name w:val="图目"/>
    <w:basedOn w:val="1"/>
    <w:qFormat/>
    <w:uiPriority w:val="0"/>
    <w:pPr>
      <w:snapToGrid w:val="0"/>
      <w:spacing w:before="360" w:after="360" w:line="440" w:lineRule="atLeast"/>
      <w:ind w:firstLine="0" w:firstLineChars="0"/>
      <w:jc w:val="center"/>
    </w:pPr>
    <w:rPr>
      <w:rFonts w:ascii="黑体" w:hAnsi="Arial" w:eastAsia="黑体"/>
      <w:szCs w:val="20"/>
    </w:rPr>
  </w:style>
  <w:style w:type="paragraph" w:customStyle="1" w:styleId="260">
    <w:name w:val="表文字"/>
    <w:basedOn w:val="1"/>
    <w:qFormat/>
    <w:uiPriority w:val="0"/>
    <w:pPr>
      <w:overflowPunct w:val="0"/>
      <w:autoSpaceDE w:val="0"/>
      <w:autoSpaceDN w:val="0"/>
      <w:adjustRightInd w:val="0"/>
      <w:spacing w:line="240" w:lineRule="atLeast"/>
      <w:ind w:firstLine="0" w:firstLineChars="0"/>
      <w:jc w:val="center"/>
      <w:textAlignment w:val="baseline"/>
    </w:pPr>
    <w:rPr>
      <w:kern w:val="0"/>
      <w:szCs w:val="20"/>
    </w:rPr>
  </w:style>
  <w:style w:type="paragraph" w:customStyle="1" w:styleId="261">
    <w:name w:val="Body text|2"/>
    <w:basedOn w:val="1"/>
    <w:qFormat/>
    <w:uiPriority w:val="0"/>
    <w:pPr>
      <w:shd w:val="clear" w:color="auto" w:fill="FFFFFF"/>
      <w:wordWrap/>
      <w:autoSpaceDE/>
      <w:autoSpaceDN/>
      <w:spacing w:after="240" w:line="220" w:lineRule="exact"/>
    </w:pPr>
    <w:rPr>
      <w:rFonts w:ascii="PMingLiU" w:hAnsi="PMingLiU" w:eastAsia="PMingLiU" w:cs="PMingLiU"/>
      <w:sz w:val="22"/>
    </w:rPr>
  </w:style>
  <w:style w:type="paragraph" w:customStyle="1" w:styleId="262">
    <w:name w:val="xl47"/>
    <w:basedOn w:val="1"/>
    <w:qFormat/>
    <w:uiPriority w:val="0"/>
    <w:pPr>
      <w:widowControl/>
      <w:pBdr>
        <w:top w:val="single" w:color="000000" w:sz="8" w:space="0"/>
        <w:left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63">
    <w:name w:val="p15"/>
    <w:basedOn w:val="1"/>
    <w:qFormat/>
    <w:uiPriority w:val="0"/>
    <w:pPr>
      <w:widowControl/>
      <w:snapToGrid w:val="0"/>
      <w:spacing w:line="240" w:lineRule="atLeast"/>
      <w:ind w:firstLine="0" w:firstLineChars="0"/>
      <w:jc w:val="center"/>
    </w:pPr>
    <w:rPr>
      <w:kern w:val="0"/>
      <w:sz w:val="21"/>
      <w:szCs w:val="21"/>
    </w:rPr>
  </w:style>
  <w:style w:type="paragraph" w:customStyle="1" w:styleId="264">
    <w:name w:val="缩进"/>
    <w:basedOn w:val="1"/>
    <w:qFormat/>
    <w:uiPriority w:val="0"/>
    <w:pPr>
      <w:autoSpaceDE w:val="0"/>
      <w:autoSpaceDN w:val="0"/>
      <w:adjustRightInd w:val="0"/>
      <w:spacing w:line="400" w:lineRule="atLeast"/>
      <w:ind w:firstLine="425" w:firstLineChars="0"/>
      <w:textAlignment w:val="baseline"/>
    </w:pPr>
    <w:rPr>
      <w:szCs w:val="20"/>
    </w:rPr>
  </w:style>
  <w:style w:type="paragraph" w:customStyle="1" w:styleId="265">
    <w:name w:val="表标题"/>
    <w:basedOn w:val="1"/>
    <w:qFormat/>
    <w:uiPriority w:val="0"/>
    <w:pPr>
      <w:ind w:firstLine="482"/>
      <w:jc w:val="center"/>
    </w:pPr>
    <w:rPr>
      <w:rFonts w:ascii="仿宋_GB2312" w:eastAsia="仿宋_GB2312"/>
      <w:b/>
      <w:bCs/>
    </w:rPr>
  </w:style>
  <w:style w:type="paragraph" w:customStyle="1" w:styleId="266">
    <w:name w:val="样式 标题 1-*+章标题 11.标题 1h11st levelSection Headl1b1H1Head..."/>
    <w:basedOn w:val="3"/>
    <w:qFormat/>
    <w:uiPriority w:val="0"/>
    <w:pPr>
      <w:numPr>
        <w:ilvl w:val="0"/>
        <w:numId w:val="0"/>
      </w:numPr>
      <w:tabs>
        <w:tab w:val="left" w:pos="432"/>
      </w:tabs>
      <w:spacing w:before="0" w:after="0" w:line="360" w:lineRule="auto"/>
      <w:ind w:left="432" w:hanging="432"/>
      <w:jc w:val="left"/>
    </w:pPr>
    <w:rPr>
      <w:rFonts w:ascii="宋体" w:hAnsi="宋体" w:cs="宋体"/>
      <w:color w:val="000000"/>
      <w:kern w:val="2"/>
      <w:sz w:val="32"/>
      <w:szCs w:val="20"/>
    </w:rPr>
  </w:style>
  <w:style w:type="paragraph" w:customStyle="1" w:styleId="267">
    <w:name w:val="宏福正文-2"/>
    <w:qFormat/>
    <w:uiPriority w:val="0"/>
    <w:pPr>
      <w:snapToGrid w:val="0"/>
      <w:spacing w:before="240" w:line="400" w:lineRule="atLeast"/>
      <w:ind w:firstLine="567"/>
    </w:pPr>
    <w:rPr>
      <w:rFonts w:ascii="Times New Roman" w:hAnsi="Times New Roman" w:eastAsia="宋体" w:cs="Times New Roman"/>
      <w:sz w:val="28"/>
      <w:lang w:val="en-US" w:eastAsia="zh-CN" w:bidi="ar-SA"/>
    </w:rPr>
  </w:style>
  <w:style w:type="paragraph" w:customStyle="1" w:styleId="268">
    <w:name w:val="xl40"/>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69">
    <w:name w:val="表格1"/>
    <w:basedOn w:val="1"/>
    <w:qFormat/>
    <w:uiPriority w:val="0"/>
    <w:pPr>
      <w:adjustRightInd w:val="0"/>
      <w:spacing w:line="240" w:lineRule="auto"/>
      <w:ind w:firstLine="0" w:firstLineChars="0"/>
      <w:jc w:val="center"/>
    </w:pPr>
    <w:rPr>
      <w:rFonts w:ascii="宋体"/>
      <w:kern w:val="0"/>
      <w:szCs w:val="20"/>
    </w:rPr>
  </w:style>
  <w:style w:type="paragraph" w:customStyle="1" w:styleId="270">
    <w:name w:val="百大标题3"/>
    <w:basedOn w:val="5"/>
    <w:qFormat/>
    <w:uiPriority w:val="0"/>
    <w:pPr>
      <w:numPr>
        <w:ilvl w:val="2"/>
        <w:numId w:val="0"/>
      </w:numPr>
      <w:spacing w:before="260" w:beforeLines="0" w:after="260" w:line="520" w:lineRule="exact"/>
    </w:pPr>
    <w:rPr>
      <w:rFonts w:cs="宋体"/>
      <w:sz w:val="28"/>
      <w:szCs w:val="20"/>
    </w:rPr>
  </w:style>
  <w:style w:type="paragraph" w:customStyle="1" w:styleId="271">
    <w:name w:val=" Char Char Char Char"/>
    <w:basedOn w:val="1"/>
    <w:qFormat/>
    <w:uiPriority w:val="0"/>
    <w:pPr>
      <w:spacing w:line="240" w:lineRule="auto"/>
      <w:ind w:firstLine="0" w:firstLineChars="0"/>
    </w:pPr>
  </w:style>
  <w:style w:type="paragraph" w:customStyle="1" w:styleId="272">
    <w:name w:val=" Char Char Char Char Char Char Char Char Char Char Char Char Char Char Char Char"/>
    <w:basedOn w:val="1"/>
    <w:next w:val="1"/>
    <w:qFormat/>
    <w:uiPriority w:val="0"/>
    <w:pPr>
      <w:keepNext/>
      <w:keepLines/>
      <w:widowControl/>
      <w:adjustRightInd w:val="0"/>
      <w:spacing w:before="40" w:after="40" w:line="360" w:lineRule="auto"/>
      <w:ind w:firstLine="482"/>
      <w:textAlignment w:val="baseline"/>
    </w:pPr>
    <w:rPr>
      <w:rFonts w:cs="宋体"/>
      <w:b/>
      <w:kern w:val="0"/>
      <w:szCs w:val="28"/>
    </w:rPr>
  </w:style>
  <w:style w:type="paragraph" w:customStyle="1" w:styleId="273">
    <w:name w:val="Char12"/>
    <w:basedOn w:val="1"/>
    <w:qFormat/>
    <w:uiPriority w:val="0"/>
    <w:pPr>
      <w:spacing w:line="240" w:lineRule="auto"/>
      <w:ind w:firstLine="0" w:firstLineChars="0"/>
    </w:pPr>
    <w:rPr>
      <w:sz w:val="21"/>
    </w:rPr>
  </w:style>
  <w:style w:type="paragraph" w:customStyle="1" w:styleId="274">
    <w:name w:val="样式 标题 3 + (西文) Times New Roman (中文) 宋体 小四 加粗"/>
    <w:basedOn w:val="1"/>
    <w:qFormat/>
    <w:uiPriority w:val="0"/>
    <w:pPr>
      <w:spacing w:line="240" w:lineRule="auto"/>
      <w:ind w:firstLine="0" w:firstLineChars="0"/>
    </w:pPr>
    <w:rPr>
      <w:sz w:val="21"/>
    </w:rPr>
  </w:style>
  <w:style w:type="paragraph" w:customStyle="1" w:styleId="275">
    <w:name w:val="xl49"/>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76">
    <w:name w:val="表标题 "/>
    <w:basedOn w:val="1"/>
    <w:qFormat/>
    <w:uiPriority w:val="0"/>
    <w:pPr>
      <w:adjustRightInd w:val="0"/>
      <w:spacing w:before="180" w:after="120" w:line="397" w:lineRule="atLeast"/>
      <w:ind w:firstLine="480" w:firstLineChars="0"/>
      <w:jc w:val="center"/>
      <w:textAlignment w:val="baseline"/>
    </w:pPr>
    <w:rPr>
      <w:b/>
      <w:kern w:val="0"/>
      <w:szCs w:val="20"/>
    </w:rPr>
  </w:style>
  <w:style w:type="paragraph" w:customStyle="1" w:styleId="277">
    <w:name w:val="No Spacing"/>
    <w:basedOn w:val="1"/>
    <w:qFormat/>
    <w:uiPriority w:val="1"/>
    <w:pPr>
      <w:spacing w:line="240" w:lineRule="auto"/>
    </w:pPr>
    <w:rPr>
      <w:rFonts w:ascii="Times New Roman"/>
      <w:kern w:val="2"/>
      <w:sz w:val="21"/>
      <w:szCs w:val="32"/>
    </w:rPr>
  </w:style>
  <w:style w:type="paragraph" w:customStyle="1" w:styleId="278">
    <w:name w:val="Default"/>
    <w:basedOn w:val="279"/>
    <w:qFormat/>
    <w:uiPriority w:val="0"/>
    <w:pPr>
      <w:keepNext w:val="0"/>
      <w:keepLines w:val="0"/>
      <w:widowControl w:val="0"/>
      <w:suppressLineNumbers w:val="0"/>
      <w:autoSpaceDE w:val="0"/>
      <w:autoSpaceDN w:val="0"/>
      <w:spacing w:before="0" w:beforeAutospacing="0" w:after="0" w:afterAutospacing="0"/>
      <w:ind w:left="0" w:right="0"/>
      <w:jc w:val="left"/>
    </w:pPr>
    <w:rPr>
      <w:rFonts w:hint="eastAsia" w:ascii="宋体" w:hAnsi="Times New Roman" w:eastAsia="宋体" w:cs="宋体"/>
      <w:color w:val="000000"/>
      <w:kern w:val="0"/>
      <w:sz w:val="24"/>
      <w:szCs w:val="24"/>
      <w:lang w:val="en-US" w:eastAsia="zh-CN" w:bidi="ar-SA"/>
    </w:rPr>
  </w:style>
  <w:style w:type="paragraph" w:customStyle="1" w:styleId="279">
    <w:name w:val="标题2"/>
    <w:basedOn w:val="4"/>
    <w:qFormat/>
    <w:uiPriority w:val="0"/>
    <w:pPr>
      <w:numPr>
        <w:ilvl w:val="1"/>
        <w:numId w:val="2"/>
      </w:numPr>
      <w:spacing w:before="0" w:after="0" w:line="440" w:lineRule="exact"/>
    </w:pPr>
    <w:rPr>
      <w:kern w:val="0"/>
      <w:sz w:val="28"/>
    </w:rPr>
  </w:style>
  <w:style w:type="paragraph" w:customStyle="1" w:styleId="280">
    <w:name w:val="1 标题 1章标题 +"/>
    <w:basedOn w:val="3"/>
    <w:qFormat/>
    <w:uiPriority w:val="0"/>
    <w:pPr>
      <w:numPr>
        <w:ilvl w:val="0"/>
        <w:numId w:val="0"/>
      </w:numPr>
    </w:pPr>
    <w:rPr>
      <w:kern w:val="0"/>
      <w:sz w:val="32"/>
      <w:szCs w:val="36"/>
    </w:rPr>
  </w:style>
  <w:style w:type="paragraph" w:customStyle="1" w:styleId="281">
    <w:name w:val="xl52"/>
    <w:basedOn w:val="1"/>
    <w:qFormat/>
    <w:uiPriority w:val="0"/>
    <w:pPr>
      <w:widowControl/>
      <w:pBdr>
        <w:top w:val="single" w:color="000000" w:sz="8"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82">
    <w:name w:val=" Char Char Char Char Char Char Char Char Char Char Char Char Char Char Char Char Char Char Char Char Char Char Char Char Char Char Char Char Char Char Char Char Char Char Char Char Char Char Char Char"/>
    <w:basedOn w:val="1"/>
    <w:qFormat/>
    <w:uiPriority w:val="0"/>
    <w:pPr>
      <w:spacing w:line="240" w:lineRule="auto"/>
      <w:ind w:firstLine="0" w:firstLineChars="0"/>
    </w:pPr>
  </w:style>
  <w:style w:type="paragraph" w:customStyle="1" w:styleId="283">
    <w:name w:val="Normal_14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284">
    <w:name w:val="图表文字"/>
    <w:basedOn w:val="1"/>
    <w:qFormat/>
    <w:uiPriority w:val="0"/>
    <w:pPr>
      <w:spacing w:line="300" w:lineRule="exact"/>
      <w:ind w:firstLine="0" w:firstLineChars="0"/>
      <w:jc w:val="center"/>
    </w:pPr>
    <w:rPr>
      <w:bCs/>
      <w:sz w:val="21"/>
      <w:szCs w:val="20"/>
    </w:rPr>
  </w:style>
  <w:style w:type="paragraph" w:customStyle="1" w:styleId="285">
    <w:name w:val="样式3"/>
    <w:basedOn w:val="1"/>
    <w:qFormat/>
    <w:uiPriority w:val="0"/>
    <w:pPr>
      <w:autoSpaceDE w:val="0"/>
      <w:autoSpaceDN w:val="0"/>
      <w:snapToGrid w:val="0"/>
      <w:spacing w:before="120" w:line="460" w:lineRule="atLeast"/>
      <w:ind w:firstLine="0" w:firstLineChars="0"/>
      <w:jc w:val="center"/>
    </w:pPr>
    <w:rPr>
      <w:rFonts w:eastAsia="黑体"/>
      <w:sz w:val="28"/>
    </w:rPr>
  </w:style>
  <w:style w:type="paragraph" w:customStyle="1" w:styleId="286">
    <w:name w:val="Char Char Char Char Char Char Char"/>
    <w:basedOn w:val="1"/>
    <w:qFormat/>
    <w:uiPriority w:val="0"/>
    <w:pPr>
      <w:widowControl/>
      <w:spacing w:after="160" w:line="240" w:lineRule="exact"/>
      <w:ind w:firstLine="0" w:firstLineChars="0"/>
      <w:jc w:val="left"/>
    </w:pPr>
    <w:rPr>
      <w:rFonts w:ascii="Arial" w:hAnsi="Arial" w:eastAsia="Times New Roman" w:cs="Verdana"/>
      <w:b/>
      <w:kern w:val="0"/>
      <w:lang w:eastAsia="en-US"/>
    </w:rPr>
  </w:style>
  <w:style w:type="paragraph" w:customStyle="1" w:styleId="287">
    <w:name w:val="xl57"/>
    <w:basedOn w:val="1"/>
    <w:qFormat/>
    <w:uiPriority w:val="0"/>
    <w:pPr>
      <w:widowControl/>
      <w:pBdr>
        <w:top w:val="single" w:color="000000" w:sz="8"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88">
    <w:name w:val="xl51"/>
    <w:basedOn w:val="1"/>
    <w:qFormat/>
    <w:uiPriority w:val="0"/>
    <w:pPr>
      <w:widowControl/>
      <w:pBdr>
        <w:top w:val="single" w:color="000000" w:sz="8" w:space="0"/>
        <w:lef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89">
    <w:name w:val="样式5"/>
    <w:basedOn w:val="1"/>
    <w:qFormat/>
    <w:uiPriority w:val="0"/>
    <w:pPr>
      <w:tabs>
        <w:tab w:val="left" w:pos="840"/>
        <w:tab w:val="left" w:pos="2040"/>
      </w:tabs>
      <w:spacing w:line="240" w:lineRule="auto"/>
      <w:ind w:left="840" w:firstLine="0" w:firstLineChars="0"/>
    </w:pPr>
    <w:rPr>
      <w:sz w:val="21"/>
    </w:rPr>
  </w:style>
  <w:style w:type="paragraph" w:customStyle="1" w:styleId="290">
    <w:name w:val="font8"/>
    <w:basedOn w:val="1"/>
    <w:qFormat/>
    <w:uiPriority w:val="0"/>
    <w:pPr>
      <w:widowControl/>
      <w:spacing w:before="100" w:beforeAutospacing="1" w:after="100" w:afterAutospacing="1" w:line="240" w:lineRule="auto"/>
      <w:ind w:firstLine="0" w:firstLineChars="0"/>
      <w:jc w:val="left"/>
    </w:pPr>
    <w:rPr>
      <w:rFonts w:hint="eastAsia" w:ascii="宋体" w:hAnsi="宋体"/>
      <w:color w:val="000000"/>
      <w:kern w:val="0"/>
    </w:rPr>
  </w:style>
  <w:style w:type="paragraph" w:customStyle="1" w:styleId="291">
    <w:name w:val="表格内容"/>
    <w:basedOn w:val="1"/>
    <w:qFormat/>
    <w:uiPriority w:val="0"/>
    <w:pPr>
      <w:overflowPunct w:val="0"/>
      <w:adjustRightInd w:val="0"/>
      <w:spacing w:before="40" w:after="60" w:line="200" w:lineRule="atLeast"/>
      <w:ind w:firstLine="0" w:firstLineChars="0"/>
      <w:textAlignment w:val="baseline"/>
    </w:pPr>
    <w:rPr>
      <w:rFonts w:ascii="Arial" w:hAnsi="Arial" w:eastAsia="仿宋_GB2312"/>
      <w:kern w:val="0"/>
      <w:szCs w:val="20"/>
    </w:rPr>
  </w:style>
  <w:style w:type="paragraph" w:customStyle="1" w:styleId="292">
    <w:name w:val="样式 首行缩进"/>
    <w:basedOn w:val="1"/>
    <w:qFormat/>
    <w:uiPriority w:val="0"/>
    <w:pPr>
      <w:keepNext w:val="0"/>
      <w:keepLines w:val="0"/>
      <w:widowControl w:val="0"/>
      <w:suppressLineNumbers w:val="0"/>
      <w:spacing w:before="60" w:beforeAutospacing="0" w:after="60" w:afterAutospacing="0" w:line="360" w:lineRule="auto"/>
      <w:ind w:left="0" w:right="0" w:firstLine="480" w:firstLineChars="200"/>
      <w:jc w:val="both"/>
    </w:pPr>
    <w:rPr>
      <w:rFonts w:hint="default" w:ascii="Times New Roman" w:hAnsi="Times New Roman" w:eastAsia="宋体" w:cs="宋体"/>
      <w:kern w:val="2"/>
      <w:sz w:val="24"/>
      <w:szCs w:val="20"/>
      <w:lang w:val="en-US" w:eastAsia="zh-CN" w:bidi="ar"/>
    </w:rPr>
  </w:style>
  <w:style w:type="paragraph" w:customStyle="1" w:styleId="293">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94">
    <w:name w:val="样式 小四"/>
    <w:basedOn w:val="1"/>
    <w:qFormat/>
    <w:uiPriority w:val="0"/>
    <w:pPr>
      <w:spacing w:before="156" w:beforeLines="50" w:line="360" w:lineRule="auto"/>
    </w:pPr>
    <w:rPr>
      <w:rFonts w:cs="宋体"/>
    </w:rPr>
  </w:style>
  <w:style w:type="paragraph" w:customStyle="1" w:styleId="295">
    <w:name w:val="xl34"/>
    <w:basedOn w:val="1"/>
    <w:qFormat/>
    <w:uiPriority w:val="0"/>
    <w:pPr>
      <w:widowControl/>
      <w:spacing w:before="100" w:beforeAutospacing="1" w:after="100" w:afterAutospacing="1" w:line="240" w:lineRule="auto"/>
      <w:ind w:firstLine="0" w:firstLineChars="0"/>
      <w:jc w:val="center"/>
    </w:pPr>
    <w:rPr>
      <w:rFonts w:ascii="Arial Unicode MS" w:hAnsi="Arial Unicode MS" w:eastAsia="Arial Unicode MS"/>
      <w:kern w:val="0"/>
    </w:rPr>
  </w:style>
  <w:style w:type="paragraph" w:customStyle="1" w:styleId="296">
    <w:name w:val="样式 标题 3H3h33rd level第二层条Re标题 3 Char3条标题1.1.1 Char标题 3 Ch..."/>
    <w:basedOn w:val="5"/>
    <w:qFormat/>
    <w:uiPriority w:val="0"/>
    <w:pPr>
      <w:numPr>
        <w:ilvl w:val="2"/>
        <w:numId w:val="0"/>
      </w:numPr>
      <w:adjustRightInd w:val="0"/>
      <w:snapToGrid w:val="0"/>
      <w:spacing w:before="0" w:beforeLines="0" w:line="480" w:lineRule="exact"/>
      <w:jc w:val="left"/>
    </w:pPr>
    <w:rPr>
      <w:rFonts w:eastAsia="黑体"/>
      <w:b w:val="0"/>
      <w:bCs w:val="0"/>
      <w:snapToGrid w:val="0"/>
      <w:kern w:val="20"/>
    </w:rPr>
  </w:style>
  <w:style w:type="paragraph" w:customStyle="1" w:styleId="29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298">
    <w:name w:val="xl2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299">
    <w:name w:val="xl35"/>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kern w:val="0"/>
    </w:rPr>
  </w:style>
  <w:style w:type="paragraph" w:customStyle="1" w:styleId="300">
    <w:name w:val="表格内容自定"/>
    <w:basedOn w:val="1"/>
    <w:qFormat/>
    <w:uiPriority w:val="0"/>
    <w:pPr>
      <w:spacing w:line="280" w:lineRule="exact"/>
      <w:ind w:firstLine="0" w:firstLineChars="0"/>
      <w:jc w:val="center"/>
    </w:pPr>
    <w:rPr>
      <w:kern w:val="0"/>
      <w:sz w:val="18"/>
      <w:szCs w:val="21"/>
    </w:rPr>
  </w:style>
  <w:style w:type="paragraph" w:customStyle="1" w:styleId="301">
    <w:name w:val="xl48"/>
    <w:basedOn w:val="1"/>
    <w:qFormat/>
    <w:uiPriority w:val="0"/>
    <w:pPr>
      <w:widowControl/>
      <w:pBdr>
        <w:left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302">
    <w:name w:val="小四表文左齐"/>
    <w:basedOn w:val="1"/>
    <w:qFormat/>
    <w:uiPriority w:val="0"/>
    <w:pPr>
      <w:spacing w:line="240" w:lineRule="auto"/>
      <w:ind w:firstLine="0" w:firstLineChars="0"/>
      <w:jc w:val="center"/>
    </w:pPr>
    <w:rPr>
      <w:rFonts w:ascii="宋体" w:hAnsi="宋体"/>
    </w:rPr>
  </w:style>
  <w:style w:type="paragraph" w:customStyle="1" w:styleId="303">
    <w:name w:val="正文A"/>
    <w:basedOn w:val="1"/>
    <w:semiHidden/>
    <w:qFormat/>
    <w:uiPriority w:val="0"/>
    <w:pPr>
      <w:spacing w:line="520" w:lineRule="exact"/>
      <w:ind w:firstLine="480" w:firstLineChars="200"/>
    </w:pPr>
    <w:rPr>
      <w:rFonts w:ascii="宋体" w:hAnsi="宋体" w:cs="宋体"/>
      <w:b/>
      <w:bCs/>
      <w:sz w:val="24"/>
      <w:szCs w:val="44"/>
    </w:rPr>
  </w:style>
  <w:style w:type="paragraph" w:customStyle="1" w:styleId="304">
    <w:name w:val="供销社正文"/>
    <w:basedOn w:val="1"/>
    <w:qFormat/>
    <w:uiPriority w:val="0"/>
    <w:pPr>
      <w:spacing w:line="360" w:lineRule="auto"/>
      <w:ind w:firstLine="560"/>
    </w:pPr>
    <w:rPr>
      <w:rFonts w:ascii="宋体" w:hAnsi="宋体" w:cs="宋体"/>
      <w:sz w:val="28"/>
      <w:szCs w:val="20"/>
    </w:rPr>
  </w:style>
  <w:style w:type="paragraph" w:customStyle="1" w:styleId="305">
    <w:name w:val="海尔正文"/>
    <w:basedOn w:val="1"/>
    <w:qFormat/>
    <w:uiPriority w:val="0"/>
    <w:pPr>
      <w:spacing w:line="360" w:lineRule="auto"/>
      <w:ind w:firstLine="560"/>
    </w:pPr>
    <w:rPr>
      <w:rFonts w:ascii="宋体" w:hAnsi="宋体" w:cs="宋体"/>
      <w:sz w:val="28"/>
      <w:szCs w:val="20"/>
    </w:rPr>
  </w:style>
  <w:style w:type="paragraph" w:customStyle="1" w:styleId="306">
    <w:name w:val="xl4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307">
    <w:name w:val="样式 样式 样式 标题 3 + 段前: 0.5 行 段后: 0.5 行1 + 段前: 0.5 行 段后: 0.5 行 + 段前:..."/>
    <w:basedOn w:val="1"/>
    <w:qFormat/>
    <w:uiPriority w:val="0"/>
    <w:pPr>
      <w:keepNext/>
      <w:keepLines/>
      <w:tabs>
        <w:tab w:val="left" w:pos="170"/>
        <w:tab w:val="left" w:pos="1740"/>
      </w:tabs>
      <w:adjustRightInd w:val="0"/>
      <w:snapToGrid w:val="0"/>
      <w:spacing w:before="156" w:beforeLines="50" w:after="156" w:afterLines="50" w:line="300" w:lineRule="auto"/>
      <w:ind w:left="1740" w:firstLine="0" w:firstLineChars="0"/>
      <w:jc w:val="left"/>
      <w:outlineLvl w:val="2"/>
    </w:pPr>
    <w:rPr>
      <w:rFonts w:ascii="仿宋_GB2312" w:cs="宋体"/>
      <w:color w:val="800080"/>
      <w:sz w:val="28"/>
      <w:szCs w:val="20"/>
    </w:rPr>
  </w:style>
  <w:style w:type="paragraph" w:customStyle="1" w:styleId="308">
    <w:name w:val="默认段落字体 Para Char Char Char Char Char Char Char"/>
    <w:basedOn w:val="1"/>
    <w:qFormat/>
    <w:uiPriority w:val="0"/>
    <w:pPr>
      <w:spacing w:line="240" w:lineRule="auto"/>
      <w:ind w:firstLine="0" w:firstLineChars="0"/>
    </w:pPr>
    <w:rPr>
      <w:rFonts w:eastAsia="仿宋_GB2312"/>
      <w:sz w:val="30"/>
      <w:szCs w:val="20"/>
    </w:rPr>
  </w:style>
  <w:style w:type="paragraph" w:customStyle="1" w:styleId="309">
    <w:name w:val="表"/>
    <w:basedOn w:val="1"/>
    <w:next w:val="36"/>
    <w:qFormat/>
    <w:uiPriority w:val="0"/>
    <w:pPr>
      <w:spacing w:line="240" w:lineRule="auto"/>
      <w:ind w:firstLine="0" w:firstLineChars="0"/>
      <w:jc w:val="center"/>
    </w:pPr>
    <w:rPr>
      <w:rFonts w:ascii="宋体" w:hAnsi="宋体" w:eastAsia="仿宋_GB2312"/>
      <w:color w:val="000000"/>
      <w:kern w:val="21"/>
    </w:rPr>
  </w:style>
  <w:style w:type="paragraph" w:customStyle="1" w:styleId="310">
    <w:name w:val="样式 标题 2节节标题 1.1H2（一）Underrubrik1prop2Heading 2 HiddenHea...1"/>
    <w:basedOn w:val="4"/>
    <w:qFormat/>
    <w:uiPriority w:val="0"/>
    <w:pPr>
      <w:numPr>
        <w:ilvl w:val="1"/>
        <w:numId w:val="0"/>
      </w:numPr>
      <w:tabs>
        <w:tab w:val="left" w:pos="576"/>
      </w:tabs>
      <w:spacing w:before="156" w:beforeLines="50" w:after="0"/>
      <w:jc w:val="left"/>
    </w:pPr>
    <w:rPr>
      <w:rFonts w:ascii="宋体" w:hAnsi="Arial"/>
      <w:color w:val="000000"/>
      <w:sz w:val="30"/>
    </w:rPr>
  </w:style>
  <w:style w:type="paragraph" w:customStyle="1" w:styleId="311">
    <w:name w:val="font7"/>
    <w:basedOn w:val="1"/>
    <w:qFormat/>
    <w:uiPriority w:val="0"/>
    <w:pPr>
      <w:widowControl/>
      <w:spacing w:before="100" w:beforeAutospacing="1" w:after="100" w:afterAutospacing="1" w:line="240" w:lineRule="auto"/>
      <w:ind w:firstLine="0" w:firstLineChars="0"/>
      <w:jc w:val="left"/>
    </w:pPr>
    <w:rPr>
      <w:color w:val="000000"/>
      <w:kern w:val="0"/>
    </w:rPr>
  </w:style>
  <w:style w:type="paragraph" w:customStyle="1" w:styleId="312">
    <w:name w:val="样式 小四 段前: 6 磅 段后: 2.4 磅 行距: 固定值 22 磅"/>
    <w:basedOn w:val="1"/>
    <w:qFormat/>
    <w:uiPriority w:val="0"/>
    <w:pPr>
      <w:snapToGrid w:val="0"/>
      <w:spacing w:after="100" w:afterAutospacing="1" w:line="240" w:lineRule="atLeast"/>
      <w:ind w:firstLine="537"/>
    </w:pPr>
    <w:rPr>
      <w:rFonts w:ascii="宋体"/>
      <w:b/>
      <w:bCs/>
      <w:color w:val="0000FF"/>
      <w:spacing w:val="4"/>
      <w:sz w:val="26"/>
      <w:szCs w:val="20"/>
    </w:rPr>
  </w:style>
  <w:style w:type="paragraph" w:customStyle="1" w:styleId="313">
    <w:name w:val="xl60"/>
    <w:basedOn w:val="1"/>
    <w:qFormat/>
    <w:uiPriority w:val="0"/>
    <w:pPr>
      <w:widowControl/>
      <w:pBdr>
        <w:top w:val="single" w:color="000000" w:sz="8" w:space="0"/>
        <w:left w:val="single" w:color="000000" w:sz="8"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314">
    <w:name w:val="样式 标题 1 + (中文) 宋体 小三 行距: 多倍行距 1.35 字行"/>
    <w:basedOn w:val="3"/>
    <w:qFormat/>
    <w:uiPriority w:val="0"/>
    <w:pPr>
      <w:numPr>
        <w:ilvl w:val="0"/>
        <w:numId w:val="0"/>
      </w:numPr>
      <w:snapToGrid w:val="0"/>
      <w:spacing w:before="0" w:after="0" w:line="360" w:lineRule="auto"/>
    </w:pPr>
    <w:rPr>
      <w:rFonts w:hAnsi="宋体"/>
      <w:sz w:val="32"/>
      <w:szCs w:val="32"/>
    </w:rPr>
  </w:style>
  <w:style w:type="paragraph" w:customStyle="1" w:styleId="315">
    <w:name w:val="xl38"/>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line="240" w:lineRule="auto"/>
      <w:ind w:firstLine="0" w:firstLineChars="0"/>
      <w:jc w:val="center"/>
      <w:textAlignment w:val="center"/>
    </w:pPr>
    <w:rPr>
      <w:rFonts w:ascii="Arial Unicode MS" w:hAnsi="Arial Unicode MS"/>
      <w:color w:val="000000"/>
      <w:kern w:val="0"/>
    </w:rPr>
  </w:style>
  <w:style w:type="paragraph" w:customStyle="1" w:styleId="316">
    <w:name w:val="样式 列表 + 左侧:  0 厘米 悬挂缩进: 2 字符"/>
    <w:basedOn w:val="36"/>
    <w:qFormat/>
    <w:uiPriority w:val="0"/>
    <w:pPr>
      <w:autoSpaceDE w:val="0"/>
      <w:autoSpaceDN w:val="0"/>
      <w:snapToGrid w:val="0"/>
      <w:spacing w:line="440" w:lineRule="atLeast"/>
      <w:ind w:left="0" w:firstLine="0" w:firstLineChars="0"/>
      <w:jc w:val="center"/>
    </w:pPr>
    <w:rPr>
      <w:kern w:val="0"/>
      <w:sz w:val="21"/>
    </w:rPr>
  </w:style>
  <w:style w:type="paragraph" w:customStyle="1" w:styleId="317">
    <w:name w:val="二级无标题条"/>
    <w:basedOn w:val="1"/>
    <w:qFormat/>
    <w:uiPriority w:val="0"/>
    <w:pPr>
      <w:spacing w:line="240" w:lineRule="auto"/>
      <w:ind w:firstLine="0" w:firstLineChars="0"/>
    </w:pPr>
    <w:rPr>
      <w:sz w:val="21"/>
    </w:rPr>
  </w:style>
  <w:style w:type="paragraph" w:customStyle="1" w:styleId="318">
    <w:name w:val="xl36"/>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Cs w:val="20"/>
    </w:rPr>
  </w:style>
  <w:style w:type="paragraph" w:customStyle="1" w:styleId="319">
    <w:name w:val="样式4"/>
    <w:basedOn w:val="5"/>
    <w:qFormat/>
    <w:uiPriority w:val="0"/>
    <w:pPr>
      <w:keepNext w:val="0"/>
      <w:numPr>
        <w:ilvl w:val="2"/>
        <w:numId w:val="0"/>
      </w:numPr>
      <w:tabs>
        <w:tab w:val="left" w:pos="890"/>
      </w:tabs>
      <w:adjustRightInd w:val="0"/>
      <w:snapToGrid w:val="0"/>
      <w:spacing w:before="0" w:beforeLines="0"/>
    </w:pPr>
    <w:rPr>
      <w:rFonts w:ascii="仿宋_GB2312" w:eastAsia="仿宋_GB2312"/>
      <w:b w:val="0"/>
      <w:bCs w:val="0"/>
      <w:sz w:val="28"/>
    </w:rPr>
  </w:style>
  <w:style w:type="paragraph" w:customStyle="1" w:styleId="320">
    <w:name w:val="样式 样式 正文首行缩进 + 首行缩进:  2 字符 + 首行缩进:  2 字符"/>
    <w:basedOn w:val="1"/>
    <w:qFormat/>
    <w:uiPriority w:val="0"/>
    <w:pPr>
      <w:topLinePunct/>
      <w:adjustRightInd w:val="0"/>
      <w:snapToGrid w:val="0"/>
      <w:spacing w:line="360" w:lineRule="auto"/>
      <w:ind w:firstLine="480" w:firstLineChars="0"/>
      <w:textAlignment w:val="baseline"/>
    </w:pPr>
    <w:rPr>
      <w:rFonts w:hAnsi="宋体" w:eastAsia="Times New Roman"/>
      <w:kern w:val="0"/>
      <w:szCs w:val="20"/>
    </w:rPr>
  </w:style>
  <w:style w:type="paragraph" w:customStyle="1" w:styleId="321">
    <w:name w:val="表1表2"/>
    <w:basedOn w:val="1"/>
    <w:qFormat/>
    <w:uiPriority w:val="0"/>
    <w:pPr>
      <w:autoSpaceDE w:val="0"/>
      <w:autoSpaceDN w:val="0"/>
      <w:adjustRightInd w:val="0"/>
      <w:spacing w:line="360" w:lineRule="auto"/>
      <w:ind w:firstLine="0" w:firstLineChars="0"/>
      <w:jc w:val="center"/>
      <w:textAlignment w:val="center"/>
    </w:pPr>
    <w:rPr>
      <w:rFonts w:eastAsia="仿宋体"/>
      <w:kern w:val="0"/>
      <w:sz w:val="21"/>
    </w:rPr>
  </w:style>
  <w:style w:type="paragraph" w:customStyle="1" w:styleId="322">
    <w:name w:val="xl33"/>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rPr>
  </w:style>
  <w:style w:type="paragraph" w:customStyle="1" w:styleId="323">
    <w:name w:val="Char Char"/>
    <w:basedOn w:val="1"/>
    <w:qFormat/>
    <w:uiPriority w:val="0"/>
    <w:pPr>
      <w:spacing w:line="240" w:lineRule="auto"/>
      <w:ind w:firstLine="0" w:firstLineChars="0"/>
    </w:pPr>
  </w:style>
  <w:style w:type="paragraph" w:customStyle="1" w:styleId="324">
    <w:name w:val="文本框"/>
    <w:basedOn w:val="1"/>
    <w:qFormat/>
    <w:uiPriority w:val="0"/>
    <w:pPr>
      <w:adjustRightInd w:val="0"/>
      <w:snapToGrid w:val="0"/>
      <w:spacing w:line="300" w:lineRule="exact"/>
      <w:ind w:firstLine="0" w:firstLineChars="0"/>
      <w:jc w:val="center"/>
    </w:pPr>
  </w:style>
  <w:style w:type="paragraph" w:customStyle="1" w:styleId="325">
    <w:name w:val="a"/>
    <w:basedOn w:val="1"/>
    <w:qFormat/>
    <w:uiPriority w:val="0"/>
    <w:pPr>
      <w:widowControl/>
      <w:spacing w:before="100" w:beforeAutospacing="1" w:after="100" w:afterAutospacing="1" w:line="240" w:lineRule="auto"/>
      <w:ind w:firstLine="0" w:firstLineChars="0"/>
      <w:jc w:val="left"/>
    </w:pPr>
    <w:rPr>
      <w:rFonts w:ascii="Arial Unicode MS" w:hAnsi="Arial Unicode MS"/>
      <w:kern w:val="0"/>
    </w:rPr>
  </w:style>
  <w:style w:type="paragraph" w:customStyle="1" w:styleId="326">
    <w:name w:val="表头"/>
    <w:basedOn w:val="1"/>
    <w:qFormat/>
    <w:uiPriority w:val="0"/>
    <w:pPr>
      <w:adjustRightInd w:val="0"/>
      <w:spacing w:line="320" w:lineRule="atLeast"/>
      <w:ind w:firstLine="0" w:firstLineChars="0"/>
      <w:jc w:val="center"/>
      <w:textAlignment w:val="baseline"/>
    </w:pPr>
    <w:rPr>
      <w:rFonts w:eastAsia="黑体"/>
      <w:color w:val="000000"/>
      <w:spacing w:val="-10"/>
      <w:kern w:val="0"/>
      <w:sz w:val="21"/>
      <w:szCs w:val="20"/>
    </w:rPr>
  </w:style>
  <w:style w:type="paragraph" w:customStyle="1" w:styleId="327">
    <w:name w:val="表内容"/>
    <w:basedOn w:val="1"/>
    <w:next w:val="1"/>
    <w:qFormat/>
    <w:uiPriority w:val="0"/>
    <w:pPr>
      <w:spacing w:line="320" w:lineRule="exact"/>
      <w:ind w:firstLine="0" w:firstLineChars="0"/>
      <w:jc w:val="center"/>
    </w:pPr>
    <w:rPr>
      <w:sz w:val="21"/>
      <w:szCs w:val="20"/>
    </w:rPr>
  </w:style>
  <w:style w:type="paragraph" w:customStyle="1" w:styleId="328">
    <w:name w:val="默认段落字体 Para Char Char Char Char Char Char Char Char Char Char"/>
    <w:basedOn w:val="5"/>
    <w:qFormat/>
    <w:uiPriority w:val="0"/>
    <w:pPr>
      <w:keepNext w:val="0"/>
      <w:keepLines w:val="0"/>
      <w:numPr>
        <w:ilvl w:val="2"/>
        <w:numId w:val="0"/>
      </w:numPr>
      <w:tabs>
        <w:tab w:val="left" w:pos="360"/>
        <w:tab w:val="left" w:pos="851"/>
        <w:tab w:val="left" w:pos="900"/>
      </w:tabs>
      <w:adjustRightInd w:val="0"/>
      <w:snapToGrid w:val="0"/>
      <w:spacing w:before="120" w:beforeLines="0" w:after="156" w:afterLines="50"/>
      <w:ind w:left="542" w:leftChars="-12" w:rightChars="50" w:firstLine="200" w:firstLineChars="200"/>
      <w:jc w:val="left"/>
    </w:pPr>
    <w:rPr>
      <w:bCs w:val="0"/>
      <w:sz w:val="32"/>
      <w:szCs w:val="20"/>
    </w:rPr>
  </w:style>
  <w:style w:type="paragraph" w:customStyle="1" w:styleId="329">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eastAsia="Arial Unicode MS"/>
      <w:kern w:val="0"/>
      <w:sz w:val="21"/>
      <w:szCs w:val="20"/>
    </w:rPr>
  </w:style>
  <w:style w:type="paragraph" w:customStyle="1" w:styleId="330">
    <w:name w:val="Char14"/>
    <w:basedOn w:val="1"/>
    <w:qFormat/>
    <w:uiPriority w:val="0"/>
    <w:pPr>
      <w:spacing w:line="240" w:lineRule="auto"/>
      <w:ind w:firstLine="0" w:firstLineChars="0"/>
    </w:pPr>
    <w:rPr>
      <w:sz w:val="21"/>
    </w:rPr>
  </w:style>
  <w:style w:type="paragraph" w:customStyle="1" w:styleId="331">
    <w:name w:val="Body Text 3"/>
    <w:basedOn w:val="1"/>
    <w:qFormat/>
    <w:uiPriority w:val="0"/>
    <w:pPr>
      <w:autoSpaceDE w:val="0"/>
      <w:autoSpaceDN w:val="0"/>
      <w:adjustRightInd w:val="0"/>
      <w:spacing w:line="312" w:lineRule="atLeast"/>
      <w:ind w:firstLine="0" w:firstLineChars="0"/>
      <w:jc w:val="center"/>
      <w:textAlignment w:val="baseline"/>
    </w:pPr>
    <w:rPr>
      <w:rFonts w:ascii="楷体" w:eastAsia="楷体"/>
      <w:kern w:val="0"/>
      <w:sz w:val="28"/>
      <w:szCs w:val="20"/>
    </w:rPr>
  </w:style>
  <w:style w:type="table" w:customStyle="1" w:styleId="332">
    <w:name w:val="网格型1"/>
    <w:basedOn w:val="4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33">
    <w:name w:val="4表格内正文"/>
    <w:basedOn w:val="334"/>
    <w:qFormat/>
    <w:uiPriority w:val="0"/>
    <w:pPr>
      <w:spacing w:line="240" w:lineRule="auto"/>
      <w:ind w:firstLine="0" w:firstLineChars="0"/>
      <w:jc w:val="center"/>
    </w:pPr>
    <w:rPr>
      <w:sz w:val="21"/>
    </w:rPr>
  </w:style>
  <w:style w:type="paragraph" w:customStyle="1" w:styleId="334">
    <w:name w:val="4正文格式"/>
    <w:basedOn w:val="1"/>
    <w:qFormat/>
    <w:uiPriority w:val="0"/>
    <w:rPr>
      <w:szCs w:val="21"/>
    </w:rPr>
  </w:style>
  <w:style w:type="paragraph" w:customStyle="1" w:styleId="335">
    <w:name w:val="样式 表格正文 + 黑色 段后: 0.1 行 行距: 最小值 12 磅"/>
    <w:basedOn w:val="336"/>
    <w:qFormat/>
    <w:uiPriority w:val="0"/>
    <w:pPr>
      <w:adjustRightInd/>
      <w:spacing w:line="360" w:lineRule="atLeast"/>
      <w:jc w:val="center"/>
      <w:textAlignment w:val="auto"/>
    </w:pPr>
    <w:rPr>
      <w:rFonts w:hint="eastAsia"/>
      <w:color w:val="000000"/>
    </w:rPr>
  </w:style>
  <w:style w:type="paragraph" w:customStyle="1" w:styleId="336">
    <w:name w:val="表格正文"/>
    <w:basedOn w:val="1"/>
    <w:qFormat/>
    <w:uiPriority w:val="0"/>
    <w:pPr>
      <w:adjustRightInd w:val="0"/>
      <w:spacing w:line="0" w:lineRule="atLeast"/>
      <w:textAlignment w:val="baseline"/>
    </w:pPr>
    <w:rPr>
      <w:szCs w:val="20"/>
    </w:rPr>
  </w:style>
  <w:style w:type="paragraph" w:customStyle="1" w:styleId="337">
    <w:name w:val="段落编号"/>
    <w:basedOn w:val="30"/>
    <w:qFormat/>
    <w:uiPriority w:val="0"/>
    <w:pPr>
      <w:numPr>
        <w:ilvl w:val="0"/>
        <w:numId w:val="3"/>
      </w:numPr>
      <w:tabs>
        <w:tab w:val="left" w:pos="140"/>
      </w:tabs>
      <w:adjustRightInd w:val="0"/>
      <w:spacing w:before="50" w:beforeLines="50" w:after="0" w:line="480" w:lineRule="exact"/>
      <w:ind w:leftChars="0"/>
      <w:textAlignment w:val="baseline"/>
    </w:pPr>
    <w:rPr>
      <w:spacing w:val="6"/>
      <w:kern w:val="0"/>
      <w:sz w:val="28"/>
      <w:szCs w:val="20"/>
    </w:rPr>
  </w:style>
  <w:style w:type="paragraph" w:customStyle="1" w:styleId="338">
    <w:name w:val="正文文本 21"/>
    <w:basedOn w:val="1"/>
    <w:qFormat/>
    <w:uiPriority w:val="0"/>
    <w:pPr>
      <w:adjustRightInd w:val="0"/>
      <w:jc w:val="center"/>
      <w:textAlignment w:val="baseline"/>
    </w:pPr>
    <w:rPr>
      <w:sz w:val="24"/>
      <w:szCs w:val="20"/>
    </w:rPr>
  </w:style>
  <w:style w:type="paragraph" w:customStyle="1" w:styleId="339">
    <w:name w:val="+标题4"/>
    <w:basedOn w:val="2"/>
    <w:qFormat/>
    <w:uiPriority w:val="0"/>
    <w:pPr>
      <w:tabs>
        <w:tab w:val="left" w:pos="0"/>
      </w:tabs>
      <w:snapToGrid w:val="0"/>
      <w:spacing w:before="0" w:after="0" w:line="360" w:lineRule="auto"/>
      <w:jc w:val="left"/>
    </w:pPr>
    <w:rPr>
      <w:rFonts w:ascii="Times New Roman" w:hAnsi="Times New Roman" w:eastAsia="宋体"/>
      <w:b w:val="0"/>
      <w:bCs w:val="0"/>
      <w:snapToGrid w:val="0"/>
      <w:sz w:val="24"/>
    </w:rPr>
  </w:style>
  <w:style w:type="paragraph" w:customStyle="1" w:styleId="340">
    <w:name w:val="表格标题"/>
    <w:basedOn w:val="1"/>
    <w:next w:val="1"/>
    <w:qFormat/>
    <w:uiPriority w:val="0"/>
    <w:pPr>
      <w:spacing w:line="240" w:lineRule="auto"/>
      <w:ind w:firstLine="0" w:firstLineChars="0"/>
      <w:jc w:val="center"/>
    </w:pPr>
    <w:rPr>
      <w:b/>
      <w:bCs/>
      <w:sz w:val="21"/>
      <w:szCs w:val="21"/>
    </w:rPr>
  </w:style>
  <w:style w:type="paragraph" w:customStyle="1" w:styleId="341">
    <w:name w:val="正文111"/>
    <w:basedOn w:val="1"/>
    <w:qFormat/>
    <w:uiPriority w:val="0"/>
    <w:pPr>
      <w:spacing w:line="360" w:lineRule="auto"/>
      <w:ind w:firstLine="480" w:firstLineChars="200"/>
    </w:pPr>
    <w:rPr>
      <w:color w:val="00B050"/>
    </w:rPr>
  </w:style>
  <w:style w:type="paragraph" w:customStyle="1" w:styleId="342">
    <w:name w:val="表头11"/>
    <w:basedOn w:val="1"/>
    <w:qFormat/>
    <w:uiPriority w:val="0"/>
    <w:pPr>
      <w:adjustRightInd/>
      <w:snapToGrid/>
      <w:spacing w:before="50" w:beforeLines="50" w:line="240" w:lineRule="auto"/>
      <w:jc w:val="center"/>
    </w:pPr>
    <w:rPr>
      <w:rFonts w:eastAsia="黑体" w:cstheme="minorBidi"/>
      <w:color w:val="00B050"/>
      <w:kern w:val="2"/>
      <w:szCs w:val="21"/>
    </w:rPr>
  </w:style>
  <w:style w:type="paragraph" w:customStyle="1" w:styleId="343">
    <w:name w:val="表内字体111"/>
    <w:basedOn w:val="344"/>
    <w:qFormat/>
    <w:uiPriority w:val="0"/>
    <w:pPr>
      <w:framePr w:hSpace="0" w:wrap="auto" w:vAnchor="margin" w:hAnchor="text" w:yAlign="inline"/>
    </w:pPr>
    <w:rPr>
      <w:color w:val="00B050"/>
    </w:rPr>
  </w:style>
  <w:style w:type="paragraph" w:customStyle="1" w:styleId="344">
    <w:name w:val="biaoge   neirong"/>
    <w:basedOn w:val="341"/>
    <w:qFormat/>
    <w:uiPriority w:val="0"/>
    <w:pPr>
      <w:framePr w:hSpace="180" w:wrap="around" w:vAnchor="text" w:hAnchor="margin" w:y="235"/>
      <w:adjustRightInd/>
      <w:snapToGrid/>
      <w:spacing w:line="240" w:lineRule="auto"/>
      <w:ind w:firstLine="0" w:firstLineChars="0"/>
      <w:jc w:val="center"/>
    </w:pPr>
    <w:rPr>
      <w:color w:val="auto"/>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61.png"/><Relationship Id="rId98" Type="http://schemas.openxmlformats.org/officeDocument/2006/relationships/image" Target="media/image60.emf"/><Relationship Id="rId97" Type="http://schemas.openxmlformats.org/officeDocument/2006/relationships/oleObject" Target="embeddings/oleObject23.bin"/><Relationship Id="rId96" Type="http://schemas.openxmlformats.org/officeDocument/2006/relationships/image" Target="media/image59.png"/><Relationship Id="rId95" Type="http://schemas.openxmlformats.org/officeDocument/2006/relationships/image" Target="media/image58.png"/><Relationship Id="rId94" Type="http://schemas.openxmlformats.org/officeDocument/2006/relationships/image" Target="media/image57.png"/><Relationship Id="rId93" Type="http://schemas.openxmlformats.org/officeDocument/2006/relationships/image" Target="media/image56.png"/><Relationship Id="rId92" Type="http://schemas.openxmlformats.org/officeDocument/2006/relationships/image" Target="media/image55.png"/><Relationship Id="rId91" Type="http://schemas.openxmlformats.org/officeDocument/2006/relationships/image" Target="media/image54.png"/><Relationship Id="rId90" Type="http://schemas.openxmlformats.org/officeDocument/2006/relationships/image" Target="media/image53.wmf"/><Relationship Id="rId9" Type="http://schemas.openxmlformats.org/officeDocument/2006/relationships/header" Target="header3.xml"/><Relationship Id="rId89" Type="http://schemas.openxmlformats.org/officeDocument/2006/relationships/image" Target="media/image52.wmf"/><Relationship Id="rId88" Type="http://schemas.openxmlformats.org/officeDocument/2006/relationships/image" Target="media/image51.wmf"/><Relationship Id="rId87" Type="http://schemas.openxmlformats.org/officeDocument/2006/relationships/image" Target="media/image50.wmf"/><Relationship Id="rId86" Type="http://schemas.openxmlformats.org/officeDocument/2006/relationships/image" Target="media/image49.png"/><Relationship Id="rId85" Type="http://schemas.openxmlformats.org/officeDocument/2006/relationships/image" Target="media/image48.png"/><Relationship Id="rId84" Type="http://schemas.openxmlformats.org/officeDocument/2006/relationships/image" Target="media/image47.wmf"/><Relationship Id="rId83" Type="http://schemas.openxmlformats.org/officeDocument/2006/relationships/oleObject" Target="embeddings/oleObject22.bin"/><Relationship Id="rId82" Type="http://schemas.openxmlformats.org/officeDocument/2006/relationships/image" Target="media/image46.wmf"/><Relationship Id="rId81" Type="http://schemas.openxmlformats.org/officeDocument/2006/relationships/oleObject" Target="embeddings/oleObject21.bin"/><Relationship Id="rId80" Type="http://schemas.openxmlformats.org/officeDocument/2006/relationships/image" Target="media/image45.wmf"/><Relationship Id="rId8" Type="http://schemas.openxmlformats.org/officeDocument/2006/relationships/footer" Target="footer2.xml"/><Relationship Id="rId79" Type="http://schemas.openxmlformats.org/officeDocument/2006/relationships/oleObject" Target="embeddings/oleObject20.bin"/><Relationship Id="rId78" Type="http://schemas.openxmlformats.org/officeDocument/2006/relationships/image" Target="media/image44.png"/><Relationship Id="rId77" Type="http://schemas.openxmlformats.org/officeDocument/2006/relationships/image" Target="media/image43.wmf"/><Relationship Id="rId76" Type="http://schemas.openxmlformats.org/officeDocument/2006/relationships/oleObject" Target="embeddings/oleObject19.bin"/><Relationship Id="rId75" Type="http://schemas.openxmlformats.org/officeDocument/2006/relationships/image" Target="media/image42.wmf"/><Relationship Id="rId74" Type="http://schemas.openxmlformats.org/officeDocument/2006/relationships/oleObject" Target="embeddings/oleObject18.bin"/><Relationship Id="rId73" Type="http://schemas.openxmlformats.org/officeDocument/2006/relationships/image" Target="media/image41.wmf"/><Relationship Id="rId72" Type="http://schemas.openxmlformats.org/officeDocument/2006/relationships/oleObject" Target="embeddings/oleObject17.bin"/><Relationship Id="rId71" Type="http://schemas.openxmlformats.org/officeDocument/2006/relationships/image" Target="media/image40.wmf"/><Relationship Id="rId70" Type="http://schemas.openxmlformats.org/officeDocument/2006/relationships/oleObject" Target="embeddings/oleObject16.bin"/><Relationship Id="rId7" Type="http://schemas.openxmlformats.org/officeDocument/2006/relationships/footer" Target="footer1.xml"/><Relationship Id="rId69" Type="http://schemas.openxmlformats.org/officeDocument/2006/relationships/image" Target="media/image39.wmf"/><Relationship Id="rId68" Type="http://schemas.openxmlformats.org/officeDocument/2006/relationships/oleObject" Target="embeddings/oleObject15.bin"/><Relationship Id="rId67" Type="http://schemas.openxmlformats.org/officeDocument/2006/relationships/image" Target="media/image38.wmf"/><Relationship Id="rId66" Type="http://schemas.openxmlformats.org/officeDocument/2006/relationships/oleObject" Target="embeddings/oleObject14.bin"/><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wmf"/><Relationship Id="rId61" Type="http://schemas.openxmlformats.org/officeDocument/2006/relationships/oleObject" Target="embeddings/oleObject13.bin"/><Relationship Id="rId60" Type="http://schemas.openxmlformats.org/officeDocument/2006/relationships/image" Target="media/image33.wmf"/><Relationship Id="rId6" Type="http://schemas.openxmlformats.org/officeDocument/2006/relationships/header" Target="header2.xml"/><Relationship Id="rId59" Type="http://schemas.openxmlformats.org/officeDocument/2006/relationships/oleObject" Target="embeddings/oleObject12.bin"/><Relationship Id="rId58" Type="http://schemas.openxmlformats.org/officeDocument/2006/relationships/image" Target="media/image32.wmf"/><Relationship Id="rId57" Type="http://schemas.openxmlformats.org/officeDocument/2006/relationships/oleObject" Target="embeddings/oleObject11.bin"/><Relationship Id="rId56" Type="http://schemas.openxmlformats.org/officeDocument/2006/relationships/image" Target="media/image31.wmf"/><Relationship Id="rId55" Type="http://schemas.openxmlformats.org/officeDocument/2006/relationships/oleObject" Target="embeddings/oleObject10.bin"/><Relationship Id="rId54" Type="http://schemas.openxmlformats.org/officeDocument/2006/relationships/image" Target="media/image30.wmf"/><Relationship Id="rId53" Type="http://schemas.openxmlformats.org/officeDocument/2006/relationships/oleObject" Target="embeddings/oleObject9.bin"/><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wmf"/><Relationship Id="rId5" Type="http://schemas.openxmlformats.org/officeDocument/2006/relationships/header" Target="header1.xml"/><Relationship Id="rId49" Type="http://schemas.openxmlformats.org/officeDocument/2006/relationships/oleObject" Target="embeddings/oleObject8.bin"/><Relationship Id="rId48" Type="http://schemas.openxmlformats.org/officeDocument/2006/relationships/image" Target="media/image26.wmf"/><Relationship Id="rId47" Type="http://schemas.openxmlformats.org/officeDocument/2006/relationships/oleObject" Target="embeddings/oleObject7.bin"/><Relationship Id="rId46" Type="http://schemas.openxmlformats.org/officeDocument/2006/relationships/image" Target="media/image25.wmf"/><Relationship Id="rId45" Type="http://schemas.openxmlformats.org/officeDocument/2006/relationships/oleObject" Target="embeddings/oleObject6.bin"/><Relationship Id="rId44" Type="http://schemas.openxmlformats.org/officeDocument/2006/relationships/image" Target="media/image24.wmf"/><Relationship Id="rId43" Type="http://schemas.openxmlformats.org/officeDocument/2006/relationships/oleObject" Target="embeddings/oleObject5.bin"/><Relationship Id="rId42" Type="http://schemas.openxmlformats.org/officeDocument/2006/relationships/image" Target="media/image23.wmf"/><Relationship Id="rId41" Type="http://schemas.openxmlformats.org/officeDocument/2006/relationships/oleObject" Target="embeddings/oleObject4.bin"/><Relationship Id="rId40" Type="http://schemas.openxmlformats.org/officeDocument/2006/relationships/image" Target="media/image22.wmf"/><Relationship Id="rId4" Type="http://schemas.openxmlformats.org/officeDocument/2006/relationships/endnotes" Target="endnotes.xml"/><Relationship Id="rId39" Type="http://schemas.openxmlformats.org/officeDocument/2006/relationships/oleObject" Target="embeddings/oleObject3.bin"/><Relationship Id="rId38" Type="http://schemas.openxmlformats.org/officeDocument/2006/relationships/image" Target="media/image21.emf"/><Relationship Id="rId37" Type="http://schemas.openxmlformats.org/officeDocument/2006/relationships/image" Target="media/image20.png"/><Relationship Id="rId36" Type="http://schemas.openxmlformats.org/officeDocument/2006/relationships/image" Target="media/image19.wmf"/><Relationship Id="rId35" Type="http://schemas.openxmlformats.org/officeDocument/2006/relationships/image" Target="media/image18.wmf"/><Relationship Id="rId34" Type="http://schemas.openxmlformats.org/officeDocument/2006/relationships/image" Target="media/image17.wmf"/><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emf"/><Relationship Id="rId30" Type="http://schemas.openxmlformats.org/officeDocument/2006/relationships/oleObject" Target="embeddings/oleObject2.bin"/><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emf"/><Relationship Id="rId27" Type="http://schemas.openxmlformats.org/officeDocument/2006/relationships/oleObject" Target="embeddings/oleObject1.bin"/><Relationship Id="rId26" Type="http://schemas.openxmlformats.org/officeDocument/2006/relationships/image" Target="media/image11.jpeg"/><Relationship Id="rId25" Type="http://schemas.openxmlformats.org/officeDocument/2006/relationships/image" Target="media/image10.png"/><Relationship Id="rId24" Type="http://schemas.openxmlformats.org/officeDocument/2006/relationships/image" Target="media/image9.jpe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9" Type="http://schemas.openxmlformats.org/officeDocument/2006/relationships/fontTable" Target="fontTable.xml"/><Relationship Id="rId108" Type="http://schemas.openxmlformats.org/officeDocument/2006/relationships/numbering" Target="numbering.xml"/><Relationship Id="rId107" Type="http://schemas.openxmlformats.org/officeDocument/2006/relationships/customXml" Target="../customXml/item1.xml"/><Relationship Id="rId106" Type="http://schemas.openxmlformats.org/officeDocument/2006/relationships/image" Target="media/image68.emf"/><Relationship Id="rId105" Type="http://schemas.openxmlformats.org/officeDocument/2006/relationships/image" Target="media/image67.emf"/><Relationship Id="rId104" Type="http://schemas.openxmlformats.org/officeDocument/2006/relationships/image" Target="media/image66.emf"/><Relationship Id="rId103" Type="http://schemas.openxmlformats.org/officeDocument/2006/relationships/image" Target="media/image65.emf"/><Relationship Id="rId102" Type="http://schemas.openxmlformats.org/officeDocument/2006/relationships/image" Target="media/image64.emf"/><Relationship Id="rId101" Type="http://schemas.openxmlformats.org/officeDocument/2006/relationships/image" Target="media/image63.emf"/><Relationship Id="rId100" Type="http://schemas.openxmlformats.org/officeDocument/2006/relationships/image" Target="media/image62.emf"/><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224</Pages>
  <Words>118758</Words>
  <Characters>140837</Characters>
  <Lines>1</Lines>
  <Paragraphs>1</Paragraphs>
  <TotalTime>2</TotalTime>
  <ScaleCrop>false</ScaleCrop>
  <LinksUpToDate>false</LinksUpToDate>
  <CharactersWithSpaces>142817</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2013-12-31T02:32:00Z</dcterms:created>
  <dc:creator>qiujie</dc:creator>
  <cp:lastModifiedBy>jm</cp:lastModifiedBy>
  <cp:lastPrinted>2019-06-04T07:27:00Z</cp:lastPrinted>
  <dcterms:modified xsi:type="dcterms:W3CDTF">2023-01-30T00:49:47Z</dcterms:modified>
  <dc:title>滨湖东方汇</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54E50BB82D7D40948CF7650B678E82C5</vt:lpwstr>
  </property>
</Properties>
</file>