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bookmarkStart w:id="0" w:name="_GoBack"/>
      <w:r>
        <w:rPr>
          <w:rFonts w:hint="eastAsia"/>
          <w:sz w:val="28"/>
          <w:szCs w:val="28"/>
        </w:rPr>
        <w:t>中空纤维透析器（高截留量）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GN2023-32-4853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1.用于骨髓瘤肾病、横纹肌溶解伴AKI、脓毒血症患者血液透析治疗，可清除分子量45-50kDa以下的蛋白质及血清游离轻链；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2.请报齐各规格，供应期2年；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3.可单独收费医用耗材，必须具备国家及安徽省医保医用耗材编码；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4.若属安徽省医用耗材政策管理范围内产品，需满足相关要求（如“集采”、“两票制”等）；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5.若属于院SPD管理范畴产品，需按医院医用物资SPD供应链模式统一管理。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ADC0AEE"/>
    <w:rsid w:val="1EA638ED"/>
    <w:rsid w:val="2F8655C6"/>
    <w:rsid w:val="307C4FCE"/>
    <w:rsid w:val="34BC3B71"/>
    <w:rsid w:val="3C2266A5"/>
    <w:rsid w:val="3D22018A"/>
    <w:rsid w:val="64D4770D"/>
    <w:rsid w:val="6F37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155</Characters>
  <Lines>0</Lines>
  <Paragraphs>0</Paragraphs>
  <TotalTime>1</TotalTime>
  <ScaleCrop>false</ScaleCrop>
  <LinksUpToDate>false</LinksUpToDate>
  <CharactersWithSpaces>157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2023-08-02T06:23:09Z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0199989110984B68A09B77653A4AAC7C_13</vt:lpwstr>
  </property>
</Properties>
</file>