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0C47" w:rsidRDefault="00C40C47" w:rsidP="00F06EAC">
      <w:pPr>
        <w:spacing w:beforeLines="50" w:afterLines="50" w:line="360" w:lineRule="auto"/>
        <w:ind w:rightChars="-244" w:right="-512"/>
        <w:jc w:val="center"/>
        <w:outlineLvl w:val="0"/>
        <w:rPr>
          <w:b/>
          <w:sz w:val="28"/>
          <w:szCs w:val="28"/>
        </w:rPr>
      </w:pPr>
      <w:bookmarkStart w:id="0" w:name="_Toc279254601"/>
      <w:bookmarkStart w:id="1" w:name="_Toc279566937"/>
      <w:bookmarkStart w:id="2" w:name="_Toc300001077"/>
    </w:p>
    <w:p w:rsidR="00C40C47" w:rsidRDefault="00C40C47" w:rsidP="00F06EAC">
      <w:pPr>
        <w:spacing w:beforeLines="50" w:afterLines="50" w:line="360" w:lineRule="auto"/>
        <w:ind w:rightChars="-244" w:right="-512"/>
        <w:jc w:val="center"/>
        <w:outlineLvl w:val="0"/>
        <w:rPr>
          <w:b/>
          <w:sz w:val="28"/>
          <w:szCs w:val="28"/>
        </w:rPr>
      </w:pPr>
    </w:p>
    <w:p w:rsidR="00C40C47" w:rsidRDefault="00C40C47" w:rsidP="00F06EAC">
      <w:pPr>
        <w:spacing w:beforeLines="50" w:afterLines="50" w:line="360" w:lineRule="auto"/>
        <w:ind w:rightChars="-244" w:right="-512"/>
        <w:outlineLvl w:val="0"/>
        <w:rPr>
          <w:b/>
          <w:sz w:val="28"/>
          <w:szCs w:val="28"/>
        </w:rPr>
      </w:pPr>
    </w:p>
    <w:p w:rsidR="00C40C47" w:rsidRDefault="00A634B5" w:rsidP="00F06EAC">
      <w:pPr>
        <w:spacing w:beforeLines="50" w:afterLines="50" w:line="360" w:lineRule="auto"/>
        <w:ind w:rightChars="-244" w:right="-512"/>
        <w:jc w:val="center"/>
        <w:outlineLvl w:val="0"/>
        <w:rPr>
          <w:b/>
          <w:sz w:val="32"/>
          <w:szCs w:val="32"/>
        </w:rPr>
      </w:pPr>
      <w:r>
        <w:rPr>
          <w:rFonts w:hint="eastAsia"/>
          <w:b/>
          <w:sz w:val="32"/>
          <w:szCs w:val="32"/>
        </w:rPr>
        <w:t>伦理委员会章程</w:t>
      </w:r>
      <w:bookmarkEnd w:id="0"/>
      <w:bookmarkEnd w:id="1"/>
      <w:bookmarkEnd w:id="2"/>
    </w:p>
    <w:p w:rsidR="00C40C47" w:rsidRDefault="00C40C47" w:rsidP="00F06EAC">
      <w:pPr>
        <w:spacing w:beforeLines="50" w:afterLines="50" w:line="360" w:lineRule="auto"/>
        <w:ind w:rightChars="-244" w:right="-512"/>
        <w:jc w:val="center"/>
        <w:outlineLvl w:val="0"/>
        <w:rPr>
          <w:b/>
          <w:sz w:val="28"/>
          <w:szCs w:val="28"/>
        </w:rPr>
      </w:pPr>
    </w:p>
    <w:p w:rsidR="00C40C47" w:rsidRDefault="00C40C47" w:rsidP="00F06EAC">
      <w:pPr>
        <w:spacing w:beforeLines="50" w:afterLines="50" w:line="360" w:lineRule="auto"/>
        <w:ind w:rightChars="-244" w:right="-512"/>
        <w:jc w:val="center"/>
        <w:outlineLvl w:val="0"/>
        <w:rPr>
          <w:rFonts w:ascii="宋体" w:hAnsi="宋体"/>
          <w:b/>
          <w:sz w:val="28"/>
          <w:szCs w:val="28"/>
        </w:rPr>
      </w:pPr>
    </w:p>
    <w:p w:rsidR="00C40C47" w:rsidRDefault="00C40C47" w:rsidP="00F06EAC">
      <w:pPr>
        <w:spacing w:beforeLines="50" w:afterLines="50" w:line="360" w:lineRule="auto"/>
        <w:ind w:rightChars="-244" w:right="-512"/>
        <w:jc w:val="center"/>
        <w:outlineLvl w:val="0"/>
        <w:rPr>
          <w:rFonts w:ascii="宋体" w:hAnsi="宋体"/>
          <w:b/>
          <w:sz w:val="28"/>
          <w:szCs w:val="28"/>
        </w:rPr>
      </w:pPr>
    </w:p>
    <w:p w:rsidR="00C40C47" w:rsidRDefault="00C40C47" w:rsidP="00F06EAC">
      <w:pPr>
        <w:spacing w:beforeLines="50" w:afterLines="50" w:line="360" w:lineRule="auto"/>
        <w:ind w:rightChars="-244" w:right="-512"/>
        <w:outlineLvl w:val="0"/>
        <w:rPr>
          <w:rFonts w:ascii="宋体" w:hAnsi="宋体"/>
          <w:b/>
          <w:sz w:val="28"/>
          <w:szCs w:val="28"/>
        </w:rPr>
      </w:pPr>
    </w:p>
    <w:tbl>
      <w:tblPr>
        <w:tblW w:w="0" w:type="auto"/>
        <w:tblInd w:w="534" w:type="dxa"/>
        <w:tblLayout w:type="fixed"/>
        <w:tblLook w:val="0000"/>
      </w:tblPr>
      <w:tblGrid>
        <w:gridCol w:w="1744"/>
        <w:gridCol w:w="2011"/>
        <w:gridCol w:w="1746"/>
        <w:gridCol w:w="2014"/>
      </w:tblGrid>
      <w:tr w:rsidR="00C40C47">
        <w:trPr>
          <w:trHeight w:val="580"/>
        </w:trPr>
        <w:tc>
          <w:tcPr>
            <w:tcW w:w="1744" w:type="dxa"/>
            <w:vAlign w:val="center"/>
          </w:tcPr>
          <w:p w:rsidR="00C40C47" w:rsidRDefault="00A634B5" w:rsidP="00F06EAC">
            <w:pPr>
              <w:overflowPunct w:val="0"/>
              <w:spacing w:beforeLines="50" w:line="480" w:lineRule="auto"/>
              <w:jc w:val="right"/>
              <w:rPr>
                <w:sz w:val="24"/>
              </w:rPr>
            </w:pPr>
            <w:r>
              <w:rPr>
                <w:rFonts w:hint="eastAsia"/>
                <w:spacing w:val="60"/>
                <w:kern w:val="0"/>
                <w:sz w:val="24"/>
                <w:fitText w:val="960"/>
              </w:rPr>
              <w:t>版本</w:t>
            </w:r>
            <w:r>
              <w:rPr>
                <w:rFonts w:hint="eastAsia"/>
                <w:kern w:val="0"/>
                <w:sz w:val="24"/>
                <w:fitText w:val="960"/>
              </w:rPr>
              <w:t>号</w:t>
            </w:r>
          </w:p>
        </w:tc>
        <w:tc>
          <w:tcPr>
            <w:tcW w:w="2011" w:type="dxa"/>
            <w:vAlign w:val="center"/>
          </w:tcPr>
          <w:p w:rsidR="00C40C47" w:rsidRDefault="00A634B5" w:rsidP="00F06EAC">
            <w:pPr>
              <w:overflowPunct w:val="0"/>
              <w:spacing w:beforeLines="50" w:line="480" w:lineRule="auto"/>
              <w:jc w:val="center"/>
              <w:rPr>
                <w:sz w:val="24"/>
              </w:rPr>
            </w:pPr>
            <w:r>
              <w:rPr>
                <w:rFonts w:hint="eastAsia"/>
                <w:sz w:val="24"/>
              </w:rPr>
              <w:t>1.0</w:t>
            </w:r>
          </w:p>
        </w:tc>
        <w:tc>
          <w:tcPr>
            <w:tcW w:w="1746" w:type="dxa"/>
            <w:vAlign w:val="center"/>
          </w:tcPr>
          <w:p w:rsidR="00C40C47" w:rsidRDefault="00A634B5" w:rsidP="00F06EAC">
            <w:pPr>
              <w:overflowPunct w:val="0"/>
              <w:spacing w:beforeLines="50" w:line="480" w:lineRule="auto"/>
              <w:jc w:val="right"/>
              <w:rPr>
                <w:sz w:val="24"/>
              </w:rPr>
            </w:pPr>
            <w:r>
              <w:rPr>
                <w:rFonts w:hint="eastAsia"/>
                <w:spacing w:val="240"/>
                <w:kern w:val="0"/>
                <w:sz w:val="24"/>
                <w:fitText w:val="960"/>
              </w:rPr>
              <w:t>页</w:t>
            </w:r>
            <w:r>
              <w:rPr>
                <w:rFonts w:hint="eastAsia"/>
                <w:kern w:val="0"/>
                <w:sz w:val="24"/>
                <w:fitText w:val="960"/>
              </w:rPr>
              <w:t>数</w:t>
            </w:r>
          </w:p>
        </w:tc>
        <w:tc>
          <w:tcPr>
            <w:tcW w:w="2014" w:type="dxa"/>
            <w:vAlign w:val="center"/>
          </w:tcPr>
          <w:p w:rsidR="00C40C47" w:rsidRDefault="00A634B5" w:rsidP="00F06EAC">
            <w:pPr>
              <w:overflowPunct w:val="0"/>
              <w:spacing w:beforeLines="50" w:line="480" w:lineRule="auto"/>
              <w:jc w:val="center"/>
              <w:rPr>
                <w:sz w:val="24"/>
              </w:rPr>
            </w:pPr>
            <w:r>
              <w:rPr>
                <w:rFonts w:hint="eastAsia"/>
                <w:sz w:val="24"/>
              </w:rPr>
              <w:t>3</w:t>
            </w:r>
            <w:r>
              <w:rPr>
                <w:rFonts w:hint="eastAsia"/>
                <w:sz w:val="24"/>
              </w:rPr>
              <w:t>页</w:t>
            </w:r>
          </w:p>
        </w:tc>
      </w:tr>
      <w:tr w:rsidR="00C40C47">
        <w:trPr>
          <w:trHeight w:val="580"/>
        </w:trPr>
        <w:tc>
          <w:tcPr>
            <w:tcW w:w="1744" w:type="dxa"/>
            <w:vAlign w:val="center"/>
          </w:tcPr>
          <w:p w:rsidR="00C40C47" w:rsidRDefault="00A634B5" w:rsidP="00F06EAC">
            <w:pPr>
              <w:overflowPunct w:val="0"/>
              <w:spacing w:beforeLines="50" w:line="480" w:lineRule="auto"/>
              <w:jc w:val="right"/>
              <w:rPr>
                <w:spacing w:val="60"/>
                <w:kern w:val="0"/>
                <w:sz w:val="24"/>
              </w:rPr>
            </w:pPr>
            <w:r>
              <w:rPr>
                <w:rFonts w:hint="eastAsia"/>
                <w:spacing w:val="60"/>
                <w:kern w:val="0"/>
                <w:sz w:val="24"/>
                <w:fitText w:val="960"/>
              </w:rPr>
              <w:t>起草</w:t>
            </w:r>
            <w:r>
              <w:rPr>
                <w:rFonts w:hint="eastAsia"/>
                <w:kern w:val="0"/>
                <w:sz w:val="24"/>
                <w:fitText w:val="960"/>
              </w:rPr>
              <w:t>人</w:t>
            </w:r>
          </w:p>
        </w:tc>
        <w:tc>
          <w:tcPr>
            <w:tcW w:w="2011" w:type="dxa"/>
            <w:vAlign w:val="center"/>
          </w:tcPr>
          <w:p w:rsidR="00C40C47" w:rsidRDefault="00C40C47" w:rsidP="00F06EAC">
            <w:pPr>
              <w:overflowPunct w:val="0"/>
              <w:spacing w:beforeLines="50" w:line="480" w:lineRule="auto"/>
              <w:jc w:val="center"/>
              <w:rPr>
                <w:sz w:val="24"/>
              </w:rPr>
            </w:pPr>
          </w:p>
        </w:tc>
        <w:tc>
          <w:tcPr>
            <w:tcW w:w="1746" w:type="dxa"/>
            <w:vAlign w:val="center"/>
          </w:tcPr>
          <w:p w:rsidR="00C40C47" w:rsidRDefault="00A634B5" w:rsidP="00F06EAC">
            <w:pPr>
              <w:overflowPunct w:val="0"/>
              <w:spacing w:beforeLines="50" w:line="480" w:lineRule="auto"/>
              <w:jc w:val="right"/>
              <w:rPr>
                <w:sz w:val="24"/>
              </w:rPr>
            </w:pPr>
            <w:r>
              <w:rPr>
                <w:rFonts w:hint="eastAsia"/>
                <w:sz w:val="24"/>
              </w:rPr>
              <w:t>起草日期</w:t>
            </w:r>
          </w:p>
        </w:tc>
        <w:tc>
          <w:tcPr>
            <w:tcW w:w="2014" w:type="dxa"/>
            <w:vAlign w:val="center"/>
          </w:tcPr>
          <w:p w:rsidR="00C40C47" w:rsidRDefault="00C40C47" w:rsidP="00F06EAC">
            <w:pPr>
              <w:overflowPunct w:val="0"/>
              <w:spacing w:beforeLines="50" w:line="480" w:lineRule="auto"/>
              <w:jc w:val="center"/>
              <w:rPr>
                <w:sz w:val="24"/>
              </w:rPr>
            </w:pPr>
          </w:p>
        </w:tc>
      </w:tr>
      <w:tr w:rsidR="00C40C47">
        <w:trPr>
          <w:trHeight w:val="580"/>
        </w:trPr>
        <w:tc>
          <w:tcPr>
            <w:tcW w:w="1744" w:type="dxa"/>
            <w:vAlign w:val="center"/>
          </w:tcPr>
          <w:p w:rsidR="00C40C47" w:rsidRDefault="00A634B5" w:rsidP="00F06EAC">
            <w:pPr>
              <w:overflowPunct w:val="0"/>
              <w:spacing w:beforeLines="50" w:line="480" w:lineRule="auto"/>
              <w:jc w:val="right"/>
              <w:rPr>
                <w:spacing w:val="60"/>
                <w:kern w:val="0"/>
                <w:sz w:val="24"/>
              </w:rPr>
            </w:pPr>
            <w:r>
              <w:rPr>
                <w:rFonts w:hint="eastAsia"/>
                <w:spacing w:val="60"/>
                <w:kern w:val="0"/>
                <w:sz w:val="24"/>
                <w:fitText w:val="960"/>
              </w:rPr>
              <w:t>审核</w:t>
            </w:r>
            <w:r>
              <w:rPr>
                <w:rFonts w:hint="eastAsia"/>
                <w:kern w:val="0"/>
                <w:sz w:val="24"/>
                <w:fitText w:val="960"/>
              </w:rPr>
              <w:t>人</w:t>
            </w:r>
          </w:p>
        </w:tc>
        <w:tc>
          <w:tcPr>
            <w:tcW w:w="2011" w:type="dxa"/>
            <w:vAlign w:val="center"/>
          </w:tcPr>
          <w:p w:rsidR="00C40C47" w:rsidRDefault="00C40C47" w:rsidP="00F06EAC">
            <w:pPr>
              <w:overflowPunct w:val="0"/>
              <w:spacing w:beforeLines="50" w:line="480" w:lineRule="auto"/>
              <w:jc w:val="center"/>
              <w:rPr>
                <w:sz w:val="24"/>
              </w:rPr>
            </w:pPr>
          </w:p>
        </w:tc>
        <w:tc>
          <w:tcPr>
            <w:tcW w:w="1746" w:type="dxa"/>
            <w:vAlign w:val="center"/>
          </w:tcPr>
          <w:p w:rsidR="00C40C47" w:rsidRDefault="00A634B5" w:rsidP="00F06EAC">
            <w:pPr>
              <w:overflowPunct w:val="0"/>
              <w:spacing w:beforeLines="50" w:line="480" w:lineRule="auto"/>
              <w:jc w:val="right"/>
              <w:rPr>
                <w:sz w:val="24"/>
              </w:rPr>
            </w:pPr>
            <w:r>
              <w:rPr>
                <w:rFonts w:hint="eastAsia"/>
                <w:sz w:val="24"/>
              </w:rPr>
              <w:t>审核日期</w:t>
            </w:r>
          </w:p>
        </w:tc>
        <w:tc>
          <w:tcPr>
            <w:tcW w:w="2014" w:type="dxa"/>
            <w:vAlign w:val="center"/>
          </w:tcPr>
          <w:p w:rsidR="00C40C47" w:rsidRDefault="00C40C47" w:rsidP="00F06EAC">
            <w:pPr>
              <w:overflowPunct w:val="0"/>
              <w:spacing w:beforeLines="50" w:line="480" w:lineRule="auto"/>
              <w:jc w:val="center"/>
              <w:rPr>
                <w:sz w:val="24"/>
              </w:rPr>
            </w:pPr>
          </w:p>
        </w:tc>
      </w:tr>
      <w:tr w:rsidR="00C40C47">
        <w:trPr>
          <w:trHeight w:val="580"/>
        </w:trPr>
        <w:tc>
          <w:tcPr>
            <w:tcW w:w="1744" w:type="dxa"/>
            <w:vAlign w:val="center"/>
          </w:tcPr>
          <w:p w:rsidR="00C40C47" w:rsidRDefault="00A634B5" w:rsidP="00F06EAC">
            <w:pPr>
              <w:overflowPunct w:val="0"/>
              <w:spacing w:beforeLines="50" w:line="480" w:lineRule="auto"/>
              <w:jc w:val="right"/>
              <w:rPr>
                <w:spacing w:val="60"/>
                <w:kern w:val="0"/>
                <w:sz w:val="24"/>
              </w:rPr>
            </w:pPr>
            <w:r>
              <w:rPr>
                <w:rFonts w:hint="eastAsia"/>
                <w:spacing w:val="60"/>
                <w:kern w:val="0"/>
                <w:sz w:val="24"/>
                <w:fitText w:val="960"/>
              </w:rPr>
              <w:t>批准</w:t>
            </w:r>
            <w:r>
              <w:rPr>
                <w:rFonts w:hint="eastAsia"/>
                <w:kern w:val="0"/>
                <w:sz w:val="24"/>
                <w:fitText w:val="960"/>
              </w:rPr>
              <w:t>人</w:t>
            </w:r>
          </w:p>
        </w:tc>
        <w:tc>
          <w:tcPr>
            <w:tcW w:w="2011" w:type="dxa"/>
            <w:vAlign w:val="center"/>
          </w:tcPr>
          <w:p w:rsidR="00C40C47" w:rsidRDefault="00C40C47" w:rsidP="00F06EAC">
            <w:pPr>
              <w:overflowPunct w:val="0"/>
              <w:spacing w:beforeLines="50" w:line="480" w:lineRule="auto"/>
              <w:jc w:val="center"/>
              <w:rPr>
                <w:sz w:val="24"/>
              </w:rPr>
            </w:pPr>
          </w:p>
        </w:tc>
        <w:tc>
          <w:tcPr>
            <w:tcW w:w="1746" w:type="dxa"/>
            <w:vAlign w:val="center"/>
          </w:tcPr>
          <w:p w:rsidR="00C40C47" w:rsidRDefault="00A634B5" w:rsidP="00F06EAC">
            <w:pPr>
              <w:overflowPunct w:val="0"/>
              <w:spacing w:beforeLines="50" w:line="480" w:lineRule="auto"/>
              <w:jc w:val="right"/>
              <w:rPr>
                <w:sz w:val="24"/>
              </w:rPr>
            </w:pPr>
            <w:r>
              <w:rPr>
                <w:rFonts w:hint="eastAsia"/>
                <w:sz w:val="24"/>
              </w:rPr>
              <w:t>批准日期</w:t>
            </w:r>
          </w:p>
        </w:tc>
        <w:tc>
          <w:tcPr>
            <w:tcW w:w="2014" w:type="dxa"/>
            <w:vAlign w:val="center"/>
          </w:tcPr>
          <w:p w:rsidR="00C40C47" w:rsidRDefault="00C40C47" w:rsidP="00F06EAC">
            <w:pPr>
              <w:overflowPunct w:val="0"/>
              <w:spacing w:beforeLines="50" w:line="480" w:lineRule="auto"/>
              <w:jc w:val="center"/>
              <w:rPr>
                <w:sz w:val="24"/>
              </w:rPr>
            </w:pPr>
          </w:p>
        </w:tc>
      </w:tr>
      <w:tr w:rsidR="00C40C47">
        <w:trPr>
          <w:trHeight w:val="580"/>
        </w:trPr>
        <w:tc>
          <w:tcPr>
            <w:tcW w:w="1744" w:type="dxa"/>
            <w:vAlign w:val="center"/>
          </w:tcPr>
          <w:p w:rsidR="00C40C47" w:rsidRDefault="00A634B5" w:rsidP="00F06EAC">
            <w:pPr>
              <w:overflowPunct w:val="0"/>
              <w:spacing w:beforeLines="50" w:line="480" w:lineRule="auto"/>
              <w:jc w:val="right"/>
              <w:rPr>
                <w:sz w:val="24"/>
              </w:rPr>
            </w:pPr>
            <w:r>
              <w:rPr>
                <w:rFonts w:hint="eastAsia"/>
                <w:sz w:val="24"/>
              </w:rPr>
              <w:t>颁布日期</w:t>
            </w:r>
          </w:p>
        </w:tc>
        <w:tc>
          <w:tcPr>
            <w:tcW w:w="2011" w:type="dxa"/>
            <w:vAlign w:val="center"/>
          </w:tcPr>
          <w:p w:rsidR="00C40C47" w:rsidRDefault="00C40C47" w:rsidP="00F06EAC">
            <w:pPr>
              <w:overflowPunct w:val="0"/>
              <w:spacing w:beforeLines="50" w:line="480" w:lineRule="auto"/>
              <w:jc w:val="center"/>
              <w:rPr>
                <w:sz w:val="24"/>
              </w:rPr>
            </w:pPr>
          </w:p>
        </w:tc>
        <w:tc>
          <w:tcPr>
            <w:tcW w:w="1746" w:type="dxa"/>
            <w:vAlign w:val="center"/>
          </w:tcPr>
          <w:p w:rsidR="00C40C47" w:rsidRDefault="00A634B5" w:rsidP="00F06EAC">
            <w:pPr>
              <w:overflowPunct w:val="0"/>
              <w:spacing w:beforeLines="50" w:line="480" w:lineRule="auto"/>
              <w:jc w:val="right"/>
              <w:rPr>
                <w:sz w:val="24"/>
              </w:rPr>
            </w:pPr>
            <w:r>
              <w:rPr>
                <w:rFonts w:hint="eastAsia"/>
                <w:sz w:val="24"/>
              </w:rPr>
              <w:t>起效日期</w:t>
            </w:r>
          </w:p>
        </w:tc>
        <w:tc>
          <w:tcPr>
            <w:tcW w:w="2014" w:type="dxa"/>
            <w:vAlign w:val="center"/>
          </w:tcPr>
          <w:p w:rsidR="00C40C47" w:rsidRDefault="00C40C47" w:rsidP="00F06EAC">
            <w:pPr>
              <w:overflowPunct w:val="0"/>
              <w:spacing w:beforeLines="50" w:line="480" w:lineRule="auto"/>
              <w:jc w:val="center"/>
              <w:rPr>
                <w:sz w:val="24"/>
              </w:rPr>
            </w:pPr>
          </w:p>
        </w:tc>
      </w:tr>
    </w:tbl>
    <w:p w:rsidR="00C40C47" w:rsidRDefault="00C40C47">
      <w:pPr>
        <w:spacing w:line="360" w:lineRule="auto"/>
      </w:pPr>
    </w:p>
    <w:p w:rsidR="00C40C47" w:rsidRDefault="00C40C47">
      <w:pPr>
        <w:spacing w:line="360" w:lineRule="auto"/>
      </w:pPr>
    </w:p>
    <w:p w:rsidR="00C40C47" w:rsidRDefault="00C40C47">
      <w:pPr>
        <w:spacing w:line="360" w:lineRule="auto"/>
      </w:pPr>
    </w:p>
    <w:p w:rsidR="00C40C47" w:rsidRDefault="00C40C47">
      <w:pPr>
        <w:spacing w:line="360" w:lineRule="auto"/>
      </w:pPr>
    </w:p>
    <w:p w:rsidR="00C40C47" w:rsidRDefault="00A634B5">
      <w:pPr>
        <w:jc w:val="center"/>
        <w:rPr>
          <w:sz w:val="28"/>
          <w:szCs w:val="28"/>
        </w:rPr>
      </w:pPr>
      <w:r>
        <w:rPr>
          <w:rFonts w:hint="eastAsia"/>
          <w:sz w:val="28"/>
          <w:szCs w:val="28"/>
        </w:rPr>
        <w:t>安徽省肿瘤医院</w:t>
      </w:r>
    </w:p>
    <w:p w:rsidR="00C40C47" w:rsidRDefault="00A634B5" w:rsidP="00F06EAC">
      <w:pPr>
        <w:spacing w:afterLines="50" w:line="360" w:lineRule="auto"/>
        <w:jc w:val="center"/>
        <w:rPr>
          <w:rFonts w:ascii="宋体" w:hAnsi="宋体"/>
          <w:b/>
          <w:sz w:val="28"/>
          <w:szCs w:val="28"/>
        </w:rPr>
        <w:sectPr w:rsidR="00C40C47" w:rsidSect="0007788B">
          <w:headerReference w:type="default" r:id="rId6"/>
          <w:pgSz w:w="11906" w:h="16838"/>
          <w:pgMar w:top="1440" w:right="1800" w:bottom="1440" w:left="1800" w:header="1020" w:footer="1020" w:gutter="0"/>
          <w:cols w:space="720"/>
          <w:docGrid w:type="lines" w:linePitch="312"/>
        </w:sectPr>
      </w:pPr>
      <w:r>
        <w:rPr>
          <w:rFonts w:hint="eastAsia"/>
          <w:sz w:val="28"/>
          <w:szCs w:val="28"/>
        </w:rPr>
        <w:t>临床试验伦理委员会</w:t>
      </w:r>
    </w:p>
    <w:p w:rsidR="00C40C47" w:rsidRDefault="00A634B5" w:rsidP="00F06EAC">
      <w:pPr>
        <w:spacing w:afterLines="50" w:line="360" w:lineRule="auto"/>
        <w:jc w:val="center"/>
        <w:rPr>
          <w:rFonts w:ascii="宋体" w:hAnsi="宋体"/>
          <w:b/>
          <w:sz w:val="28"/>
          <w:szCs w:val="28"/>
        </w:rPr>
      </w:pPr>
      <w:r>
        <w:rPr>
          <w:rFonts w:ascii="宋体" w:hAnsi="宋体" w:hint="eastAsia"/>
          <w:b/>
          <w:sz w:val="28"/>
          <w:szCs w:val="28"/>
        </w:rPr>
        <w:lastRenderedPageBreak/>
        <w:t>伦理委员会章程</w:t>
      </w:r>
    </w:p>
    <w:p w:rsidR="00C40C47" w:rsidRDefault="00A634B5" w:rsidP="00F06EAC">
      <w:pPr>
        <w:spacing w:beforeLines="100" w:afterLines="50" w:line="360" w:lineRule="auto"/>
        <w:jc w:val="center"/>
        <w:rPr>
          <w:rFonts w:ascii="宋体" w:hAnsi="宋体"/>
          <w:b/>
          <w:szCs w:val="21"/>
        </w:rPr>
      </w:pPr>
      <w:r>
        <w:rPr>
          <w:rFonts w:ascii="宋体" w:hAnsi="宋体" w:hint="eastAsia"/>
          <w:b/>
          <w:szCs w:val="21"/>
        </w:rPr>
        <w:t>第一章  总  则</w:t>
      </w:r>
    </w:p>
    <w:p w:rsidR="00C40C47" w:rsidRPr="001517C9" w:rsidRDefault="00A634B5" w:rsidP="00941EC5">
      <w:pPr>
        <w:spacing w:line="360" w:lineRule="auto"/>
        <w:ind w:firstLineChars="196" w:firstLine="413"/>
        <w:jc w:val="left"/>
        <w:rPr>
          <w:rFonts w:asciiTheme="minorEastAsia" w:eastAsiaTheme="minorEastAsia" w:hAnsiTheme="minorEastAsia"/>
          <w:szCs w:val="21"/>
        </w:rPr>
      </w:pPr>
      <w:r w:rsidRPr="001517C9">
        <w:rPr>
          <w:rFonts w:asciiTheme="minorEastAsia" w:eastAsiaTheme="minorEastAsia" w:hAnsiTheme="minorEastAsia" w:hint="eastAsia"/>
          <w:b/>
          <w:szCs w:val="21"/>
        </w:rPr>
        <w:t xml:space="preserve">第一条 </w:t>
      </w:r>
      <w:r w:rsidRPr="001517C9">
        <w:rPr>
          <w:rFonts w:asciiTheme="minorEastAsia" w:eastAsiaTheme="minorEastAsia" w:hAnsiTheme="minorEastAsia" w:hint="eastAsia"/>
          <w:szCs w:val="21"/>
        </w:rPr>
        <w:t xml:space="preserve"> 为保护临床研究受试者的权益和安全，规范本伦理委员会的组织和运作，根据国家食品药品监督管理总局</w:t>
      </w:r>
      <w:r w:rsidR="00CE6945">
        <w:rPr>
          <w:rFonts w:asciiTheme="minorEastAsia" w:eastAsiaTheme="minorEastAsia" w:hAnsiTheme="minorEastAsia" w:hint="eastAsia"/>
          <w:szCs w:val="21"/>
        </w:rPr>
        <w:t>“</w:t>
      </w:r>
      <w:r w:rsidR="00CE6945" w:rsidRPr="001517C9">
        <w:rPr>
          <w:rFonts w:asciiTheme="minorEastAsia" w:eastAsiaTheme="minorEastAsia" w:hAnsiTheme="minorEastAsia" w:hint="eastAsia"/>
          <w:szCs w:val="21"/>
        </w:rPr>
        <w:t>药物临床试验质量管理规范</w:t>
      </w:r>
      <w:r w:rsidR="00CE6945">
        <w:rPr>
          <w:rFonts w:asciiTheme="minorEastAsia" w:eastAsiaTheme="minorEastAsia" w:hAnsiTheme="minorEastAsia" w:hint="eastAsia"/>
          <w:szCs w:val="21"/>
        </w:rPr>
        <w:t>”</w:t>
      </w:r>
      <w:r w:rsidRPr="001517C9">
        <w:rPr>
          <w:rFonts w:asciiTheme="minorEastAsia" w:eastAsiaTheme="minorEastAsia" w:hAnsiTheme="minorEastAsia" w:hint="eastAsia"/>
          <w:szCs w:val="21"/>
        </w:rPr>
        <w:t>(2003</w:t>
      </w:r>
      <w:r w:rsidR="00CE6945">
        <w:rPr>
          <w:rFonts w:asciiTheme="minorEastAsia" w:eastAsiaTheme="minorEastAsia" w:hAnsiTheme="minorEastAsia" w:hint="eastAsia"/>
          <w:szCs w:val="21"/>
        </w:rPr>
        <w:t>年</w:t>
      </w:r>
      <w:r w:rsidRPr="001517C9">
        <w:rPr>
          <w:rFonts w:asciiTheme="minorEastAsia" w:eastAsiaTheme="minorEastAsia" w:hAnsiTheme="minorEastAsia" w:hint="eastAsia"/>
          <w:szCs w:val="21"/>
        </w:rPr>
        <w:t>)</w:t>
      </w:r>
      <w:r w:rsidR="00CE6945">
        <w:rPr>
          <w:rFonts w:asciiTheme="minorEastAsia" w:eastAsiaTheme="minorEastAsia" w:hAnsiTheme="minorEastAsia" w:hint="eastAsia"/>
          <w:szCs w:val="21"/>
        </w:rPr>
        <w:t>，“药物临床试验伦理审查工作指导原则”</w:t>
      </w:r>
      <w:r w:rsidRPr="001517C9">
        <w:rPr>
          <w:rFonts w:asciiTheme="minorEastAsia" w:eastAsiaTheme="minorEastAsia" w:hAnsiTheme="minorEastAsia" w:hint="eastAsia"/>
          <w:szCs w:val="21"/>
        </w:rPr>
        <w:t>(2010</w:t>
      </w:r>
      <w:r w:rsidR="00CE6945">
        <w:rPr>
          <w:rFonts w:asciiTheme="minorEastAsia" w:eastAsiaTheme="minorEastAsia" w:hAnsiTheme="minorEastAsia" w:hint="eastAsia"/>
          <w:szCs w:val="21"/>
        </w:rPr>
        <w:t>年</w:t>
      </w:r>
      <w:r w:rsidRPr="001517C9">
        <w:rPr>
          <w:rFonts w:asciiTheme="minorEastAsia" w:eastAsiaTheme="minorEastAsia" w:hAnsiTheme="minorEastAsia" w:hint="eastAsia"/>
          <w:szCs w:val="21"/>
        </w:rPr>
        <w:t>)</w:t>
      </w:r>
      <w:r w:rsidR="00CE6945">
        <w:rPr>
          <w:rFonts w:asciiTheme="minorEastAsia" w:eastAsiaTheme="minorEastAsia" w:hAnsiTheme="minorEastAsia" w:hint="eastAsia"/>
          <w:szCs w:val="21"/>
        </w:rPr>
        <w:t>及</w:t>
      </w:r>
      <w:r w:rsidRPr="001517C9">
        <w:rPr>
          <w:rFonts w:asciiTheme="minorEastAsia" w:eastAsiaTheme="minorEastAsia" w:hAnsiTheme="minorEastAsia" w:hint="eastAsia"/>
          <w:szCs w:val="21"/>
        </w:rPr>
        <w:t>国家卫生和计划生育委员会</w:t>
      </w:r>
      <w:r w:rsidR="00CE6945">
        <w:rPr>
          <w:rFonts w:asciiTheme="minorEastAsia" w:eastAsiaTheme="minorEastAsia" w:hAnsiTheme="minorEastAsia" w:hint="eastAsia"/>
          <w:szCs w:val="21"/>
        </w:rPr>
        <w:t>“</w:t>
      </w:r>
      <w:r w:rsidR="00CE6945" w:rsidRPr="001517C9">
        <w:rPr>
          <w:rFonts w:asciiTheme="minorEastAsia" w:eastAsiaTheme="minorEastAsia" w:hAnsiTheme="minorEastAsia" w:hint="eastAsia"/>
          <w:szCs w:val="21"/>
        </w:rPr>
        <w:t>涉及人的生物医学研究伦理审查办法</w:t>
      </w:r>
      <w:r w:rsidR="00CE6945">
        <w:rPr>
          <w:rFonts w:asciiTheme="minorEastAsia" w:eastAsiaTheme="minorEastAsia" w:hAnsiTheme="minorEastAsia" w:hint="eastAsia"/>
          <w:szCs w:val="21"/>
        </w:rPr>
        <w:t>”</w:t>
      </w:r>
      <w:r w:rsidRPr="001517C9">
        <w:rPr>
          <w:rFonts w:asciiTheme="minorEastAsia" w:eastAsiaTheme="minorEastAsia" w:hAnsiTheme="minorEastAsia" w:hint="eastAsia"/>
          <w:szCs w:val="21"/>
        </w:rPr>
        <w:t>（2016</w:t>
      </w:r>
      <w:r w:rsidR="00CE6945">
        <w:rPr>
          <w:rFonts w:asciiTheme="minorEastAsia" w:eastAsiaTheme="minorEastAsia" w:hAnsiTheme="minorEastAsia" w:hint="eastAsia"/>
          <w:szCs w:val="21"/>
        </w:rPr>
        <w:t>年</w:t>
      </w:r>
      <w:r w:rsidRPr="001517C9">
        <w:rPr>
          <w:rFonts w:asciiTheme="minorEastAsia" w:eastAsiaTheme="minorEastAsia" w:hAnsiTheme="minorEastAsia" w:hint="eastAsia"/>
          <w:szCs w:val="21"/>
        </w:rPr>
        <w:t>）制定本章程。</w:t>
      </w:r>
    </w:p>
    <w:p w:rsidR="00C40C47" w:rsidRDefault="00A634B5">
      <w:pPr>
        <w:spacing w:line="360" w:lineRule="auto"/>
        <w:jc w:val="left"/>
        <w:rPr>
          <w:rFonts w:ascii="宋体" w:hAnsi="宋体"/>
          <w:szCs w:val="21"/>
        </w:rPr>
      </w:pPr>
      <w:r w:rsidRPr="001517C9">
        <w:rPr>
          <w:rFonts w:asciiTheme="minorEastAsia" w:eastAsiaTheme="minorEastAsia" w:hAnsiTheme="minorEastAsia" w:hint="eastAsia"/>
          <w:szCs w:val="21"/>
        </w:rPr>
        <w:t xml:space="preserve">    </w:t>
      </w:r>
      <w:r w:rsidRPr="001517C9">
        <w:rPr>
          <w:rFonts w:asciiTheme="minorEastAsia" w:eastAsiaTheme="minorEastAsia" w:hAnsiTheme="minorEastAsia" w:hint="eastAsia"/>
          <w:b/>
          <w:szCs w:val="21"/>
        </w:rPr>
        <w:t>第二条</w:t>
      </w:r>
      <w:r w:rsidRPr="001517C9">
        <w:rPr>
          <w:rFonts w:asciiTheme="minorEastAsia" w:eastAsiaTheme="minorEastAsia" w:hAnsiTheme="minorEastAsia" w:hint="eastAsia"/>
          <w:szCs w:val="21"/>
        </w:rPr>
        <w:t xml:space="preserve">  伦理委员会的宗旨是通过对临床研究项目的科学性、伦理合理性进行审查，确</w:t>
      </w:r>
      <w:r>
        <w:rPr>
          <w:rFonts w:ascii="宋体" w:hAnsi="宋体" w:hint="eastAsia"/>
          <w:szCs w:val="21"/>
        </w:rPr>
        <w:t>保受试者尊严、安全和权益得到保护，促进生物医学研究达到科学和伦理的高标准，增强公众对临床研究的信任和支持。</w:t>
      </w:r>
    </w:p>
    <w:p w:rsidR="00C40C47" w:rsidRDefault="00A634B5">
      <w:pPr>
        <w:spacing w:line="360" w:lineRule="auto"/>
        <w:ind w:firstLine="480"/>
        <w:jc w:val="left"/>
        <w:rPr>
          <w:rFonts w:ascii="宋体" w:hAnsi="宋体"/>
          <w:szCs w:val="21"/>
        </w:rPr>
      </w:pPr>
      <w:r>
        <w:rPr>
          <w:rFonts w:ascii="宋体" w:hAnsi="宋体" w:hint="eastAsia"/>
          <w:b/>
          <w:szCs w:val="21"/>
        </w:rPr>
        <w:t>第三条</w:t>
      </w:r>
      <w:r>
        <w:rPr>
          <w:rFonts w:ascii="宋体" w:hAnsi="宋体" w:hint="eastAsia"/>
          <w:szCs w:val="21"/>
        </w:rPr>
        <w:t xml:space="preserve">  伦理委员会依法在国家和所在省级食品药品监督管理局、卫生行政管理部门备案，接受政府的卫生行政管理部门、药监行政管理部门的指导和监督。</w:t>
      </w:r>
    </w:p>
    <w:p w:rsidR="00C40C47" w:rsidRDefault="00A634B5" w:rsidP="00F06EAC">
      <w:pPr>
        <w:spacing w:beforeLines="50" w:afterLines="50" w:line="360" w:lineRule="auto"/>
        <w:jc w:val="center"/>
        <w:rPr>
          <w:rFonts w:ascii="宋体" w:hAnsi="宋体"/>
          <w:b/>
          <w:szCs w:val="21"/>
        </w:rPr>
      </w:pPr>
      <w:r>
        <w:rPr>
          <w:rFonts w:ascii="宋体" w:hAnsi="宋体" w:hint="eastAsia"/>
          <w:b/>
          <w:szCs w:val="21"/>
        </w:rPr>
        <w:t>第二章  组  织</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第四条</w:t>
      </w:r>
      <w:r>
        <w:rPr>
          <w:rFonts w:ascii="宋体" w:hAnsi="宋体" w:hint="eastAsia"/>
          <w:szCs w:val="21"/>
        </w:rPr>
        <w:t xml:space="preserve">  伦理委员会名称：</w:t>
      </w:r>
      <w:r>
        <w:rPr>
          <w:rFonts w:ascii="宋体" w:hAnsi="宋体" w:hint="eastAsia"/>
          <w:szCs w:val="21"/>
          <w:shd w:val="clear" w:color="auto" w:fill="FFFFFF"/>
        </w:rPr>
        <w:t>临床试验伦理委员会</w:t>
      </w:r>
      <w:r>
        <w:rPr>
          <w:rFonts w:ascii="宋体" w:hAnsi="宋体" w:hint="eastAsia"/>
          <w:szCs w:val="21"/>
        </w:rPr>
        <w:t>。</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第五条</w:t>
      </w:r>
      <w:r>
        <w:rPr>
          <w:rFonts w:ascii="宋体" w:hAnsi="宋体" w:hint="eastAsia"/>
          <w:szCs w:val="21"/>
        </w:rPr>
        <w:t xml:space="preserve">  伦理委员会地址：安徽省合肥市蜀山区环湖东路107号安徽省肿瘤医院。</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第六条</w:t>
      </w:r>
      <w:r>
        <w:rPr>
          <w:rFonts w:ascii="宋体" w:hAnsi="宋体" w:hint="eastAsia"/>
          <w:szCs w:val="21"/>
        </w:rPr>
        <w:t xml:space="preserve">  组织架构：本伦理委员会隶属安徽省肿瘤医</w:t>
      </w:r>
      <w:r w:rsidRPr="00DE1801">
        <w:rPr>
          <w:rFonts w:ascii="宋体" w:hAnsi="宋体" w:hint="eastAsia"/>
          <w:color w:val="000000" w:themeColor="text1"/>
          <w:szCs w:val="21"/>
        </w:rPr>
        <w:t>院。</w:t>
      </w:r>
      <w:r>
        <w:rPr>
          <w:rFonts w:ascii="宋体" w:hAnsi="宋体" w:hint="eastAsia"/>
          <w:szCs w:val="21"/>
        </w:rPr>
        <w:t>伦理委员会下设办公室。</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第七条</w:t>
      </w:r>
      <w:r>
        <w:rPr>
          <w:rFonts w:ascii="宋体" w:hAnsi="宋体" w:hint="eastAsia"/>
          <w:szCs w:val="21"/>
        </w:rPr>
        <w:t xml:space="preserve">  职责：伦理委员会对涉及人的生物医学研究项目的科学性和伦理合理性进行独立、称职和及时的审查。审查范围包括药物临床试验项目、医疗器械临床试验项目、涉及人的临床科研项目</w:t>
      </w:r>
      <w:r w:rsidR="001517C9">
        <w:rPr>
          <w:rFonts w:ascii="宋体" w:hAnsi="宋体" w:hint="eastAsia"/>
          <w:szCs w:val="21"/>
        </w:rPr>
        <w:t>等</w:t>
      </w:r>
      <w:r>
        <w:rPr>
          <w:rFonts w:ascii="宋体" w:hAnsi="宋体" w:hint="eastAsia"/>
          <w:szCs w:val="21"/>
        </w:rPr>
        <w:t>。审查类别包括初始审查、跟踪审查和复审。伦理委员会办公室负责伦理委员会日常行政事务的管理工作。</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第八条</w:t>
      </w:r>
      <w:r>
        <w:rPr>
          <w:rFonts w:ascii="宋体" w:hAnsi="宋体" w:hint="eastAsia"/>
          <w:szCs w:val="21"/>
        </w:rPr>
        <w:t xml:space="preserve">  权力：伦理委员会有权批准／不批准一项临床研究，对批准的临床研究进行跟踪审查，终止或暂停已经批准的临床研究。</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第九条</w:t>
      </w:r>
      <w:r>
        <w:rPr>
          <w:rFonts w:ascii="宋体" w:hAnsi="宋体" w:hint="eastAsia"/>
          <w:szCs w:val="21"/>
        </w:rPr>
        <w:t xml:space="preserve">  </w:t>
      </w:r>
      <w:r>
        <w:rPr>
          <w:rFonts w:ascii="宋体" w:hAnsi="宋体"/>
          <w:szCs w:val="21"/>
        </w:rPr>
        <w:t>医院为伦理委员会提供</w:t>
      </w:r>
      <w:r>
        <w:rPr>
          <w:rFonts w:ascii="宋体" w:hAnsi="宋体" w:hint="eastAsia"/>
          <w:szCs w:val="21"/>
        </w:rPr>
        <w:t>独立的办公室，有可利用的档案室和会议室。医院为委员、独立顾问、秘书与工作人员提供充分的培训，使其能够胜任工作。</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第十条</w:t>
      </w:r>
      <w:r>
        <w:rPr>
          <w:rFonts w:ascii="宋体" w:hAnsi="宋体" w:hint="eastAsia"/>
          <w:szCs w:val="21"/>
        </w:rPr>
        <w:t xml:space="preserve">  财政资源：伦理委员会的行政经费列入医院财政预算。经费使用按照医院财务管理规定执行，可应要求公开支付给委员的劳务费。</w:t>
      </w:r>
    </w:p>
    <w:p w:rsidR="00C40C47" w:rsidRDefault="00A634B5" w:rsidP="00F06EAC">
      <w:pPr>
        <w:spacing w:beforeLines="50" w:afterLines="50" w:line="360" w:lineRule="auto"/>
        <w:jc w:val="center"/>
        <w:rPr>
          <w:rFonts w:ascii="宋体" w:hAnsi="宋体"/>
          <w:b/>
          <w:szCs w:val="21"/>
        </w:rPr>
      </w:pPr>
      <w:r>
        <w:rPr>
          <w:rFonts w:ascii="宋体" w:hAnsi="宋体" w:hint="eastAsia"/>
          <w:b/>
          <w:szCs w:val="21"/>
        </w:rPr>
        <w:t>第三章  组建与换届</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第十一条</w:t>
      </w:r>
      <w:r>
        <w:rPr>
          <w:rFonts w:ascii="宋体" w:hAnsi="宋体" w:hint="eastAsia"/>
          <w:szCs w:val="21"/>
        </w:rPr>
        <w:t xml:space="preserve">  伦理委员会委员的组成：医药专业人员、非医药专业人员、法律专家、与医</w:t>
      </w:r>
      <w:r>
        <w:rPr>
          <w:rFonts w:ascii="宋体" w:hAnsi="宋体" w:hint="eastAsia"/>
          <w:szCs w:val="21"/>
        </w:rPr>
        <w:lastRenderedPageBreak/>
        <w:t>院不存在行政隶属关系的外单位的人员，并有不同性别的委员；委员人数</w:t>
      </w:r>
      <w:r w:rsidR="00C37225">
        <w:rPr>
          <w:rFonts w:ascii="宋体" w:hAnsi="宋体" w:hint="eastAsia"/>
          <w:szCs w:val="21"/>
        </w:rPr>
        <w:t>11</w:t>
      </w:r>
      <w:r>
        <w:rPr>
          <w:rFonts w:ascii="宋体" w:hAnsi="宋体" w:hint="eastAsia"/>
          <w:szCs w:val="21"/>
        </w:rPr>
        <w:t>人。</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第十二条</w:t>
      </w:r>
      <w:r>
        <w:rPr>
          <w:rFonts w:ascii="宋体" w:hAnsi="宋体" w:hint="eastAsia"/>
          <w:szCs w:val="21"/>
        </w:rPr>
        <w:t xml:space="preserve">  </w:t>
      </w:r>
      <w:r>
        <w:rPr>
          <w:rFonts w:ascii="宋体" w:hAnsi="宋体" w:cs="宋体" w:hint="eastAsia"/>
          <w:kern w:val="0"/>
          <w:szCs w:val="21"/>
        </w:rPr>
        <w:t>委员的招募</w:t>
      </w:r>
      <w:r>
        <w:rPr>
          <w:rFonts w:ascii="宋体" w:hAnsi="宋体" w:cs="宋体"/>
          <w:kern w:val="0"/>
          <w:szCs w:val="21"/>
        </w:rPr>
        <w:t>/</w:t>
      </w:r>
      <w:r>
        <w:rPr>
          <w:rFonts w:ascii="宋体" w:hAnsi="宋体" w:cs="宋体" w:hint="eastAsia"/>
          <w:kern w:val="0"/>
          <w:szCs w:val="21"/>
        </w:rPr>
        <w:t>推荐：</w:t>
      </w:r>
      <w:r>
        <w:rPr>
          <w:rFonts w:ascii="宋体" w:hAnsi="宋体" w:hint="eastAsia"/>
          <w:szCs w:val="21"/>
        </w:rPr>
        <w:t>伦理</w:t>
      </w:r>
      <w:r>
        <w:rPr>
          <w:rFonts w:ascii="宋体" w:hAnsi="宋体" w:cs="宋体" w:hint="eastAsia"/>
          <w:kern w:val="0"/>
          <w:szCs w:val="21"/>
        </w:rPr>
        <w:t>第一届</w:t>
      </w:r>
      <w:r>
        <w:rPr>
          <w:rFonts w:ascii="宋体" w:hAnsi="宋体" w:hint="eastAsia"/>
          <w:szCs w:val="21"/>
        </w:rPr>
        <w:t>委员会委员</w:t>
      </w:r>
      <w:r>
        <w:rPr>
          <w:rFonts w:ascii="宋体" w:hAnsi="宋体" w:cs="宋体" w:hint="eastAsia"/>
          <w:kern w:val="0"/>
          <w:szCs w:val="21"/>
        </w:rPr>
        <w:t>采取医院任命</w:t>
      </w:r>
      <w:r>
        <w:rPr>
          <w:rFonts w:ascii="宋体" w:hAnsi="宋体" w:hint="eastAsia"/>
          <w:szCs w:val="21"/>
        </w:rPr>
        <w:t>的方式</w:t>
      </w:r>
      <w:r>
        <w:rPr>
          <w:rFonts w:ascii="宋体" w:hAnsi="宋体" w:cs="宋体" w:hint="eastAsia"/>
          <w:kern w:val="0"/>
          <w:szCs w:val="21"/>
        </w:rPr>
        <w:t>，</w:t>
      </w:r>
      <w:r w:rsidRPr="00F94A5E">
        <w:rPr>
          <w:rFonts w:ascii="宋体" w:hAnsi="宋体" w:hint="eastAsia"/>
          <w:szCs w:val="21"/>
        </w:rPr>
        <w:t>以后</w:t>
      </w:r>
      <w:r>
        <w:rPr>
          <w:rFonts w:ascii="宋体" w:hAnsi="宋体" w:hint="eastAsia"/>
          <w:szCs w:val="21"/>
        </w:rPr>
        <w:t>采用自荐及推荐的方式，并征询本人意见，确定委员候选人名单。</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第十三条</w:t>
      </w:r>
      <w:r>
        <w:rPr>
          <w:rFonts w:ascii="宋体" w:hAnsi="宋体" w:hint="eastAsia"/>
          <w:szCs w:val="21"/>
        </w:rPr>
        <w:t xml:space="preserve"> </w:t>
      </w:r>
      <w:r>
        <w:rPr>
          <w:rFonts w:ascii="宋体" w:hAnsi="宋体" w:hint="eastAsia"/>
          <w:color w:val="FF0000"/>
          <w:szCs w:val="21"/>
        </w:rPr>
        <w:t xml:space="preserve"> </w:t>
      </w:r>
      <w:r>
        <w:rPr>
          <w:rFonts w:ascii="宋体" w:hAnsi="宋体" w:cs="宋体" w:hint="eastAsia"/>
          <w:kern w:val="0"/>
          <w:szCs w:val="21"/>
        </w:rPr>
        <w:t>任命的机构与程序：</w:t>
      </w:r>
      <w:r>
        <w:rPr>
          <w:rFonts w:ascii="宋体" w:hAnsi="宋体" w:hint="eastAsia"/>
          <w:szCs w:val="21"/>
        </w:rPr>
        <w:t>医院负责伦理委员会委员的任命。当选委员以医院正式文件的方式任命。</w:t>
      </w:r>
    </w:p>
    <w:p w:rsidR="00C40C47" w:rsidRDefault="00A634B5">
      <w:pPr>
        <w:spacing w:line="360" w:lineRule="auto"/>
        <w:jc w:val="left"/>
        <w:rPr>
          <w:rFonts w:ascii="宋体" w:hAnsi="宋体"/>
          <w:szCs w:val="21"/>
        </w:rPr>
      </w:pPr>
      <w:r>
        <w:rPr>
          <w:rFonts w:ascii="宋体" w:hAnsi="宋体" w:hint="eastAsia"/>
          <w:szCs w:val="21"/>
        </w:rPr>
        <w:t xml:space="preserve">    接受任命的伦理委员会委员应参加生物医学研究伦理、GCP和伦理审查方面的培训；应提交本人简历、资质证明文件，GCP与伦理审查培训证书；应同意并签署利益冲突声明及保密承诺。</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第十四条</w:t>
      </w:r>
      <w:r>
        <w:rPr>
          <w:rFonts w:ascii="宋体" w:hAnsi="宋体" w:hint="eastAsia"/>
          <w:szCs w:val="21"/>
        </w:rPr>
        <w:t xml:space="preserve">  伦理委员会设主任委员1名，副主任委员1名。主任委员负责主持伦理委员会工作，负责主持审查会议，审签会议记录与审查决定文件。主任委员缺席时，由副主任委员代替主任委员行使职责。</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第十五条</w:t>
      </w:r>
      <w:r>
        <w:rPr>
          <w:rFonts w:ascii="宋体" w:hAnsi="宋体" w:hint="eastAsia"/>
          <w:szCs w:val="21"/>
        </w:rPr>
        <w:t xml:space="preserve">  伦理委员会每届任期</w:t>
      </w:r>
      <w:r w:rsidR="00C37225">
        <w:rPr>
          <w:rFonts w:ascii="宋体" w:hAnsi="宋体" w:hint="eastAsia"/>
          <w:szCs w:val="21"/>
        </w:rPr>
        <w:t>3</w:t>
      </w:r>
      <w:r>
        <w:rPr>
          <w:rFonts w:ascii="宋体" w:hAnsi="宋体" w:hint="eastAsia"/>
          <w:szCs w:val="21"/>
        </w:rPr>
        <w:t>年</w:t>
      </w:r>
      <w:r w:rsidR="00356332">
        <w:rPr>
          <w:rFonts w:ascii="宋体" w:hAnsi="宋体" w:hint="eastAsia"/>
          <w:szCs w:val="21"/>
        </w:rPr>
        <w:t>，可以连任</w:t>
      </w:r>
      <w:r>
        <w:rPr>
          <w:rFonts w:ascii="宋体" w:hAnsi="宋体" w:hint="eastAsia"/>
          <w:szCs w:val="21"/>
        </w:rPr>
        <w:t>。</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第十六条</w:t>
      </w:r>
      <w:r>
        <w:rPr>
          <w:rFonts w:ascii="宋体" w:hAnsi="宋体" w:hint="eastAsia"/>
          <w:szCs w:val="21"/>
        </w:rPr>
        <w:t xml:space="preserve">  换届：期满换届应考虑保证伦理委员会工作的连续性，审查能力的发展，委员的专业类别，以及不断吸收新的观点和方法。换届候选委员采用公开招募、有关各方和委员推荐的方式产生，医院任命。</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第十七条</w:t>
      </w:r>
      <w:r>
        <w:rPr>
          <w:rFonts w:ascii="宋体" w:hAnsi="宋体" w:hint="eastAsia"/>
          <w:szCs w:val="21"/>
        </w:rPr>
        <w:t xml:space="preserve">  免职：以下情况可以免去委员资格：本人书面申请辞去委员职务者；因各种原因长期无法参加伦理审查会议者；因健康或工作调离等原因，不能继续履行委员职责者；因行为道德规范与委员职责相违背(如与审查项目存在利益冲突而不主动声明)，不适宜继续担任委员者。</w:t>
      </w:r>
    </w:p>
    <w:p w:rsidR="00C40C47" w:rsidRDefault="00A634B5">
      <w:pPr>
        <w:spacing w:line="360" w:lineRule="auto"/>
        <w:jc w:val="left"/>
        <w:rPr>
          <w:rFonts w:ascii="宋体" w:hAnsi="宋体"/>
          <w:szCs w:val="21"/>
        </w:rPr>
      </w:pPr>
      <w:r>
        <w:rPr>
          <w:rFonts w:ascii="宋体" w:hAnsi="宋体" w:hint="eastAsia"/>
          <w:szCs w:val="21"/>
        </w:rPr>
        <w:t xml:space="preserve">    免职程序：委员免职由伦理委员会讨论决定，同意免职的票数应超过法定到会人数的半数</w:t>
      </w:r>
      <w:r w:rsidR="00A17AB0">
        <w:rPr>
          <w:rFonts w:ascii="宋体" w:hAnsi="宋体" w:hint="eastAsia"/>
          <w:szCs w:val="21"/>
        </w:rPr>
        <w:t>，</w:t>
      </w:r>
      <w:r>
        <w:rPr>
          <w:rFonts w:ascii="宋体" w:hAnsi="宋体" w:hint="eastAsia"/>
          <w:szCs w:val="21"/>
        </w:rPr>
        <w:t>免职决定以医院正式文件的方式公布。</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第十八条</w:t>
      </w:r>
      <w:r>
        <w:rPr>
          <w:rFonts w:ascii="宋体" w:hAnsi="宋体" w:hint="eastAsia"/>
          <w:szCs w:val="21"/>
        </w:rPr>
        <w:t xml:space="preserve">  替换：因委员辞职或免职，可以启动委员替换程序。根据资质、专业相当的原则招募／推荐候选替补委员，替补委员由伦理委员会讨论决定，同意票应超过法定到会人数的半数。当选的替补委员以医院正式文件的方式任命。</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第十九条</w:t>
      </w:r>
      <w:r>
        <w:rPr>
          <w:rFonts w:ascii="宋体" w:hAnsi="宋体" w:hint="eastAsia"/>
          <w:szCs w:val="21"/>
        </w:rPr>
        <w:t xml:space="preserve">  独立顾问：如果委员专业知识不能胜任某临床研究项目的审查，或某临床研究项目的受试者与委员的社会与文化背景明显不同时，可以聘请独立顾问。独立顾问应提交本人简历、资质证明文件，签署保密承诺与利益冲突声明。独立顾问应邀对临床研究项目的某方面问题提供咨询意见，但不具有表决权。</w:t>
      </w:r>
    </w:p>
    <w:p w:rsidR="00C40C47" w:rsidRDefault="00A634B5">
      <w:pPr>
        <w:spacing w:line="360" w:lineRule="auto"/>
        <w:ind w:firstLine="480"/>
        <w:jc w:val="left"/>
        <w:rPr>
          <w:rFonts w:ascii="宋体" w:hAnsi="宋体"/>
          <w:szCs w:val="21"/>
        </w:rPr>
      </w:pPr>
      <w:r>
        <w:rPr>
          <w:rFonts w:ascii="宋体" w:hAnsi="宋体" w:hint="eastAsia"/>
          <w:b/>
          <w:szCs w:val="21"/>
        </w:rPr>
        <w:t>第二十条</w:t>
      </w:r>
      <w:r>
        <w:rPr>
          <w:rFonts w:ascii="宋体" w:hAnsi="宋体" w:hint="eastAsia"/>
          <w:szCs w:val="21"/>
        </w:rPr>
        <w:t xml:space="preserve">  伦理委员会设秘书1名。秘书由伦理委员会主任任命。</w:t>
      </w:r>
    </w:p>
    <w:p w:rsidR="00C40C47" w:rsidRDefault="00C40C47">
      <w:pPr>
        <w:spacing w:line="360" w:lineRule="auto"/>
        <w:ind w:firstLine="480"/>
        <w:jc w:val="left"/>
        <w:rPr>
          <w:rFonts w:ascii="宋体" w:hAnsi="宋体"/>
          <w:szCs w:val="21"/>
        </w:rPr>
      </w:pPr>
    </w:p>
    <w:p w:rsidR="00C40C47" w:rsidRDefault="00A634B5" w:rsidP="00F06EAC">
      <w:pPr>
        <w:spacing w:beforeLines="50" w:afterLines="50" w:line="360" w:lineRule="auto"/>
        <w:jc w:val="center"/>
        <w:rPr>
          <w:rFonts w:ascii="宋体" w:hAnsi="宋体"/>
          <w:b/>
          <w:szCs w:val="21"/>
        </w:rPr>
      </w:pPr>
      <w:r>
        <w:rPr>
          <w:rFonts w:ascii="宋体" w:hAnsi="宋体" w:hint="eastAsia"/>
          <w:b/>
          <w:szCs w:val="21"/>
        </w:rPr>
        <w:lastRenderedPageBreak/>
        <w:t>第四章  运  作</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第二十一条</w:t>
      </w:r>
      <w:r>
        <w:rPr>
          <w:rFonts w:ascii="宋体" w:hAnsi="宋体" w:hint="eastAsia"/>
          <w:szCs w:val="21"/>
        </w:rPr>
        <w:t xml:space="preserve">  审查方式：伦理委员会的审查方式有会议审查，紧急会议审查，快速审查。实行主审制，每个项目应安排主审委员审查，填写审查工作表。会议审查是伦理委员会主要的审查工作方式，委员应在会前预审送审项目。研究过程中出现重大或严重问题，危及受试者安全，应召开紧急会议审查。快速审查是会议审查的补充形式，目的是为了提高工作效率，主要适用于临床研究方案的较小修正，不影响试验的风险受益比，尚未纳入受试者的研究项目的年度/定期跟踪审查以及预期严重不良事件审查。</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第二十二条</w:t>
      </w:r>
      <w:r>
        <w:rPr>
          <w:rFonts w:ascii="宋体" w:hAnsi="宋体" w:hint="eastAsia"/>
          <w:szCs w:val="21"/>
        </w:rPr>
        <w:t xml:space="preserve">  法定到会人数：到会委员人数应超过半数成员；到会委员应包括医药专业、非医药专业、独立于研究实施机构之外的委员，参会委员的性别均衡。</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第二十三条</w:t>
      </w:r>
      <w:r>
        <w:rPr>
          <w:rFonts w:ascii="宋体" w:hAnsi="宋体" w:hint="eastAsia"/>
          <w:szCs w:val="21"/>
        </w:rPr>
        <w:t xml:space="preserve">   决定的票数：超过伦理委员会</w:t>
      </w:r>
      <w:r w:rsidR="000A5DEC">
        <w:rPr>
          <w:rFonts w:ascii="宋体" w:hAnsi="宋体" w:hint="eastAsia"/>
          <w:szCs w:val="21"/>
        </w:rPr>
        <w:t>全部</w:t>
      </w:r>
      <w:r>
        <w:rPr>
          <w:rFonts w:ascii="宋体" w:hAnsi="宋体" w:hint="eastAsia"/>
          <w:szCs w:val="21"/>
        </w:rPr>
        <w:t>委员的1/2票数的意见作为审查决定。</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第二十四条</w:t>
      </w:r>
      <w:r>
        <w:rPr>
          <w:rFonts w:ascii="宋体" w:hAnsi="宋体" w:hint="eastAsia"/>
          <w:szCs w:val="21"/>
        </w:rPr>
        <w:t xml:space="preserve">   利益冲突管理：每次审查／咨询研究项目时，与研究项目存在利益冲突的委员或独立顾问应主动声明并回避。制定利益冲突政策，识别任何与伦理审查和科学研究相关的利益冲突，并采取相应的管理措施。    </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第二十五条</w:t>
      </w:r>
      <w:r>
        <w:rPr>
          <w:rFonts w:ascii="宋体" w:hAnsi="宋体" w:hint="eastAsia"/>
          <w:szCs w:val="21"/>
        </w:rPr>
        <w:t xml:space="preserve">  保密：伦理委员会委员／独立顾问签署保密协议，对送审项目的文件保密，审查完成后，及时交回所有送审文件与审查材料，不得私自复制与外传。</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第二十六条</w:t>
      </w:r>
      <w:r>
        <w:rPr>
          <w:rFonts w:ascii="宋体" w:hAnsi="宋体" w:hint="eastAsia"/>
          <w:szCs w:val="21"/>
        </w:rPr>
        <w:t xml:space="preserve">  协作：伦理委员会与医院所有与受试者保护相关的部门协同工作，明确各自在伦理审查和研究监管中的职责，保证本组织机构承担的以及实施的所有涉及人的生物医学研究项目都提交伦理审查，所有涉及人的研究项目受试者的健康和权益得到保护；有效的报告和处理偏离或违背法规与方案的情况；建立与受试者有效的沟通渠道，对受试者所关心的问题做出回应。建立与其它伦理委员会有效的沟通交流机制，协作完成多中心临床研究的伦理审查。</w:t>
      </w:r>
    </w:p>
    <w:p w:rsidR="00C40C47" w:rsidRDefault="00A634B5">
      <w:pPr>
        <w:spacing w:line="360" w:lineRule="auto"/>
        <w:jc w:val="left"/>
        <w:rPr>
          <w:rFonts w:ascii="宋体" w:hAnsi="宋体"/>
          <w:szCs w:val="21"/>
        </w:rPr>
      </w:pPr>
      <w:r>
        <w:rPr>
          <w:rFonts w:ascii="宋体" w:hAnsi="宋体" w:hint="eastAsia"/>
          <w:szCs w:val="21"/>
        </w:rPr>
        <w:t xml:space="preserve">    </w:t>
      </w:r>
      <w:r>
        <w:rPr>
          <w:rFonts w:ascii="宋体" w:hAnsi="宋体" w:hint="eastAsia"/>
          <w:b/>
          <w:szCs w:val="21"/>
        </w:rPr>
        <w:t>第二十七条</w:t>
      </w:r>
      <w:r>
        <w:rPr>
          <w:rFonts w:ascii="宋体" w:hAnsi="宋体" w:hint="eastAsia"/>
          <w:szCs w:val="21"/>
        </w:rPr>
        <w:t xml:space="preserve">  质量管理：伦理委员会接受医院主管部门对伦理委员会工作质量的定期检查；接受卫生行政部门、药品监督管理部门的监督管理；接受独立的、外部的质量评估或认证。伦理委员会对检查发现的问题采取相应的改进措施。</w:t>
      </w:r>
    </w:p>
    <w:p w:rsidR="00C40C47" w:rsidRDefault="00A634B5" w:rsidP="00F06EAC">
      <w:pPr>
        <w:widowControl/>
        <w:shd w:val="clear" w:color="auto" w:fill="FFFFFF"/>
        <w:spacing w:beforeLines="50" w:afterLines="50" w:line="360" w:lineRule="auto"/>
        <w:jc w:val="center"/>
        <w:rPr>
          <w:rFonts w:ascii="宋体" w:hAnsi="宋体" w:cs="宋体"/>
          <w:kern w:val="0"/>
          <w:szCs w:val="21"/>
        </w:rPr>
      </w:pPr>
      <w:r>
        <w:rPr>
          <w:rFonts w:ascii="宋体" w:hAnsi="宋体" w:cs="宋体" w:hint="eastAsia"/>
          <w:b/>
          <w:bCs/>
          <w:kern w:val="0"/>
          <w:szCs w:val="21"/>
        </w:rPr>
        <w:t>第五章</w:t>
      </w:r>
      <w:r>
        <w:rPr>
          <w:rFonts w:ascii="宋体" w:hAnsi="宋体" w:cs="宋体"/>
          <w:b/>
          <w:bCs/>
          <w:kern w:val="0"/>
          <w:szCs w:val="21"/>
        </w:rPr>
        <w:t xml:space="preserve"> </w:t>
      </w:r>
      <w:r>
        <w:rPr>
          <w:rFonts w:ascii="宋体" w:hAnsi="宋体" w:cs="宋体" w:hint="eastAsia"/>
          <w:b/>
          <w:bCs/>
          <w:kern w:val="0"/>
          <w:szCs w:val="21"/>
        </w:rPr>
        <w:t>附则</w:t>
      </w:r>
    </w:p>
    <w:p w:rsidR="00C40C47" w:rsidRDefault="00A634B5">
      <w:pPr>
        <w:widowControl/>
        <w:shd w:val="clear" w:color="auto" w:fill="FFFFFF"/>
        <w:spacing w:line="360" w:lineRule="auto"/>
        <w:ind w:firstLine="482"/>
        <w:rPr>
          <w:rFonts w:ascii="宋体" w:hAnsi="宋体" w:cs="宋体"/>
          <w:kern w:val="0"/>
          <w:szCs w:val="21"/>
        </w:rPr>
      </w:pPr>
      <w:r>
        <w:rPr>
          <w:rFonts w:ascii="宋体" w:hAnsi="宋体" w:cs="宋体" w:hint="eastAsia"/>
          <w:b/>
          <w:bCs/>
          <w:kern w:val="0"/>
          <w:szCs w:val="21"/>
        </w:rPr>
        <w:t>第二十八条</w:t>
      </w:r>
      <w:r>
        <w:rPr>
          <w:rFonts w:ascii="宋体" w:hAnsi="宋体" w:cs="宋体" w:hint="eastAsia"/>
          <w:b/>
          <w:kern w:val="0"/>
          <w:szCs w:val="21"/>
        </w:rPr>
        <w:t xml:space="preserve"> </w:t>
      </w:r>
      <w:r>
        <w:rPr>
          <w:rFonts w:ascii="宋体" w:hAnsi="宋体" w:cs="宋体" w:hint="eastAsia"/>
          <w:kern w:val="0"/>
          <w:szCs w:val="21"/>
        </w:rPr>
        <w:t>凡本委员会在工作中发现超出职能范围的问题与事故，移交有关部门处理。</w:t>
      </w:r>
    </w:p>
    <w:p w:rsidR="00A634B5" w:rsidRDefault="00A634B5">
      <w:pPr>
        <w:widowControl/>
        <w:shd w:val="clear" w:color="auto" w:fill="FFFFFF"/>
        <w:spacing w:line="360" w:lineRule="auto"/>
        <w:rPr>
          <w:szCs w:val="21"/>
        </w:rPr>
      </w:pPr>
      <w:r>
        <w:rPr>
          <w:rFonts w:ascii="宋体" w:hAnsi="宋体" w:cs="宋体"/>
          <w:kern w:val="0"/>
          <w:szCs w:val="21"/>
        </w:rPr>
        <w:t>  </w:t>
      </w:r>
      <w:r w:rsidR="00F06EAC">
        <w:rPr>
          <w:rFonts w:ascii="宋体" w:hAnsi="宋体" w:cs="宋体" w:hint="eastAsia"/>
          <w:kern w:val="0"/>
          <w:szCs w:val="21"/>
        </w:rPr>
        <w:t xml:space="preserve"> </w:t>
      </w:r>
      <w:r>
        <w:rPr>
          <w:rFonts w:ascii="宋体" w:hAnsi="宋体" w:cs="宋体" w:hint="eastAsia"/>
          <w:b/>
          <w:bCs/>
          <w:kern w:val="0"/>
          <w:szCs w:val="21"/>
        </w:rPr>
        <w:t>第二十九条</w:t>
      </w:r>
      <w:r>
        <w:rPr>
          <w:rFonts w:ascii="宋体" w:hAnsi="宋体" w:cs="宋体"/>
          <w:b/>
          <w:kern w:val="0"/>
          <w:szCs w:val="21"/>
        </w:rPr>
        <w:t> </w:t>
      </w:r>
      <w:r>
        <w:rPr>
          <w:rFonts w:ascii="宋体" w:hAnsi="宋体" w:cs="宋体" w:hint="eastAsia"/>
          <w:kern w:val="0"/>
          <w:szCs w:val="21"/>
        </w:rPr>
        <w:t>本章程自发布之日起生效。</w:t>
      </w:r>
    </w:p>
    <w:sectPr w:rsidR="00A634B5" w:rsidSect="00C40C47">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DE0" w:rsidRDefault="009F6DE0">
      <w:r>
        <w:separator/>
      </w:r>
    </w:p>
  </w:endnote>
  <w:endnote w:type="continuationSeparator" w:id="1">
    <w:p w:rsidR="009F6DE0" w:rsidRDefault="009F6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47" w:rsidRDefault="00A634B5">
    <w:pPr>
      <w:pStyle w:val="a6"/>
      <w:pBdr>
        <w:top w:val="single" w:sz="4" w:space="1" w:color="auto"/>
        <w:left w:val="none" w:sz="0" w:space="4" w:color="auto"/>
        <w:bottom w:val="none" w:sz="0" w:space="1" w:color="auto"/>
        <w:right w:val="none" w:sz="0" w:space="4" w:color="auto"/>
      </w:pBdr>
      <w:jc w:val="center"/>
    </w:pPr>
    <w:r>
      <w:rPr>
        <w:rFonts w:hint="eastAsia"/>
      </w:rPr>
      <w:t>第</w:t>
    </w:r>
    <w:r>
      <w:rPr>
        <w:rFonts w:hint="eastAsia"/>
      </w:rPr>
      <w:t xml:space="preserve"> </w:t>
    </w:r>
    <w:r w:rsidR="008C2020">
      <w:rPr>
        <w:rFonts w:hint="eastAsia"/>
      </w:rPr>
      <w:fldChar w:fldCharType="begin"/>
    </w:r>
    <w:r>
      <w:rPr>
        <w:rFonts w:hint="eastAsia"/>
      </w:rPr>
      <w:instrText xml:space="preserve"> PAGE  \* MERGEFORMAT </w:instrText>
    </w:r>
    <w:r w:rsidR="008C2020">
      <w:rPr>
        <w:rFonts w:hint="eastAsia"/>
      </w:rPr>
      <w:fldChar w:fldCharType="separate"/>
    </w:r>
    <w:r w:rsidR="00F06EAC">
      <w:rPr>
        <w:noProof/>
      </w:rPr>
      <w:t>3</w:t>
    </w:r>
    <w:r w:rsidR="008C202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DE0" w:rsidRDefault="009F6DE0">
      <w:r>
        <w:separator/>
      </w:r>
    </w:p>
  </w:footnote>
  <w:footnote w:type="continuationSeparator" w:id="1">
    <w:p w:rsidR="009F6DE0" w:rsidRDefault="009F6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47" w:rsidRDefault="00C40C47">
    <w:pPr>
      <w:pStyle w:val="a5"/>
      <w:pBdr>
        <w:bottom w:val="single" w:sz="4" w:space="1" w:color="auto"/>
      </w:pBdr>
      <w:jc w:val="left"/>
      <w:rPr>
        <w:rFonts w:ascii="宋体" w:hAnsi="宋体"/>
      </w:rPr>
    </w:pPr>
  </w:p>
  <w:p w:rsidR="00C40C47" w:rsidRDefault="00A634B5">
    <w:pPr>
      <w:pStyle w:val="a5"/>
      <w:pBdr>
        <w:bottom w:val="single" w:sz="4" w:space="1" w:color="auto"/>
      </w:pBdr>
      <w:jc w:val="left"/>
    </w:pPr>
    <w:r>
      <w:rPr>
        <w:rFonts w:ascii="宋体" w:hAnsi="宋体" w:hint="eastAsia"/>
      </w:rPr>
      <w:t>安徽省肿瘤医院 临床试验伦理委员会                                            IEC-REG-001-1.0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0C26"/>
    <w:rsid w:val="0007788B"/>
    <w:rsid w:val="000A5DEC"/>
    <w:rsid w:val="000B3967"/>
    <w:rsid w:val="00107AB1"/>
    <w:rsid w:val="00144794"/>
    <w:rsid w:val="00151767"/>
    <w:rsid w:val="001517C9"/>
    <w:rsid w:val="00172A27"/>
    <w:rsid w:val="00177C52"/>
    <w:rsid w:val="001A110A"/>
    <w:rsid w:val="001B7CFE"/>
    <w:rsid w:val="001D2270"/>
    <w:rsid w:val="0023506C"/>
    <w:rsid w:val="0024072C"/>
    <w:rsid w:val="0034169A"/>
    <w:rsid w:val="00356332"/>
    <w:rsid w:val="00364350"/>
    <w:rsid w:val="00365C7A"/>
    <w:rsid w:val="0037437D"/>
    <w:rsid w:val="0038055A"/>
    <w:rsid w:val="003B5790"/>
    <w:rsid w:val="003E52BB"/>
    <w:rsid w:val="00431CA7"/>
    <w:rsid w:val="0045616A"/>
    <w:rsid w:val="00490EEA"/>
    <w:rsid w:val="004C084A"/>
    <w:rsid w:val="004C2A14"/>
    <w:rsid w:val="00546845"/>
    <w:rsid w:val="0065570E"/>
    <w:rsid w:val="0066347C"/>
    <w:rsid w:val="006F51BD"/>
    <w:rsid w:val="007052DC"/>
    <w:rsid w:val="00762770"/>
    <w:rsid w:val="00881CC3"/>
    <w:rsid w:val="008C2020"/>
    <w:rsid w:val="00941EC5"/>
    <w:rsid w:val="00943077"/>
    <w:rsid w:val="009F6DE0"/>
    <w:rsid w:val="00A17AB0"/>
    <w:rsid w:val="00A243A7"/>
    <w:rsid w:val="00A634B5"/>
    <w:rsid w:val="00A71A31"/>
    <w:rsid w:val="00AA6901"/>
    <w:rsid w:val="00AB087D"/>
    <w:rsid w:val="00AD4A9B"/>
    <w:rsid w:val="00AF3BA7"/>
    <w:rsid w:val="00B125DC"/>
    <w:rsid w:val="00B27C56"/>
    <w:rsid w:val="00C37225"/>
    <w:rsid w:val="00C40C47"/>
    <w:rsid w:val="00C77DB4"/>
    <w:rsid w:val="00CD2E4C"/>
    <w:rsid w:val="00CE6945"/>
    <w:rsid w:val="00D159E3"/>
    <w:rsid w:val="00DA43D9"/>
    <w:rsid w:val="00DD28D2"/>
    <w:rsid w:val="00DE1801"/>
    <w:rsid w:val="00E25DD5"/>
    <w:rsid w:val="00E8374A"/>
    <w:rsid w:val="00EE2CA9"/>
    <w:rsid w:val="00F06EAC"/>
    <w:rsid w:val="00F734D7"/>
    <w:rsid w:val="00F74807"/>
    <w:rsid w:val="00F94A5E"/>
    <w:rsid w:val="00FC03ED"/>
    <w:rsid w:val="056C3CA7"/>
    <w:rsid w:val="1DDA3A0D"/>
    <w:rsid w:val="204046C5"/>
    <w:rsid w:val="3CD235D1"/>
    <w:rsid w:val="3F0B314E"/>
    <w:rsid w:val="485D0805"/>
    <w:rsid w:val="4FED34AC"/>
    <w:rsid w:val="5B38147D"/>
    <w:rsid w:val="61072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C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C40C47"/>
    <w:rPr>
      <w:kern w:val="2"/>
      <w:sz w:val="18"/>
      <w:szCs w:val="18"/>
    </w:rPr>
  </w:style>
  <w:style w:type="character" w:styleId="a4">
    <w:name w:val="page number"/>
    <w:basedOn w:val="a0"/>
    <w:rsid w:val="00C40C47"/>
  </w:style>
  <w:style w:type="paragraph" w:styleId="a5">
    <w:name w:val="header"/>
    <w:basedOn w:val="a"/>
    <w:rsid w:val="00C40C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rsid w:val="00C40C47"/>
    <w:pPr>
      <w:tabs>
        <w:tab w:val="center" w:pos="4153"/>
        <w:tab w:val="right" w:pos="8306"/>
      </w:tabs>
      <w:snapToGrid w:val="0"/>
      <w:jc w:val="left"/>
    </w:pPr>
    <w:rPr>
      <w:sz w:val="18"/>
    </w:rPr>
  </w:style>
  <w:style w:type="paragraph" w:styleId="a3">
    <w:name w:val="Balloon Text"/>
    <w:basedOn w:val="a"/>
    <w:link w:val="Char"/>
    <w:rsid w:val="00C40C47"/>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422</Words>
  <Characters>2411</Characters>
  <Application>Microsoft Office Word</Application>
  <DocSecurity>0</DocSecurity>
  <PresentationFormat/>
  <Lines>20</Lines>
  <Paragraphs>5</Paragraphs>
  <Slides>0</Slides>
  <Notes>0</Notes>
  <HiddenSlides>0</HiddenSlides>
  <MMClips>0</MMClips>
  <ScaleCrop>false</ScaleCrop>
  <Company>微软</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伦理委员会章程</dc:title>
  <dc:creator>jujumao</dc:creator>
  <cp:lastModifiedBy>123</cp:lastModifiedBy>
  <cp:revision>15</cp:revision>
  <cp:lastPrinted>2017-03-13T08:02:00Z</cp:lastPrinted>
  <dcterms:created xsi:type="dcterms:W3CDTF">2017-03-11T11:58:00Z</dcterms:created>
  <dcterms:modified xsi:type="dcterms:W3CDTF">2017-03-18T14:32:00Z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