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315" w:lineRule="atLeast"/>
        <w:ind w:right="0"/>
        <w:jc w:val="left"/>
        <w:rPr>
          <w:rFonts w:hint="eastAsia" w:ascii="黑体" w:hAnsi="宋体" w:eastAsia="黑体" w:cs="黑体"/>
          <w:b/>
          <w:i w:val="0"/>
          <w:caps w:val="0"/>
          <w:color w:val="111111"/>
          <w:spacing w:val="0"/>
          <w:kern w:val="0"/>
          <w:sz w:val="22"/>
          <w:szCs w:val="22"/>
          <w:shd w:val="clear" w:fill="FFFFFF"/>
          <w:lang w:val="en-US" w:eastAsia="zh-CN" w:bidi="ar"/>
        </w:rPr>
      </w:pPr>
    </w:p>
    <w:p>
      <w:pPr>
        <w:keepNext w:val="0"/>
        <w:keepLines w:val="0"/>
        <w:widowControl/>
        <w:suppressLineNumbers w:val="0"/>
        <w:spacing w:before="0" w:beforeAutospacing="1" w:after="0" w:afterAutospacing="1" w:line="315" w:lineRule="atLeast"/>
        <w:ind w:right="0"/>
        <w:jc w:val="left"/>
      </w:pPr>
      <w:r>
        <w:rPr>
          <w:rFonts w:hint="eastAsia" w:ascii="黑体" w:hAnsi="宋体" w:eastAsia="黑体" w:cs="黑体"/>
          <w:b/>
          <w:i w:val="0"/>
          <w:caps w:val="0"/>
          <w:color w:val="111111"/>
          <w:spacing w:val="0"/>
          <w:kern w:val="0"/>
          <w:sz w:val="22"/>
          <w:szCs w:val="22"/>
          <w:shd w:val="clear" w:fill="FFFFFF"/>
          <w:lang w:val="en-US" w:eastAsia="zh-CN" w:bidi="ar"/>
        </w:rPr>
        <w:t>安徽省肿瘤医院药物临床试验项目编号：-----（详见机构预审缴费通知单</w:t>
      </w:r>
      <w:bookmarkStart w:id="0" w:name="_GoBack"/>
      <w:bookmarkEnd w:id="0"/>
      <w:r>
        <w:rPr>
          <w:rFonts w:hint="eastAsia" w:ascii="黑体" w:hAnsi="宋体" w:eastAsia="黑体" w:cs="黑体"/>
          <w:b/>
          <w:i w:val="0"/>
          <w:caps w:val="0"/>
          <w:color w:val="111111"/>
          <w:spacing w:val="0"/>
          <w:kern w:val="0"/>
          <w:sz w:val="22"/>
          <w:szCs w:val="22"/>
          <w:shd w:val="clear" w:fill="FFFFFF"/>
          <w:lang w:val="en-US" w:eastAsia="zh-CN" w:bidi="ar"/>
        </w:rPr>
        <w:t>）</w:t>
      </w:r>
    </w:p>
    <w:p>
      <w:pPr>
        <w:jc w:val="center"/>
        <w:rPr>
          <w:highlight w:val="none"/>
        </w:rPr>
      </w:pPr>
    </w:p>
    <w:p>
      <w:pPr>
        <w:jc w:val="center"/>
        <w:rPr>
          <w:highlight w:val="none"/>
        </w:rPr>
      </w:pPr>
    </w:p>
    <w:p>
      <w:pPr>
        <w:jc w:val="center"/>
        <w:rPr>
          <w:highlight w:val="none"/>
        </w:rPr>
      </w:pPr>
    </w:p>
    <w:p>
      <w:pPr>
        <w:jc w:val="center"/>
        <w:rPr>
          <w:highlight w:val="none"/>
        </w:rPr>
      </w:pPr>
    </w:p>
    <w:p>
      <w:pPr>
        <w:jc w:val="both"/>
        <w:rPr>
          <w:highlight w:val="none"/>
        </w:rPr>
      </w:pPr>
    </w:p>
    <w:p>
      <w:pPr>
        <w:jc w:val="center"/>
        <w:rPr>
          <w:highlight w:val="none"/>
        </w:rPr>
      </w:pPr>
    </w:p>
    <w:p>
      <w:pPr>
        <w:jc w:val="center"/>
        <w:rPr>
          <w:highlight w:val="none"/>
        </w:rPr>
      </w:pPr>
    </w:p>
    <w:p>
      <w:pPr>
        <w:pStyle w:val="2"/>
        <w:jc w:val="center"/>
        <w:rPr>
          <w:rFonts w:ascii="黑体" w:hAnsi="黑体" w:eastAsia="黑体"/>
          <w:highlight w:val="none"/>
        </w:rPr>
      </w:pPr>
      <w:r>
        <w:rPr>
          <w:rFonts w:hint="eastAsia" w:ascii="黑体" w:hAnsi="黑体" w:eastAsia="黑体"/>
          <w:highlight w:val="none"/>
        </w:rPr>
        <w:t>临床试验协议</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both"/>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5"/>
        <w:jc w:val="left"/>
        <w:rPr>
          <w:highlight w:val="none"/>
          <w:u w:val="single"/>
        </w:rPr>
      </w:pPr>
      <w:r>
        <w:rPr>
          <w:rFonts w:hint="eastAsia"/>
          <w:highlight w:val="none"/>
        </w:rPr>
        <w:t>试验名称：</w:t>
      </w:r>
      <w:r>
        <w:rPr>
          <w:rFonts w:hint="eastAsia"/>
          <w:highlight w:val="none"/>
          <w:u w:val="single"/>
        </w:rPr>
        <w:t xml:space="preserve">                                          </w:t>
      </w:r>
    </w:p>
    <w:p>
      <w:pPr>
        <w:jc w:val="left"/>
        <w:rPr>
          <w:highlight w:val="none"/>
          <w:u w:val="singl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pStyle w:val="5"/>
        <w:jc w:val="left"/>
        <w:rPr>
          <w:rFonts w:hint="eastAsia" w:eastAsiaTheme="minorEastAsia"/>
          <w:highlight w:val="none"/>
          <w:lang w:eastAsia="zh-CN"/>
        </w:rPr>
      </w:pPr>
      <w:r>
        <w:rPr>
          <w:rFonts w:hint="eastAsia"/>
          <w:highlight w:val="none"/>
        </w:rPr>
        <w:t>甲</w:t>
      </w:r>
      <w:r>
        <w:rPr>
          <w:rFonts w:hint="eastAsia"/>
          <w:highlight w:val="none"/>
          <w:lang w:eastAsia="zh-CN"/>
        </w:rPr>
        <w:t xml:space="preserve">   </w:t>
      </w:r>
      <w:r>
        <w:rPr>
          <w:rFonts w:hint="eastAsia"/>
          <w:highlight w:val="none"/>
        </w:rPr>
        <w:t>方：</w:t>
      </w:r>
      <w:r>
        <w:rPr>
          <w:rFonts w:hint="eastAsia"/>
          <w:b w:val="0"/>
          <w:highlight w:val="none"/>
          <w:u w:val="single"/>
        </w:rPr>
        <w:t xml:space="preserve">                                    </w:t>
      </w:r>
      <w:r>
        <w:rPr>
          <w:b w:val="0"/>
          <w:highlight w:val="none"/>
          <w:u w:val="single"/>
        </w:rPr>
        <w:t xml:space="preserve">    </w:t>
      </w:r>
      <w:r>
        <w:rPr>
          <w:rFonts w:hint="eastAsia"/>
          <w:b w:val="0"/>
          <w:highlight w:val="none"/>
          <w:u w:val="single"/>
        </w:rPr>
        <w:t xml:space="preserve">    </w:t>
      </w:r>
    </w:p>
    <w:p>
      <w:pPr>
        <w:pStyle w:val="5"/>
        <w:jc w:val="left"/>
        <w:rPr>
          <w:highlight w:val="none"/>
        </w:rPr>
      </w:pPr>
      <w:r>
        <w:rPr>
          <w:rFonts w:hint="eastAsia"/>
          <w:highlight w:val="none"/>
        </w:rPr>
        <w:t>乙</w:t>
      </w:r>
      <w:r>
        <w:rPr>
          <w:rFonts w:hint="eastAsia"/>
          <w:highlight w:val="none"/>
          <w:lang w:eastAsia="zh-CN"/>
        </w:rPr>
        <w:t xml:space="preserve">   </w:t>
      </w:r>
      <w:r>
        <w:rPr>
          <w:rFonts w:hint="eastAsia"/>
          <w:highlight w:val="none"/>
        </w:rPr>
        <w:t>方：</w:t>
      </w:r>
      <w:r>
        <w:rPr>
          <w:rFonts w:hint="eastAsia"/>
          <w:b w:val="0"/>
          <w:highlight w:val="none"/>
          <w:u w:val="single"/>
        </w:rPr>
        <w:t xml:space="preserve"> </w:t>
      </w:r>
      <w:r>
        <w:rPr>
          <w:b w:val="0"/>
          <w:highlight w:val="none"/>
          <w:u w:val="single"/>
        </w:rPr>
        <w:t xml:space="preserve">      </w:t>
      </w:r>
      <w:r>
        <w:rPr>
          <w:rFonts w:hint="eastAsia"/>
          <w:b w:val="0"/>
          <w:highlight w:val="none"/>
          <w:u w:val="single"/>
        </w:rPr>
        <w:t xml:space="preserve">   </w:t>
      </w:r>
      <w:r>
        <w:rPr>
          <w:rFonts w:hint="eastAsia"/>
          <w:b w:val="0"/>
          <w:color w:val="auto"/>
          <w:highlight w:val="none"/>
          <w:u w:val="single"/>
          <w:lang w:eastAsia="zh-CN"/>
        </w:rPr>
        <w:t>安徽省肿瘤医院</w:t>
      </w:r>
      <w:r>
        <w:rPr>
          <w:rFonts w:hint="eastAsia"/>
          <w:b w:val="0"/>
          <w:color w:val="000000"/>
          <w:highlight w:val="none"/>
          <w:u w:val="single"/>
          <w:lang w:val="en-US" w:eastAsia="zh-CN"/>
        </w:rPr>
        <w:t xml:space="preserve"> </w:t>
      </w:r>
      <w:r>
        <w:rPr>
          <w:rFonts w:hint="eastAsia"/>
          <w:b w:val="0"/>
          <w:highlight w:val="none"/>
          <w:u w:val="single"/>
          <w:lang w:val="en-US" w:eastAsia="zh-CN"/>
        </w:rPr>
        <w:t xml:space="preserve">        </w:t>
      </w:r>
      <w:r>
        <w:rPr>
          <w:rFonts w:hint="eastAsia"/>
          <w:b w:val="0"/>
          <w:highlight w:val="none"/>
          <w:u w:val="single"/>
        </w:rPr>
        <w:t xml:space="preserve">    </w:t>
      </w:r>
      <w:r>
        <w:rPr>
          <w:b w:val="0"/>
          <w:highlight w:val="none"/>
          <w:u w:val="single"/>
        </w:rPr>
        <w:t xml:space="preserve">   </w:t>
      </w:r>
      <w:r>
        <w:rPr>
          <w:rFonts w:hint="eastAsia"/>
          <w:b w:val="0"/>
          <w:highlight w:val="none"/>
          <w:u w:val="single"/>
        </w:rPr>
        <w:t xml:space="preserve">   </w:t>
      </w:r>
    </w:p>
    <w:p>
      <w:pPr>
        <w:jc w:val="center"/>
        <w:rPr>
          <w:highlight w:val="none"/>
        </w:rPr>
      </w:pPr>
    </w:p>
    <w:p>
      <w:pPr>
        <w:jc w:val="center"/>
        <w:rPr>
          <w:rFonts w:hint="eastAsia"/>
          <w:highlight w:val="none"/>
        </w:rPr>
      </w:pPr>
      <w:r>
        <w:rPr>
          <w:rFonts w:hint="eastAsia"/>
          <w:highlight w:val="none"/>
        </w:rPr>
        <w:t>.</w:t>
      </w:r>
    </w:p>
    <w:p>
      <w:pPr>
        <w:jc w:val="center"/>
        <w:rPr>
          <w:highlight w:val="none"/>
        </w:rPr>
      </w:pPr>
    </w:p>
    <w:p>
      <w:pPr>
        <w:jc w:val="both"/>
        <w:rPr>
          <w:highlight w:val="none"/>
        </w:rPr>
      </w:pPr>
    </w:p>
    <w:p>
      <w:pPr>
        <w:spacing w:line="360" w:lineRule="auto"/>
        <w:jc w:val="left"/>
        <w:rPr>
          <w:rFonts w:hint="eastAsia" w:ascii="宋体" w:hAnsi="宋体"/>
          <w:b/>
          <w:sz w:val="32"/>
          <w:szCs w:val="32"/>
          <w:highlight w:val="none"/>
        </w:rPr>
        <w:sectPr>
          <w:headerReference r:id="rId3" w:type="default"/>
          <w:pgSz w:w="11906" w:h="16838"/>
          <w:pgMar w:top="1440" w:right="1800" w:bottom="1440" w:left="1800" w:header="851" w:footer="992" w:gutter="0"/>
          <w:cols w:space="720" w:num="1"/>
          <w:docGrid w:type="lines" w:linePitch="312" w:charSpace="0"/>
        </w:sectPr>
      </w:pPr>
    </w:p>
    <w:p>
      <w:pPr>
        <w:spacing w:line="360" w:lineRule="auto"/>
        <w:jc w:val="left"/>
        <w:rPr>
          <w:rFonts w:ascii="宋体" w:hAnsi="宋体"/>
          <w:b/>
          <w:sz w:val="32"/>
          <w:szCs w:val="32"/>
          <w:highlight w:val="none"/>
        </w:rPr>
      </w:pPr>
      <w:r>
        <w:rPr>
          <w:rFonts w:hint="eastAsia" w:ascii="宋体" w:hAnsi="宋体"/>
          <w:b/>
          <w:sz w:val="32"/>
          <w:szCs w:val="32"/>
          <w:highlight w:val="none"/>
        </w:rPr>
        <w:t>总则</w:t>
      </w:r>
    </w:p>
    <w:p>
      <w:pPr>
        <w:spacing w:line="360" w:lineRule="auto"/>
        <w:ind w:left="420" w:leftChars="200" w:firstLine="315" w:firstLineChars="150"/>
        <w:jc w:val="left"/>
        <w:rPr>
          <w:highlight w:val="none"/>
          <w:u w:val="single"/>
        </w:rPr>
      </w:pPr>
      <w:r>
        <w:rPr>
          <w:rFonts w:hint="eastAsia"/>
          <w:highlight w:val="none"/>
          <w:u w:val="single"/>
        </w:rPr>
        <w:t xml:space="preserve">                               </w:t>
      </w:r>
      <w:r>
        <w:rPr>
          <w:rFonts w:hint="eastAsia"/>
          <w:highlight w:val="none"/>
        </w:rPr>
        <w:t>（以下简称“甲方”）</w:t>
      </w:r>
      <w:r>
        <w:rPr>
          <w:rFonts w:hint="eastAsia"/>
          <w:highlight w:val="none"/>
          <w:lang w:eastAsia="zh-CN"/>
        </w:rPr>
        <w:t>，单位地址</w:t>
      </w:r>
      <w:r>
        <w:rPr>
          <w:rFonts w:hint="eastAsia"/>
          <w:highlight w:val="none"/>
          <w:u w:val="single"/>
          <w:lang w:val="en-US" w:eastAsia="zh-CN"/>
        </w:rPr>
        <w:t xml:space="preserve">              </w:t>
      </w:r>
      <w:r>
        <w:rPr>
          <w:rFonts w:hint="eastAsia"/>
          <w:highlight w:val="none"/>
        </w:rPr>
        <w:t>将在中国开展</w:t>
      </w:r>
      <w:r>
        <w:rPr>
          <w:rFonts w:hint="eastAsia"/>
          <w:highlight w:val="none"/>
          <w:u w:val="single"/>
        </w:rPr>
        <w:t xml:space="preserve">                                               </w:t>
      </w:r>
      <w:r>
        <w:rPr>
          <w:rFonts w:hint="eastAsia"/>
          <w:highlight w:val="none"/>
          <w:u w:val="single"/>
          <w:lang w:eastAsia="zh-CN"/>
        </w:rPr>
        <w:t>（试验方案编号：）</w:t>
      </w:r>
      <w:r>
        <w:rPr>
          <w:rFonts w:hint="eastAsia"/>
          <w:highlight w:val="none"/>
          <w:u w:val="single"/>
        </w:rPr>
        <w:t xml:space="preserve">     </w:t>
      </w:r>
      <w:r>
        <w:rPr>
          <w:rFonts w:hint="eastAsia"/>
          <w:highlight w:val="none"/>
        </w:rPr>
        <w:t>（以下简称“本试验”）试验。经与</w:t>
      </w:r>
      <w:r>
        <w:rPr>
          <w:rFonts w:hint="eastAsia"/>
          <w:highlight w:val="none"/>
          <w:lang w:eastAsia="zh-CN"/>
        </w:rPr>
        <w:t>安徽省肿瘤医院</w:t>
      </w:r>
      <w:r>
        <w:rPr>
          <w:rFonts w:hint="eastAsia"/>
          <w:highlight w:val="none"/>
        </w:rPr>
        <w:t>（以下简称“乙方”）</w:t>
      </w:r>
      <w:r>
        <w:rPr>
          <w:rFonts w:hint="eastAsia"/>
          <w:highlight w:val="none"/>
          <w:lang w:eastAsia="zh-CN"/>
        </w:rPr>
        <w:t>，单位地址</w:t>
      </w:r>
      <w:r>
        <w:rPr>
          <w:rFonts w:hint="eastAsia"/>
          <w:highlight w:val="none"/>
          <w:u w:val="single"/>
          <w:lang w:val="en-US" w:eastAsia="zh-CN"/>
        </w:rPr>
        <w:t xml:space="preserve">                 </w:t>
      </w:r>
      <w:r>
        <w:rPr>
          <w:rFonts w:hint="eastAsia"/>
          <w:highlight w:val="none"/>
        </w:rPr>
        <w:t>协商，双方同意在遵循中国《药物临床试验质量管理规范（GCP）》、《药品注册管理办法》以及《中国人民共和国合同法》等有关法律法规的前提下，就本试验相关事宜达成以下协议。</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第一条 委托事项</w:t>
      </w:r>
    </w:p>
    <w:p>
      <w:pPr>
        <w:pStyle w:val="8"/>
        <w:numPr>
          <w:ilvl w:val="0"/>
          <w:numId w:val="1"/>
        </w:numPr>
        <w:spacing w:line="360" w:lineRule="auto"/>
        <w:ind w:firstLineChars="0"/>
        <w:jc w:val="left"/>
        <w:rPr>
          <w:highlight w:val="none"/>
        </w:rPr>
      </w:pPr>
      <w:r>
        <w:rPr>
          <w:rFonts w:hint="eastAsia"/>
          <w:highlight w:val="none"/>
        </w:rPr>
        <w:t>甲方委托乙方对甲方研制的</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（注册分类：</w:t>
      </w:r>
      <w:r>
        <w:rPr>
          <w:rFonts w:hint="eastAsia"/>
          <w:highlight w:val="none"/>
          <w:u w:val="single"/>
        </w:rPr>
        <w:t xml:space="preserve"> </w:t>
      </w:r>
      <w:r>
        <w:rPr>
          <w:highlight w:val="none"/>
          <w:u w:val="single"/>
        </w:rPr>
        <w:t xml:space="preserve">     </w:t>
      </w:r>
      <w:r>
        <w:rPr>
          <w:rFonts w:hint="eastAsia"/>
          <w:highlight w:val="none"/>
          <w:u w:val="single"/>
        </w:rPr>
        <w:t xml:space="preserve">  </w:t>
      </w:r>
      <w:r>
        <w:rPr>
          <w:highlight w:val="none"/>
        </w:rPr>
        <w:t>）</w:t>
      </w:r>
      <w:r>
        <w:rPr>
          <w:rFonts w:hint="eastAsia"/>
          <w:highlight w:val="none"/>
        </w:rPr>
        <w:t>进行</w:t>
      </w:r>
      <w:r>
        <w:rPr>
          <w:highlight w:val="none"/>
          <w:u w:val="single"/>
        </w:rPr>
        <w:t xml:space="preserve">   </w:t>
      </w:r>
      <w:r>
        <w:rPr>
          <w:highlight w:val="none"/>
        </w:rPr>
        <w:t xml:space="preserve">    </w:t>
      </w:r>
      <w:r>
        <w:rPr>
          <w:rFonts w:hint="eastAsia"/>
          <w:highlight w:val="none"/>
        </w:rPr>
        <w:t>期临床研究，</w:t>
      </w:r>
      <w:r>
        <w:rPr>
          <w:highlight w:val="none"/>
        </w:rPr>
        <w:t>以</w:t>
      </w:r>
      <w:r>
        <w:rPr>
          <w:rFonts w:hint="eastAsia"/>
          <w:highlight w:val="none"/>
        </w:rPr>
        <w:t>评价</w:t>
      </w:r>
      <w:r>
        <w:rPr>
          <w:rFonts w:hint="eastAsia"/>
          <w:highlight w:val="none"/>
          <w:u w:val="single"/>
        </w:rPr>
        <w:t xml:space="preserve">   </w:t>
      </w:r>
      <w:r>
        <w:rPr>
          <w:highlight w:val="none"/>
          <w:u w:val="single"/>
        </w:rPr>
        <w:t xml:space="preserve">                                                      </w:t>
      </w:r>
      <w:r>
        <w:rPr>
          <w:rFonts w:hint="eastAsia"/>
          <w:highlight w:val="none"/>
        </w:rPr>
        <w:t>。</w:t>
      </w:r>
    </w:p>
    <w:p>
      <w:pPr>
        <w:pStyle w:val="8"/>
        <w:numPr>
          <w:ilvl w:val="0"/>
          <w:numId w:val="1"/>
        </w:numPr>
        <w:spacing w:line="360" w:lineRule="auto"/>
        <w:ind w:firstLineChars="0"/>
        <w:jc w:val="left"/>
        <w:rPr>
          <w:highlight w:val="none"/>
        </w:rPr>
      </w:pPr>
      <w:r>
        <w:rPr>
          <w:rFonts w:hint="eastAsia"/>
          <w:highlight w:val="none"/>
        </w:rPr>
        <w:t>预计试验开始时间和试验完成时间：</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w:t>
      </w:r>
    </w:p>
    <w:p>
      <w:pPr>
        <w:spacing w:line="360" w:lineRule="auto"/>
        <w:ind w:firstLine="420"/>
        <w:jc w:val="left"/>
        <w:rPr>
          <w:highlight w:val="none"/>
        </w:rPr>
      </w:pPr>
      <w:r>
        <w:rPr>
          <w:rFonts w:hint="eastAsia"/>
          <w:highlight w:val="none"/>
        </w:rPr>
        <w:t>计划入组时间：</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w:t>
      </w:r>
    </w:p>
    <w:p>
      <w:pPr>
        <w:spacing w:line="360" w:lineRule="auto"/>
        <w:ind w:left="210" w:leftChars="100" w:firstLine="210" w:firstLineChars="100"/>
        <w:jc w:val="left"/>
        <w:rPr>
          <w:highlight w:val="none"/>
        </w:rPr>
      </w:pPr>
      <w:r>
        <w:rPr>
          <w:rFonts w:hint="eastAsia"/>
          <w:highlight w:val="none"/>
        </w:rPr>
        <w:t>计划完成病例数：</w:t>
      </w:r>
      <w:r>
        <w:rPr>
          <w:rFonts w:hint="eastAsia"/>
          <w:highlight w:val="none"/>
          <w:u w:val="single"/>
        </w:rPr>
        <w:t xml:space="preserve">          </w:t>
      </w:r>
      <w:r>
        <w:rPr>
          <w:rFonts w:hint="eastAsia"/>
          <w:highlight w:val="none"/>
        </w:rPr>
        <w:t>例。本</w:t>
      </w:r>
      <w:r>
        <w:rPr>
          <w:rFonts w:hint="eastAsia"/>
          <w:highlight w:val="none"/>
          <w:lang w:eastAsia="zh-CN"/>
        </w:rPr>
        <w:t>临床试验</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（是/否）采用竞争性入组政策。所谓“竞争性入组”为入组快的研究中心可以多入受试者，最终以实际完成的病例数计算。</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第二条 甲方的责任与义务</w:t>
      </w:r>
    </w:p>
    <w:p>
      <w:pPr>
        <w:pStyle w:val="8"/>
        <w:numPr>
          <w:ilvl w:val="0"/>
          <w:numId w:val="2"/>
        </w:numPr>
        <w:spacing w:line="360" w:lineRule="auto"/>
        <w:ind w:firstLineChars="0"/>
        <w:jc w:val="left"/>
        <w:rPr>
          <w:highlight w:val="none"/>
        </w:rPr>
      </w:pPr>
      <w:r>
        <w:rPr>
          <w:rFonts w:hint="eastAsia"/>
          <w:highlight w:val="none"/>
        </w:rPr>
        <w:t>负责组织和协调本</w:t>
      </w:r>
      <w:r>
        <w:rPr>
          <w:rFonts w:hint="eastAsia"/>
          <w:highlight w:val="none"/>
          <w:lang w:eastAsia="zh-CN"/>
        </w:rPr>
        <w:t>临床试验</w:t>
      </w:r>
      <w:r>
        <w:rPr>
          <w:rFonts w:hint="eastAsia"/>
          <w:highlight w:val="none"/>
        </w:rPr>
        <w:t>，包括组织参加相关的研究者会议（详见本协议书第十条）；</w:t>
      </w:r>
    </w:p>
    <w:p>
      <w:pPr>
        <w:pStyle w:val="8"/>
        <w:numPr>
          <w:ilvl w:val="0"/>
          <w:numId w:val="2"/>
        </w:numPr>
        <w:spacing w:line="360" w:lineRule="auto"/>
        <w:ind w:firstLineChars="0"/>
        <w:jc w:val="left"/>
        <w:rPr>
          <w:highlight w:val="none"/>
        </w:rPr>
      </w:pPr>
      <w:r>
        <w:rPr>
          <w:rFonts w:hint="eastAsia"/>
          <w:highlight w:val="none"/>
        </w:rPr>
        <w:t>向乙方提供本</w:t>
      </w:r>
      <w:r>
        <w:rPr>
          <w:rFonts w:hint="eastAsia"/>
          <w:highlight w:val="none"/>
          <w:lang w:eastAsia="zh-CN"/>
        </w:rPr>
        <w:t>临床试验</w:t>
      </w:r>
      <w:r>
        <w:rPr>
          <w:rFonts w:hint="eastAsia"/>
          <w:highlight w:val="none"/>
        </w:rPr>
        <w:t>所需的质量合格的</w:t>
      </w:r>
      <w:r>
        <w:rPr>
          <w:rFonts w:hint="eastAsia"/>
          <w:highlight w:val="none"/>
          <w:lang w:eastAsia="zh-CN"/>
        </w:rPr>
        <w:t>临床试验</w:t>
      </w:r>
      <w:r>
        <w:rPr>
          <w:rFonts w:hint="eastAsia"/>
          <w:highlight w:val="none"/>
        </w:rPr>
        <w:t>药、对照药及临床试验所需物资；</w:t>
      </w:r>
    </w:p>
    <w:p>
      <w:pPr>
        <w:pStyle w:val="8"/>
        <w:numPr>
          <w:ilvl w:val="0"/>
          <w:numId w:val="1"/>
        </w:numPr>
        <w:spacing w:line="360" w:lineRule="auto"/>
        <w:ind w:firstLineChars="0"/>
        <w:jc w:val="left"/>
        <w:rPr>
          <w:highlight w:val="none"/>
        </w:rPr>
      </w:pPr>
      <w:r>
        <w:rPr>
          <w:rFonts w:hint="eastAsia"/>
          <w:highlight w:val="none"/>
        </w:rPr>
        <w:t>向乙方提供临床研究费用（详见本协议书第七条）；</w:t>
      </w:r>
    </w:p>
    <w:p>
      <w:pPr>
        <w:pStyle w:val="8"/>
        <w:numPr>
          <w:ilvl w:val="0"/>
          <w:numId w:val="1"/>
        </w:numPr>
        <w:spacing w:line="360" w:lineRule="auto"/>
        <w:ind w:firstLineChars="0"/>
        <w:jc w:val="left"/>
        <w:rPr>
          <w:highlight w:val="none"/>
        </w:rPr>
      </w:pPr>
      <w:r>
        <w:rPr>
          <w:rFonts w:hint="eastAsia"/>
          <w:highlight w:val="none"/>
        </w:rPr>
        <w:t>甲方委托</w:t>
      </w:r>
      <w:r>
        <w:rPr>
          <w:rFonts w:hint="eastAsia"/>
          <w:highlight w:val="none"/>
          <w:u w:val="single"/>
        </w:rPr>
        <w:t xml:space="preserve">                                                  </w:t>
      </w:r>
      <w:r>
        <w:rPr>
          <w:rFonts w:hint="eastAsia"/>
          <w:highlight w:val="none"/>
        </w:rPr>
        <w:t>（Contract Research Organization 简称“CRO”）负责监查整个临床试验过程，确保临床试验严格按照试验方案进行，并严格遵守GCP以及相关法规要求；</w:t>
      </w:r>
    </w:p>
    <w:p>
      <w:pPr>
        <w:pStyle w:val="8"/>
        <w:numPr>
          <w:ilvl w:val="0"/>
          <w:numId w:val="1"/>
        </w:numPr>
        <w:spacing w:line="360" w:lineRule="auto"/>
        <w:ind w:firstLineChars="0"/>
        <w:jc w:val="left"/>
        <w:rPr>
          <w:highlight w:val="none"/>
        </w:rPr>
      </w:pPr>
      <w:r>
        <w:rPr>
          <w:rFonts w:hint="eastAsia"/>
          <w:highlight w:val="none"/>
        </w:rPr>
        <w:t>建立对临床试验的质量控制和质量保证系统，并组织对临床试验的稽查；</w:t>
      </w:r>
    </w:p>
    <w:p>
      <w:pPr>
        <w:pStyle w:val="8"/>
        <w:numPr>
          <w:ilvl w:val="0"/>
          <w:numId w:val="1"/>
        </w:numPr>
        <w:spacing w:line="360" w:lineRule="auto"/>
        <w:ind w:firstLineChars="0"/>
        <w:jc w:val="left"/>
        <w:rPr>
          <w:highlight w:val="none"/>
        </w:rPr>
      </w:pPr>
      <w:r>
        <w:rPr>
          <w:rFonts w:hint="eastAsia"/>
          <w:highlight w:val="none"/>
        </w:rPr>
        <w:t>向乙方提供临床试验方案、病例报告表、研究者手册、知情同意书和其他与试验药物相关的安全性信息；</w:t>
      </w:r>
    </w:p>
    <w:p>
      <w:pPr>
        <w:pStyle w:val="8"/>
        <w:numPr>
          <w:ilvl w:val="0"/>
          <w:numId w:val="1"/>
        </w:numPr>
        <w:spacing w:line="360" w:lineRule="auto"/>
        <w:ind w:firstLineChars="0"/>
        <w:jc w:val="left"/>
        <w:rPr>
          <w:highlight w:val="none"/>
        </w:rPr>
      </w:pPr>
      <w:r>
        <w:rPr>
          <w:rFonts w:hint="eastAsia"/>
          <w:highlight w:val="none"/>
        </w:rPr>
        <w:t>向乙方提供</w:t>
      </w:r>
      <w:r>
        <w:rPr>
          <w:rFonts w:hint="eastAsia"/>
          <w:highlight w:val="none"/>
          <w:u w:val="single"/>
        </w:rPr>
        <w:t xml:space="preserve">                                 </w:t>
      </w:r>
      <w:r>
        <w:rPr>
          <w:rFonts w:hint="eastAsia"/>
          <w:highlight w:val="none"/>
        </w:rPr>
        <w:t>等本试验专用的试验设备、器材及必需的文具用品，试验后回收；</w:t>
      </w:r>
    </w:p>
    <w:p>
      <w:pPr>
        <w:pStyle w:val="8"/>
        <w:numPr>
          <w:ilvl w:val="0"/>
          <w:numId w:val="1"/>
        </w:numPr>
        <w:spacing w:line="360" w:lineRule="auto"/>
        <w:ind w:firstLineChars="0"/>
        <w:jc w:val="left"/>
        <w:rPr>
          <w:highlight w:val="none"/>
        </w:rPr>
      </w:pPr>
      <w:r>
        <w:rPr>
          <w:rFonts w:hint="eastAsia"/>
          <w:highlight w:val="none"/>
        </w:rPr>
        <w:t>在获得</w:t>
      </w:r>
      <w:r>
        <w:rPr>
          <w:rFonts w:hint="eastAsia"/>
          <w:highlight w:val="none"/>
          <w:lang w:eastAsia="zh-CN"/>
        </w:rPr>
        <w:t>国家药监局</w:t>
      </w:r>
      <w:r>
        <w:rPr>
          <w:rFonts w:hint="eastAsia"/>
          <w:highlight w:val="none"/>
        </w:rPr>
        <w:t>批件并取得组长单位</w:t>
      </w:r>
      <w:r>
        <w:rPr>
          <w:rFonts w:hint="eastAsia"/>
          <w:highlight w:val="none"/>
          <w:u w:val="single"/>
        </w:rPr>
        <w:t xml:space="preserve">                              </w:t>
      </w:r>
      <w:r>
        <w:rPr>
          <w:rFonts w:hint="eastAsia"/>
          <w:highlight w:val="none"/>
        </w:rPr>
        <w:t>伦理委员会批准，并在获得本研究中心伦理委员会许可后方可按试验方案组织开展本试验；</w:t>
      </w:r>
    </w:p>
    <w:p>
      <w:pPr>
        <w:pStyle w:val="8"/>
        <w:numPr>
          <w:ilvl w:val="0"/>
          <w:numId w:val="1"/>
        </w:numPr>
        <w:spacing w:line="360" w:lineRule="auto"/>
        <w:ind w:firstLineChars="0"/>
        <w:jc w:val="left"/>
        <w:rPr>
          <w:highlight w:val="none"/>
        </w:rPr>
      </w:pPr>
      <w:r>
        <w:rPr>
          <w:rFonts w:hint="eastAsia"/>
          <w:highlight w:val="none"/>
        </w:rPr>
        <w:t>应与乙方共同研究所发生的不良事件和严重不良事件，采取必要的措施以保证受试者的安全，并按规定及时向伦理委员会、食品药品监督管理部门和卫生行政部门报告，同时向涉及同一药物的临床试验的其他研究者报告；</w:t>
      </w:r>
    </w:p>
    <w:p>
      <w:pPr>
        <w:pStyle w:val="8"/>
        <w:spacing w:line="360" w:lineRule="auto"/>
        <w:ind w:firstLine="0" w:firstLineChars="0"/>
        <w:jc w:val="left"/>
        <w:rPr>
          <w:highlight w:val="none"/>
        </w:rPr>
      </w:pPr>
      <w:r>
        <w:rPr>
          <w:rFonts w:hint="eastAsia"/>
          <w:highlight w:val="none"/>
        </w:rPr>
        <w:t>10．甲方终止本试验前需通知乙方、组长单位</w:t>
      </w:r>
      <w:r>
        <w:rPr>
          <w:rFonts w:hint="eastAsia"/>
          <w:highlight w:val="none"/>
          <w:u w:val="single"/>
        </w:rPr>
        <w:t xml:space="preserve">                            </w:t>
      </w:r>
      <w:r>
        <w:rPr>
          <w:rFonts w:hint="eastAsia"/>
          <w:highlight w:val="none"/>
        </w:rPr>
        <w:t>伦理委员会和</w:t>
      </w:r>
    </w:p>
    <w:p>
      <w:pPr>
        <w:pStyle w:val="8"/>
        <w:spacing w:line="360" w:lineRule="auto"/>
        <w:jc w:val="left"/>
        <w:rPr>
          <w:highlight w:val="none"/>
        </w:rPr>
      </w:pPr>
      <w:r>
        <w:rPr>
          <w:highlight w:val="none"/>
        </w:rPr>
        <w:t>C</w:t>
      </w:r>
      <w:r>
        <w:rPr>
          <w:rFonts w:hint="eastAsia"/>
          <w:highlight w:val="none"/>
        </w:rPr>
        <w:t>FDA，并述明理由。</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第三条 乙方的责任与义务</w:t>
      </w:r>
    </w:p>
    <w:p>
      <w:pPr>
        <w:pStyle w:val="8"/>
        <w:numPr>
          <w:ilvl w:val="0"/>
          <w:numId w:val="3"/>
        </w:numPr>
        <w:spacing w:line="360" w:lineRule="auto"/>
        <w:ind w:firstLineChars="0"/>
        <w:jc w:val="left"/>
        <w:rPr>
          <w:highlight w:val="none"/>
        </w:rPr>
      </w:pPr>
      <w:r>
        <w:rPr>
          <w:rFonts w:hint="eastAsia"/>
          <w:highlight w:val="none"/>
        </w:rPr>
        <w:t>严格遵守国家“药物临床试验质量管理规范（GCP）”进行本试验；</w:t>
      </w:r>
    </w:p>
    <w:p>
      <w:pPr>
        <w:pStyle w:val="8"/>
        <w:numPr>
          <w:ilvl w:val="0"/>
          <w:numId w:val="3"/>
        </w:numPr>
        <w:spacing w:line="360" w:lineRule="auto"/>
        <w:ind w:firstLineChars="0"/>
        <w:jc w:val="left"/>
        <w:rPr>
          <w:highlight w:val="none"/>
        </w:rPr>
      </w:pPr>
      <w:r>
        <w:rPr>
          <w:rFonts w:hint="eastAsia"/>
          <w:highlight w:val="none"/>
        </w:rPr>
        <w:t>严格遵守试验方案、有关医疗和伦理法规和准则，以及甲方按照标准操作规范所提出的要求进行本试验，并确保在规定的时限内完成临床试验任务；</w:t>
      </w:r>
    </w:p>
    <w:p>
      <w:pPr>
        <w:pStyle w:val="8"/>
        <w:numPr>
          <w:ilvl w:val="0"/>
          <w:numId w:val="3"/>
        </w:numPr>
        <w:spacing w:line="360" w:lineRule="auto"/>
        <w:ind w:firstLineChars="0"/>
        <w:jc w:val="left"/>
        <w:rPr>
          <w:highlight w:val="none"/>
        </w:rPr>
      </w:pPr>
      <w:r>
        <w:rPr>
          <w:rFonts w:hint="eastAsia"/>
          <w:highlight w:val="none"/>
        </w:rPr>
        <w:t>保证参加本试验的人员具有相应的专业知识经验或行医资格，接受过临床试验相关的培训，并有充足的时间和精力参加本试验，保证主要研究者全程指导、参与本试验的进行；</w:t>
      </w:r>
    </w:p>
    <w:p>
      <w:pPr>
        <w:pStyle w:val="8"/>
        <w:numPr>
          <w:ilvl w:val="0"/>
          <w:numId w:val="3"/>
        </w:numPr>
        <w:spacing w:line="360" w:lineRule="auto"/>
        <w:ind w:firstLineChars="0"/>
        <w:jc w:val="left"/>
        <w:rPr>
          <w:highlight w:val="none"/>
        </w:rPr>
      </w:pPr>
      <w:r>
        <w:rPr>
          <w:rFonts w:hint="eastAsia"/>
          <w:highlight w:val="none"/>
        </w:rPr>
        <w:t>负责组织、协调、督促本研究中心临床试验的开展工作，应向参加本试验的人员说明研究任务的分配及其职责，并组织其进行本试验相关的培训等，确保有足够数量并符合试验方案的受试者进入该试验；</w:t>
      </w:r>
    </w:p>
    <w:p>
      <w:pPr>
        <w:pStyle w:val="8"/>
        <w:numPr>
          <w:ilvl w:val="0"/>
          <w:numId w:val="3"/>
        </w:numPr>
        <w:spacing w:line="360" w:lineRule="auto"/>
        <w:ind w:firstLineChars="0"/>
        <w:jc w:val="left"/>
        <w:rPr>
          <w:highlight w:val="none"/>
        </w:rPr>
      </w:pPr>
      <w:r>
        <w:rPr>
          <w:rFonts w:hint="eastAsia"/>
          <w:highlight w:val="none"/>
        </w:rPr>
        <w:t>乙方应了解并掌握试验方案的内容，并严格执行；同时也应了解并熟悉试验药物的性质、作用、疗效及安全性，保证临床试验进行期间发现的所有与药物有关的新信息能及时向甲方提供有关的报告；</w:t>
      </w:r>
    </w:p>
    <w:p>
      <w:pPr>
        <w:pStyle w:val="8"/>
        <w:numPr>
          <w:ilvl w:val="0"/>
          <w:numId w:val="3"/>
        </w:numPr>
        <w:spacing w:line="360" w:lineRule="auto"/>
        <w:ind w:firstLineChars="0"/>
        <w:jc w:val="left"/>
        <w:rPr>
          <w:highlight w:val="none"/>
        </w:rPr>
      </w:pPr>
      <w:r>
        <w:rPr>
          <w:rFonts w:hint="eastAsia"/>
          <w:highlight w:val="none"/>
        </w:rPr>
        <w:t>乙方在试验过程中，如发现涉及试验药物的重要新资料，需修改知情同意书的，应立即作书面修改意见报送甲方，并经伦理委员会批准后，再次取得受试者同意；</w:t>
      </w:r>
    </w:p>
    <w:p>
      <w:pPr>
        <w:pStyle w:val="8"/>
        <w:numPr>
          <w:ilvl w:val="0"/>
          <w:numId w:val="3"/>
        </w:numPr>
        <w:spacing w:line="360" w:lineRule="auto"/>
        <w:ind w:firstLineChars="0"/>
        <w:jc w:val="left"/>
        <w:rPr>
          <w:highlight w:val="none"/>
        </w:rPr>
      </w:pPr>
      <w:r>
        <w:rPr>
          <w:rFonts w:hint="eastAsia"/>
          <w:highlight w:val="none"/>
        </w:rPr>
        <w:t>乙方应按照临床试验方案，收集和记录受试者参加本试验所有要求的信息，并真实、准确、完成、及合法的载入病例报告表。在规定的时间内及时回答数据管理发出的疑问表。为达到此目标，病历记录应至少对如下情况作明确描述：受试者是如何参加本试验的，例如，通过记录入选号和/或随机号、研究编号、或其他研究标识；获得知情同意书的日期；疾病（既往和现病史；研究疾病和其他相关疾病）；由于参加试验而停止/暂缓的治疗；给予的治疗，包括试验药物、试验期间治疗的改变以及改变的时间点；试验期间到医院的随访，包括只为研究目的而进行的随访；严重不良事件报告；退出研究的日期和理由；根据法规和医疗实践需要记录的其他信息；</w:t>
      </w:r>
    </w:p>
    <w:p>
      <w:pPr>
        <w:pStyle w:val="8"/>
        <w:numPr>
          <w:ilvl w:val="0"/>
          <w:numId w:val="3"/>
        </w:numPr>
        <w:spacing w:line="360" w:lineRule="auto"/>
        <w:ind w:firstLineChars="0"/>
        <w:jc w:val="left"/>
        <w:rPr>
          <w:highlight w:val="none"/>
        </w:rPr>
      </w:pPr>
      <w:r>
        <w:rPr>
          <w:rFonts w:hint="eastAsia"/>
          <w:highlight w:val="none"/>
        </w:rPr>
        <w:t>乙方应保证受试者在试验期间出现的不良事件能得到及时适当的治疗，以保障受试者的安全，并记录在案；发现不良事件时，乙方应立即对受试者采取适当的治疗措施，并同时报告药品监督管理部门、卫生行政部门、甲方及其委托的CRO公司和伦理委员会，并在报告上签名及注明日期；</w:t>
      </w:r>
    </w:p>
    <w:p>
      <w:pPr>
        <w:pStyle w:val="8"/>
        <w:numPr>
          <w:ilvl w:val="0"/>
          <w:numId w:val="3"/>
        </w:numPr>
        <w:spacing w:line="360" w:lineRule="auto"/>
        <w:ind w:firstLineChars="0"/>
        <w:jc w:val="left"/>
        <w:rPr>
          <w:highlight w:val="none"/>
        </w:rPr>
      </w:pPr>
      <w:r>
        <w:rPr>
          <w:rFonts w:hint="eastAsia"/>
          <w:highlight w:val="none"/>
        </w:rPr>
        <w:t>乙方应确保试验药物只能依据方案用于本试验。试验药物应由主要研究者指定专人保管，并存放于药物标签所要求的贮存条件下，严格按照临床试验方案的要求发放和回收试验药物，并做好相应的记录；</w:t>
      </w:r>
    </w:p>
    <w:p>
      <w:pPr>
        <w:pStyle w:val="8"/>
        <w:numPr>
          <w:ilvl w:val="0"/>
          <w:numId w:val="4"/>
        </w:numPr>
        <w:adjustRightInd w:val="0"/>
        <w:spacing w:line="360" w:lineRule="auto"/>
        <w:ind w:firstLineChars="0"/>
        <w:jc w:val="left"/>
        <w:rPr>
          <w:highlight w:val="none"/>
        </w:rPr>
      </w:pPr>
      <w:r>
        <w:rPr>
          <w:rFonts w:hint="eastAsia"/>
          <w:highlight w:val="none"/>
        </w:rPr>
        <w:t>乙方应接受并积极配合甲方及其委托的CRO公司对临床试验的监查与稽查，以及临床试验监督管理部门的视察，并提出受试者的医疗病历和其他原始资料，以确保临床试验的质量；</w:t>
      </w:r>
    </w:p>
    <w:p>
      <w:pPr>
        <w:pStyle w:val="8"/>
        <w:numPr>
          <w:ilvl w:val="0"/>
          <w:numId w:val="4"/>
        </w:numPr>
        <w:adjustRightInd w:val="0"/>
        <w:spacing w:line="360" w:lineRule="auto"/>
        <w:ind w:left="357" w:hanging="357" w:firstLineChars="0"/>
        <w:jc w:val="left"/>
        <w:rPr>
          <w:highlight w:val="none"/>
        </w:rPr>
      </w:pPr>
      <w:r>
        <w:rPr>
          <w:rFonts w:hint="eastAsia"/>
          <w:highlight w:val="none"/>
        </w:rPr>
        <w:t>临床研究结束后，乙方应积极协助甲方回收剩余药品、病例报告表、查询数据等，负责整理临床资料，向甲方提供合格的书面资料，写出真实准确的总结报告。有义务协助甲方在新药申请过程中，回答药品监督管理部门提出的有关试验过程及相关专业技术上的问题；</w:t>
      </w:r>
    </w:p>
    <w:p>
      <w:pPr>
        <w:pStyle w:val="8"/>
        <w:numPr>
          <w:ilvl w:val="0"/>
          <w:numId w:val="4"/>
        </w:numPr>
        <w:adjustRightInd w:val="0"/>
        <w:spacing w:line="360" w:lineRule="auto"/>
        <w:ind w:left="357" w:hanging="357" w:firstLineChars="0"/>
        <w:contextualSpacing/>
        <w:jc w:val="left"/>
        <w:rPr>
          <w:highlight w:val="none"/>
        </w:rPr>
      </w:pPr>
      <w:r>
        <w:rPr>
          <w:rFonts w:hint="eastAsia"/>
          <w:highlight w:val="none"/>
        </w:rPr>
        <w:t>应积极参加甲方组织的各项研究者会议，提供技术支持协助甲方确定临床试验方案、病例报告表、知情同意书以及向伦理委员会提交的必需资料；</w:t>
      </w:r>
    </w:p>
    <w:p>
      <w:pPr>
        <w:pStyle w:val="8"/>
        <w:numPr>
          <w:ilvl w:val="0"/>
          <w:numId w:val="4"/>
        </w:numPr>
        <w:adjustRightInd w:val="0"/>
        <w:spacing w:line="360" w:lineRule="auto"/>
        <w:ind w:left="357" w:hanging="357" w:firstLineChars="0"/>
        <w:contextualSpacing/>
        <w:jc w:val="left"/>
        <w:rPr>
          <w:highlight w:val="none"/>
        </w:rPr>
      </w:pPr>
      <w:r>
        <w:rPr>
          <w:rFonts w:hint="eastAsia"/>
          <w:highlight w:val="none"/>
        </w:rPr>
        <w:t>除了需借助受试者的治疗药物并帮助制定下一步治疗方案的紧急情况下，不得开启紧急揭盲信封。如果紧急信封被打开，主要研究者或其代表应记录紧急揭盲的过程（紧急揭盲报告），注明日期并签字。同时应在24小时内通知甲方及监查员，并按临床研究方案让受试者退出研究。</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第四条 双方权利</w:t>
      </w:r>
    </w:p>
    <w:p>
      <w:pPr>
        <w:pStyle w:val="8"/>
        <w:numPr>
          <w:ilvl w:val="0"/>
          <w:numId w:val="5"/>
        </w:numPr>
        <w:spacing w:line="360" w:lineRule="auto"/>
        <w:ind w:firstLineChars="0"/>
        <w:jc w:val="left"/>
        <w:rPr>
          <w:highlight w:val="none"/>
        </w:rPr>
      </w:pPr>
      <w:r>
        <w:rPr>
          <w:rFonts w:hint="eastAsia"/>
          <w:highlight w:val="none"/>
        </w:rPr>
        <w:t>甲方应按协议的付款方式和时间及时向乙方提供试验经费，如事先无申明原因，甲方超过规定期限未付款，乙方有权指出并要求纠正，如仍无效，乙方有权中止入选受试者或拒绝提供给甲方试验总结报告书，但乙方应提供截止至中止日的阶段性报告；</w:t>
      </w:r>
    </w:p>
    <w:p>
      <w:pPr>
        <w:pStyle w:val="8"/>
        <w:numPr>
          <w:ilvl w:val="0"/>
          <w:numId w:val="5"/>
        </w:numPr>
        <w:spacing w:line="360" w:lineRule="auto"/>
        <w:ind w:firstLineChars="0"/>
        <w:jc w:val="left"/>
        <w:rPr>
          <w:highlight w:val="none"/>
        </w:rPr>
      </w:pPr>
      <w:r>
        <w:rPr>
          <w:rFonts w:hint="eastAsia"/>
          <w:highlight w:val="none"/>
        </w:rPr>
        <w:t>如发现有违反方案的事件，甲方及其委托的CRO公司有权予以指出并要求纠正，如甲方认为情况严重或乙方坚持不改，甲方有权终止协议，并向药品监督管理部门报告，同时要求乙方承担因此造成的损失；</w:t>
      </w:r>
    </w:p>
    <w:p>
      <w:pPr>
        <w:pStyle w:val="8"/>
        <w:numPr>
          <w:ilvl w:val="0"/>
          <w:numId w:val="5"/>
        </w:numPr>
        <w:spacing w:line="360" w:lineRule="auto"/>
        <w:ind w:firstLineChars="0"/>
        <w:jc w:val="left"/>
        <w:rPr>
          <w:highlight w:val="none"/>
        </w:rPr>
      </w:pPr>
      <w:r>
        <w:rPr>
          <w:rFonts w:hint="eastAsia"/>
          <w:highlight w:val="none"/>
        </w:rPr>
        <w:t>甲方可以在任何时间撤销涉及本试验的整个研究或单个研究中心。撤销原因可以包括外部原因，如新的安全信息被药品行政管理部门和/或伦理委员会否决，或内部原因，如入选迟缓、不依从方案或GCP、商业原因等；</w:t>
      </w:r>
    </w:p>
    <w:p>
      <w:pPr>
        <w:pStyle w:val="8"/>
        <w:numPr>
          <w:ilvl w:val="0"/>
          <w:numId w:val="5"/>
        </w:numPr>
        <w:spacing w:line="360" w:lineRule="auto"/>
        <w:ind w:firstLineChars="0"/>
        <w:jc w:val="left"/>
        <w:rPr>
          <w:highlight w:val="none"/>
        </w:rPr>
      </w:pPr>
      <w:r>
        <w:rPr>
          <w:rFonts w:hint="eastAsia"/>
          <w:highlight w:val="none"/>
        </w:rPr>
        <w:t>甲方有权根据整个临床试验的进展情况，对整个试验进程、病例分配进行调整，乙方应予以配合、协作，做出相应的调整。</w:t>
      </w:r>
    </w:p>
    <w:p>
      <w:pPr>
        <w:pStyle w:val="8"/>
        <w:numPr>
          <w:ilvl w:val="0"/>
          <w:numId w:val="5"/>
        </w:numPr>
        <w:spacing w:line="360" w:lineRule="auto"/>
        <w:ind w:firstLineChars="0"/>
        <w:jc w:val="left"/>
        <w:rPr>
          <w:highlight w:val="none"/>
        </w:rPr>
      </w:pPr>
      <w:r>
        <w:rPr>
          <w:rFonts w:hint="eastAsia"/>
          <w:highlight w:val="none"/>
        </w:rPr>
        <w:t>当主要研究者认为继续进行研究将给受试者带来不可接受的风险或违背已被接受的医疗实践，应提前30日书面通知甲方，双方及时协商终止本试验事宜。</w:t>
      </w:r>
    </w:p>
    <w:p>
      <w:pPr>
        <w:pStyle w:val="8"/>
        <w:spacing w:line="360" w:lineRule="auto"/>
        <w:ind w:left="360" w:firstLine="0" w:firstLineChars="0"/>
        <w:jc w:val="left"/>
        <w:rPr>
          <w:rFonts w:hint="eastAsia"/>
          <w:highlight w:val="none"/>
        </w:rPr>
      </w:pPr>
    </w:p>
    <w:p>
      <w:pPr>
        <w:pStyle w:val="8"/>
        <w:spacing w:line="360" w:lineRule="auto"/>
        <w:ind w:firstLine="0" w:firstLineChars="0"/>
        <w:jc w:val="left"/>
        <w:rPr>
          <w:rFonts w:hint="eastAsia"/>
          <w:b/>
          <w:sz w:val="32"/>
          <w:szCs w:val="32"/>
          <w:highlight w:val="none"/>
        </w:rPr>
      </w:pPr>
      <w:r>
        <w:rPr>
          <w:rFonts w:hint="eastAsia"/>
          <w:b/>
          <w:sz w:val="32"/>
          <w:szCs w:val="32"/>
          <w:highlight w:val="none"/>
        </w:rPr>
        <w:t>第五条 受试者的权益与保护</w:t>
      </w:r>
    </w:p>
    <w:p>
      <w:pPr>
        <w:pStyle w:val="8"/>
        <w:numPr>
          <w:ilvl w:val="0"/>
          <w:numId w:val="6"/>
        </w:numPr>
        <w:spacing w:line="360" w:lineRule="auto"/>
        <w:ind w:left="425" w:leftChars="0" w:hanging="425" w:firstLineChars="0"/>
        <w:jc w:val="left"/>
        <w:rPr>
          <w:rFonts w:hint="eastAsia"/>
          <w:highlight w:val="none"/>
        </w:rPr>
      </w:pPr>
      <w:r>
        <w:rPr>
          <w:rFonts w:hint="eastAsia"/>
          <w:highlight w:val="none"/>
        </w:rPr>
        <w:t>临床试验过程中，研究者</w:t>
      </w:r>
      <w:r>
        <w:rPr>
          <w:highlight w:val="none"/>
        </w:rPr>
        <w:t>需</w:t>
      </w:r>
      <w:r>
        <w:rPr>
          <w:rFonts w:hint="eastAsia"/>
          <w:highlight w:val="none"/>
        </w:rPr>
        <w:t>向受试者说明其参加试验是自愿的，而且有权在试验的任何阶段随时退出试验而不会遭到歧视或报复，其医疗待遇与权益不会受到影响；</w:t>
      </w:r>
    </w:p>
    <w:p>
      <w:pPr>
        <w:pStyle w:val="8"/>
        <w:numPr>
          <w:ilvl w:val="0"/>
          <w:numId w:val="6"/>
        </w:numPr>
        <w:spacing w:line="360" w:lineRule="auto"/>
        <w:ind w:left="425" w:leftChars="0" w:hanging="425" w:firstLineChars="0"/>
        <w:jc w:val="left"/>
        <w:rPr>
          <w:rFonts w:hint="eastAsia"/>
          <w:highlight w:val="none"/>
        </w:rPr>
      </w:pPr>
      <w:r>
        <w:rPr>
          <w:rFonts w:hint="eastAsia"/>
          <w:highlight w:val="none"/>
        </w:rPr>
        <w:t>甲乙双方应保证受试者参加试验及在试验中的个人资料均属保密。必要时，药品监督管理部门、伦理委员会或申办者，按规定可以查阅参加试验的受试者资料；</w:t>
      </w:r>
    </w:p>
    <w:p>
      <w:pPr>
        <w:pStyle w:val="8"/>
        <w:numPr>
          <w:ilvl w:val="0"/>
          <w:numId w:val="6"/>
        </w:numPr>
        <w:spacing w:line="360" w:lineRule="auto"/>
        <w:ind w:left="425" w:leftChars="0" w:hanging="425" w:firstLineChars="0"/>
        <w:jc w:val="left"/>
        <w:rPr>
          <w:rFonts w:hint="eastAsia"/>
          <w:highlight w:val="none"/>
        </w:rPr>
      </w:pPr>
      <w:r>
        <w:rPr>
          <w:rFonts w:hint="eastAsia"/>
          <w:highlight w:val="none"/>
        </w:rPr>
        <w:t>临床试验过程中，研究者应告知受试者试验目的、试验的过程与期限、检查操作、受试者预期可能的受益和风险，告知受试者可能被分配到试验的不同组别；</w:t>
      </w:r>
    </w:p>
    <w:p>
      <w:pPr>
        <w:pStyle w:val="8"/>
        <w:numPr>
          <w:ilvl w:val="0"/>
          <w:numId w:val="6"/>
        </w:numPr>
        <w:spacing w:line="360" w:lineRule="auto"/>
        <w:ind w:left="425" w:leftChars="0" w:hanging="425" w:firstLineChars="0"/>
        <w:jc w:val="left"/>
        <w:rPr>
          <w:rFonts w:hint="eastAsia"/>
          <w:highlight w:val="none"/>
        </w:rPr>
      </w:pPr>
      <w:r>
        <w:rPr>
          <w:rFonts w:hint="eastAsia"/>
          <w:highlight w:val="none"/>
        </w:rPr>
        <w:t>研究者必须给受试者充分的时间以便考虑是否愿意参加试验，对无能力表达同意的受试者，应向其法定代理人提供上述介绍与说明。知情同意过程应采用受试者或法定代理人能理解的语言和文字，试验期间，受试者可随时了解与其有关的信息资料；</w:t>
      </w:r>
    </w:p>
    <w:p>
      <w:pPr>
        <w:pStyle w:val="8"/>
        <w:numPr>
          <w:ilvl w:val="0"/>
          <w:numId w:val="6"/>
        </w:numPr>
        <w:spacing w:line="360" w:lineRule="auto"/>
        <w:ind w:left="425" w:leftChars="0" w:hanging="425" w:firstLineChars="0"/>
        <w:jc w:val="left"/>
        <w:rPr>
          <w:highlight w:val="none"/>
        </w:rPr>
      </w:pPr>
      <w:r>
        <w:rPr>
          <w:rFonts w:hint="eastAsia"/>
          <w:highlight w:val="none"/>
        </w:rPr>
        <w:t>对于受试者在试验期间因服用试验药物导致的直接或间接损伤，乙方有责任给予受试者及时妥善的治疗；如乙方研究者遵从试验方案并以科学程序和目前普遍认可的技术和知识执行了本试验方案，则甲方对发生的与试验相关的损害或死亡的受试者，承担治疗费用及相应的经济补偿或赔偿。</w:t>
      </w:r>
    </w:p>
    <w:p>
      <w:pPr>
        <w:pStyle w:val="8"/>
        <w:numPr>
          <w:ilvl w:val="0"/>
          <w:numId w:val="6"/>
        </w:numPr>
        <w:spacing w:line="360" w:lineRule="auto"/>
        <w:ind w:left="425" w:leftChars="0" w:hanging="425" w:firstLineChars="0"/>
        <w:jc w:val="left"/>
        <w:rPr>
          <w:highlight w:val="none"/>
        </w:rPr>
      </w:pPr>
      <w:r>
        <w:rPr>
          <w:rFonts w:hint="eastAsia"/>
          <w:highlight w:val="none"/>
        </w:rPr>
        <w:t>若有因试验导致对乙方的任何索赔或法律程序，甲方同意赔偿乙方并免除其责任，但需要符合以下全部条件：乙方遵守本试验方案及其修订版并按照普遍接受的医疗和伦理标准操作本试验；乙方接到任何索赔或法律程序，必须立即通知甲方；乙方在未得到甲方书面同意前，不能自行对索赔或法律程序做出承诺；如果索赔或法律程序是由乙方过失、疏忽、遗漏、不遵守试验方案和/或所有相关法律、法规、条例和指导原则导致的，甲方将不提供赔偿。</w:t>
      </w:r>
    </w:p>
    <w:p>
      <w:pPr>
        <w:pStyle w:val="8"/>
        <w:numPr>
          <w:ilvl w:val="0"/>
          <w:numId w:val="6"/>
        </w:numPr>
        <w:spacing w:line="360" w:lineRule="auto"/>
        <w:ind w:left="425" w:leftChars="0" w:hanging="425" w:firstLineChars="0"/>
        <w:jc w:val="left"/>
        <w:rPr>
          <w:highlight w:val="none"/>
        </w:rPr>
      </w:pPr>
      <w:r>
        <w:rPr>
          <w:rFonts w:hint="eastAsia"/>
          <w:highlight w:val="none"/>
          <w:lang w:eastAsia="zh-CN"/>
        </w:rPr>
        <w:t>按照药品生产企业惯例，甲方应尽全力在本临床试验进行期间建立和维持一项责任保险制度，足够且广泛地涵盖本临床试验用药品的责任。</w:t>
      </w:r>
    </w:p>
    <w:p>
      <w:pPr>
        <w:pStyle w:val="8"/>
        <w:spacing w:line="360" w:lineRule="auto"/>
        <w:ind w:left="360" w:firstLine="0" w:firstLineChars="0"/>
        <w:jc w:val="left"/>
        <w:rPr>
          <w:rFonts w:hint="eastAsia"/>
          <w:highlight w:val="none"/>
        </w:rPr>
      </w:pPr>
    </w:p>
    <w:p>
      <w:pPr>
        <w:spacing w:line="360" w:lineRule="auto"/>
        <w:jc w:val="left"/>
        <w:rPr>
          <w:b/>
          <w:sz w:val="32"/>
          <w:szCs w:val="32"/>
          <w:highlight w:val="none"/>
        </w:rPr>
      </w:pPr>
      <w:r>
        <w:rPr>
          <w:rFonts w:hint="eastAsia"/>
          <w:b/>
          <w:sz w:val="32"/>
          <w:szCs w:val="32"/>
          <w:highlight w:val="none"/>
        </w:rPr>
        <w:t>第六条 临床数据、试验报告书等资料的管理及归属</w:t>
      </w:r>
    </w:p>
    <w:p>
      <w:pPr>
        <w:pStyle w:val="8"/>
        <w:numPr>
          <w:ilvl w:val="0"/>
          <w:numId w:val="7"/>
        </w:numPr>
        <w:spacing w:line="360" w:lineRule="auto"/>
        <w:ind w:firstLineChars="0"/>
        <w:jc w:val="left"/>
        <w:rPr>
          <w:highlight w:val="none"/>
        </w:rPr>
      </w:pPr>
      <w:r>
        <w:rPr>
          <w:rFonts w:hint="eastAsia"/>
          <w:highlight w:val="none"/>
        </w:rPr>
        <w:t>乙方负责原始资料保存，直至临床试验结束后5年，超出时间按机构临床试验经费管理规定收取资料管理费，申办方需递交书面申请并签署协议，方可继续延长资料保存期限。</w:t>
      </w:r>
    </w:p>
    <w:p>
      <w:pPr>
        <w:pStyle w:val="8"/>
        <w:numPr>
          <w:ilvl w:val="0"/>
          <w:numId w:val="7"/>
        </w:numPr>
        <w:spacing w:line="360" w:lineRule="auto"/>
        <w:ind w:firstLineChars="0"/>
        <w:jc w:val="left"/>
        <w:rPr>
          <w:highlight w:val="none"/>
        </w:rPr>
      </w:pPr>
      <w:r>
        <w:rPr>
          <w:rFonts w:hint="eastAsia"/>
          <w:highlight w:val="none"/>
        </w:rPr>
        <w:t>本试验的数据、报告以及利用本试验数据、报告所产生的其他数据、报告等一切相关结果的所有权和使用权归甲方。在甲方获得《药品注册批件》之前，乙方不得公开本试验数据、试验报告等资料。在甲方获得《药品注册批件》之后，如乙方希望使用本数据、试验报告等结果，必须事前通知甲方，在取得甲方书面同意后方可使用。</w:t>
      </w:r>
    </w:p>
    <w:p>
      <w:pPr>
        <w:spacing w:line="360" w:lineRule="auto"/>
        <w:jc w:val="left"/>
        <w:rPr>
          <w:highlight w:val="none"/>
        </w:rPr>
      </w:pPr>
    </w:p>
    <w:p>
      <w:pPr>
        <w:spacing w:line="360" w:lineRule="auto"/>
        <w:jc w:val="left"/>
        <w:rPr>
          <w:rFonts w:hint="eastAsia"/>
          <w:highlight w:val="none"/>
        </w:rPr>
      </w:pPr>
    </w:p>
    <w:p>
      <w:pPr>
        <w:spacing w:line="360" w:lineRule="auto"/>
        <w:jc w:val="left"/>
        <w:rPr>
          <w:b/>
          <w:sz w:val="32"/>
          <w:szCs w:val="32"/>
          <w:highlight w:val="none"/>
        </w:rPr>
      </w:pPr>
      <w:r>
        <w:rPr>
          <w:rFonts w:hint="eastAsia"/>
          <w:b/>
          <w:sz w:val="32"/>
          <w:szCs w:val="32"/>
          <w:highlight w:val="none"/>
        </w:rPr>
        <w:t>第七条 费用与付款方式</w:t>
      </w:r>
    </w:p>
    <w:p>
      <w:pPr>
        <w:pStyle w:val="8"/>
        <w:numPr>
          <w:ilvl w:val="0"/>
          <w:numId w:val="8"/>
        </w:numPr>
        <w:spacing w:line="360" w:lineRule="auto"/>
        <w:ind w:firstLineChars="0"/>
        <w:jc w:val="left"/>
        <w:rPr>
          <w:highlight w:val="none"/>
        </w:rPr>
      </w:pPr>
      <w:r>
        <w:rPr>
          <w:rFonts w:hint="eastAsia"/>
          <w:highlight w:val="none"/>
        </w:rPr>
        <w:t>甲方同意为每一例按照临床试验方案完成所有随访观察并且可评估的每例受试者提供试验费用，</w:t>
      </w:r>
      <w:r>
        <w:rPr>
          <w:rFonts w:hint="eastAsia"/>
          <w:highlight w:val="none"/>
          <w:u w:val="single"/>
        </w:rPr>
        <w:t xml:space="preserve">          </w:t>
      </w:r>
      <w:r>
        <w:rPr>
          <w:rFonts w:hint="eastAsia"/>
          <w:highlight w:val="none"/>
        </w:rPr>
        <w:t>元/例，其中观察费</w:t>
      </w:r>
      <w:r>
        <w:rPr>
          <w:rFonts w:hint="eastAsia"/>
          <w:highlight w:val="none"/>
          <w:u w:val="single"/>
        </w:rPr>
        <w:t xml:space="preserve">         </w:t>
      </w:r>
      <w:r>
        <w:rPr>
          <w:rFonts w:hint="eastAsia"/>
          <w:highlight w:val="none"/>
        </w:rPr>
        <w:t>元/例， 检验检查费：</w:t>
      </w:r>
      <w:r>
        <w:rPr>
          <w:rFonts w:hint="eastAsia"/>
          <w:highlight w:val="none"/>
          <w:u w:val="single"/>
        </w:rPr>
        <w:t xml:space="preserve">          </w:t>
      </w:r>
      <w:r>
        <w:rPr>
          <w:rFonts w:hint="eastAsia"/>
          <w:highlight w:val="none"/>
        </w:rPr>
        <w:t>元/例（</w:t>
      </w:r>
      <w:r>
        <w:rPr>
          <w:highlight w:val="none"/>
        </w:rPr>
        <w:t>见附件</w:t>
      </w:r>
      <w:r>
        <w:rPr>
          <w:rFonts w:hint="eastAsia"/>
          <w:highlight w:val="none"/>
        </w:rPr>
        <w:t>1），</w:t>
      </w:r>
      <w:r>
        <w:rPr>
          <w:rFonts w:hint="eastAsia"/>
          <w:highlight w:val="none"/>
          <w:lang w:eastAsia="zh-CN"/>
        </w:rPr>
        <w:t>机构</w:t>
      </w:r>
      <w:r>
        <w:rPr>
          <w:rFonts w:hint="eastAsia"/>
          <w:highlight w:val="none"/>
        </w:rPr>
        <w:t>质量管理费按检查费和观察费的</w:t>
      </w:r>
      <w:r>
        <w:rPr>
          <w:rFonts w:hint="eastAsia" w:ascii="Times New Roman" w:hAnsi="Times New Roman"/>
          <w:highlight w:val="none"/>
        </w:rPr>
        <w:t>10%</w:t>
      </w:r>
      <w:r>
        <w:rPr>
          <w:rFonts w:ascii="Times New Roman"/>
          <w:highlight w:val="none"/>
        </w:rPr>
        <w:t>收</w:t>
      </w:r>
      <w:r>
        <w:rPr>
          <w:rFonts w:hint="eastAsia"/>
          <w:highlight w:val="none"/>
        </w:rPr>
        <w:t>取，</w:t>
      </w:r>
      <w:r>
        <w:rPr>
          <w:rFonts w:hint="eastAsia"/>
          <w:color w:val="auto"/>
          <w:highlight w:val="none"/>
          <w:lang w:eastAsia="zh-CN"/>
        </w:rPr>
        <w:t>机构</w:t>
      </w:r>
      <w:r>
        <w:rPr>
          <w:rFonts w:hint="eastAsia"/>
          <w:color w:val="auto"/>
          <w:highlight w:val="none"/>
        </w:rPr>
        <w:t xml:space="preserve">质量管理费 </w:t>
      </w:r>
      <w:r>
        <w:rPr>
          <w:rFonts w:hint="eastAsia"/>
          <w:color w:val="auto"/>
          <w:highlight w:val="none"/>
          <w:u w:val="single"/>
        </w:rPr>
        <w:t xml:space="preserve">      </w:t>
      </w:r>
      <w:r>
        <w:rPr>
          <w:rFonts w:hint="eastAsia"/>
          <w:color w:val="auto"/>
          <w:highlight w:val="none"/>
        </w:rPr>
        <w:t>元/例</w:t>
      </w:r>
      <w:r>
        <w:rPr>
          <w:rFonts w:hint="eastAsia"/>
          <w:color w:val="auto"/>
          <w:highlight w:val="none"/>
          <w:lang w:eastAsia="zh-CN"/>
        </w:rPr>
        <w:t>（可用于机构建设、试验质控、人员劳务、院外培训等）</w:t>
      </w:r>
      <w:r>
        <w:rPr>
          <w:rFonts w:hint="eastAsia"/>
          <w:color w:val="auto"/>
          <w:highlight w:val="none"/>
        </w:rPr>
        <w:t>，</w:t>
      </w:r>
      <w:r>
        <w:rPr>
          <w:rFonts w:hint="eastAsia"/>
          <w:highlight w:val="none"/>
        </w:rPr>
        <w:t>受试者交通补助：</w:t>
      </w:r>
      <w:r>
        <w:rPr>
          <w:rFonts w:hint="eastAsia"/>
          <w:highlight w:val="none"/>
          <w:u w:val="single"/>
        </w:rPr>
        <w:t xml:space="preserve">          </w:t>
      </w:r>
      <w:r>
        <w:rPr>
          <w:rFonts w:hint="eastAsia"/>
          <w:highlight w:val="none"/>
        </w:rPr>
        <w:t>元/例；</w:t>
      </w:r>
      <w:r>
        <w:rPr>
          <w:rFonts w:hint="eastAsia"/>
          <w:highlight w:val="none"/>
          <w:lang w:eastAsia="zh-CN"/>
        </w:rPr>
        <w:t>档案管理费按五年期限缴纳共计</w:t>
      </w:r>
      <w:r>
        <w:rPr>
          <w:rFonts w:hint="eastAsia"/>
          <w:highlight w:val="none"/>
          <w:u w:val="single"/>
          <w:lang w:val="en-US" w:eastAsia="zh-CN"/>
        </w:rPr>
        <w:t>5000</w:t>
      </w:r>
      <w:r>
        <w:rPr>
          <w:rFonts w:hint="eastAsia"/>
          <w:highlight w:val="none"/>
          <w:lang w:val="en-US" w:eastAsia="zh-CN"/>
        </w:rPr>
        <w:t>元，五年后若申办方仍要求机构办保存，则1000元/年</w:t>
      </w:r>
      <w:r>
        <w:rPr>
          <w:rFonts w:hint="eastAsia"/>
          <w:highlight w:val="none"/>
        </w:rPr>
        <w:t>，按本协议计划入组病例数</w:t>
      </w:r>
      <w:r>
        <w:rPr>
          <w:rFonts w:hint="eastAsia"/>
          <w:highlight w:val="none"/>
          <w:u w:val="single"/>
        </w:rPr>
        <w:t xml:space="preserve">          </w:t>
      </w:r>
      <w:r>
        <w:rPr>
          <w:rFonts w:hint="eastAsia"/>
          <w:highlight w:val="none"/>
        </w:rPr>
        <w:t>例计算，总计</w:t>
      </w:r>
      <w:r>
        <w:rPr>
          <w:rFonts w:hint="eastAsia"/>
          <w:highlight w:val="none"/>
          <w:u w:val="single"/>
        </w:rPr>
        <w:t xml:space="preserve"> </w:t>
      </w:r>
      <w:r>
        <w:rPr>
          <w:highlight w:val="none"/>
          <w:u w:val="single"/>
        </w:rPr>
        <w:t xml:space="preserve">  </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元整</w:t>
      </w:r>
      <w:r>
        <w:rPr>
          <w:rFonts w:hint="eastAsia"/>
          <w:highlight w:val="none"/>
          <w:lang w:eastAsia="zh-CN"/>
        </w:rPr>
        <w:t>（大写：</w:t>
      </w:r>
      <w:r>
        <w:rPr>
          <w:rFonts w:hint="eastAsia"/>
          <w:highlight w:val="none"/>
          <w:lang w:val="en-US" w:eastAsia="zh-CN"/>
        </w:rPr>
        <w:t xml:space="preserve">      </w:t>
      </w:r>
      <w:r>
        <w:rPr>
          <w:rFonts w:hint="eastAsia"/>
          <w:highlight w:val="none"/>
          <w:lang w:eastAsia="zh-CN"/>
        </w:rPr>
        <w:t>）</w:t>
      </w:r>
      <w:r>
        <w:rPr>
          <w:rFonts w:hint="eastAsia"/>
          <w:highlight w:val="none"/>
        </w:rPr>
        <w:t>。</w:t>
      </w:r>
    </w:p>
    <w:p>
      <w:pPr>
        <w:pStyle w:val="8"/>
        <w:numPr>
          <w:ilvl w:val="0"/>
          <w:numId w:val="8"/>
        </w:numPr>
        <w:spacing w:line="360" w:lineRule="auto"/>
        <w:ind w:firstLineChars="0"/>
        <w:jc w:val="left"/>
        <w:rPr>
          <w:highlight w:val="none"/>
        </w:rPr>
      </w:pPr>
      <w:r>
        <w:rPr>
          <w:rFonts w:hint="eastAsia"/>
          <w:highlight w:val="none"/>
        </w:rPr>
        <w:t>预计总试验费用为人民币</w:t>
      </w:r>
      <w:r>
        <w:rPr>
          <w:rFonts w:hint="eastAsia"/>
          <w:highlight w:val="none"/>
          <w:u w:val="single"/>
        </w:rPr>
        <w:t xml:space="preserve">          </w:t>
      </w:r>
      <w:r>
        <w:rPr>
          <w:rFonts w:hint="eastAsia"/>
          <w:highlight w:val="none"/>
        </w:rPr>
        <w:t>元整</w:t>
      </w:r>
      <w:r>
        <w:rPr>
          <w:rFonts w:hint="eastAsia"/>
          <w:highlight w:val="none"/>
          <w:lang w:eastAsia="zh-CN"/>
        </w:rPr>
        <w:t>，其中含税费</w:t>
      </w:r>
      <w:r>
        <w:rPr>
          <w:rFonts w:hint="eastAsia"/>
          <w:highlight w:val="none"/>
          <w:u w:val="single"/>
          <w:lang w:val="en-US" w:eastAsia="zh-CN"/>
        </w:rPr>
        <w:t xml:space="preserve">         </w:t>
      </w:r>
      <w:r>
        <w:rPr>
          <w:rFonts w:hint="eastAsia"/>
          <w:highlight w:val="none"/>
        </w:rPr>
        <w:t>元整（实际试验费用在试验完成后根据实际完成的病例数计算）。详见试验费用预算（见附件</w:t>
      </w:r>
      <w:r>
        <w:rPr>
          <w:highlight w:val="none"/>
        </w:rPr>
        <w:t>2</w:t>
      </w:r>
      <w:r>
        <w:rPr>
          <w:rFonts w:hint="eastAsia"/>
          <w:highlight w:val="none"/>
        </w:rPr>
        <w:t>）。</w:t>
      </w:r>
    </w:p>
    <w:p>
      <w:pPr>
        <w:pStyle w:val="8"/>
        <w:numPr>
          <w:ilvl w:val="0"/>
          <w:numId w:val="8"/>
        </w:numPr>
        <w:spacing w:line="360" w:lineRule="auto"/>
        <w:ind w:firstLineChars="0"/>
        <w:jc w:val="left"/>
        <w:outlineLvl w:val="0"/>
        <w:rPr>
          <w:rFonts w:hint="eastAsia"/>
          <w:highlight w:val="none"/>
        </w:rPr>
      </w:pPr>
      <w:r>
        <w:rPr>
          <w:rFonts w:hint="eastAsia"/>
          <w:highlight w:val="none"/>
        </w:rPr>
        <w:t>付费方式及具体付费时间：甲方在合同生效后10天内，向乙方支付所有/首笔的临床费用，占总合同额的</w:t>
      </w:r>
      <w:r>
        <w:rPr>
          <w:rFonts w:hint="eastAsia"/>
          <w:highlight w:val="none"/>
          <w:u w:val="single"/>
        </w:rPr>
        <w:t xml:space="preserve">     </w:t>
      </w:r>
      <w:r>
        <w:rPr>
          <w:rFonts w:hint="eastAsia"/>
          <w:highlight w:val="none"/>
        </w:rPr>
        <w:t>%，计</w:t>
      </w:r>
      <w:r>
        <w:rPr>
          <w:rFonts w:hint="eastAsia"/>
          <w:highlight w:val="none"/>
          <w:u w:val="single"/>
        </w:rPr>
        <w:t xml:space="preserve">         </w:t>
      </w:r>
      <w:r>
        <w:rPr>
          <w:rFonts w:hint="eastAsia"/>
          <w:highlight w:val="none"/>
        </w:rPr>
        <w:t>元，第二次（入组完成</w:t>
      </w:r>
      <w:r>
        <w:rPr>
          <w:rFonts w:hint="eastAsia"/>
          <w:highlight w:val="none"/>
          <w:u w:val="single"/>
        </w:rPr>
        <w:t xml:space="preserve">    </w:t>
      </w:r>
      <w:r>
        <w:rPr>
          <w:rFonts w:hint="eastAsia"/>
          <w:highlight w:val="none"/>
        </w:rPr>
        <w:t>例）支付合同总额的</w:t>
      </w:r>
      <w:r>
        <w:rPr>
          <w:rFonts w:hint="eastAsia"/>
          <w:highlight w:val="none"/>
          <w:u w:val="single"/>
        </w:rPr>
        <w:t xml:space="preserve">     </w:t>
      </w:r>
      <w:r>
        <w:rPr>
          <w:rFonts w:hint="eastAsia"/>
          <w:highlight w:val="none"/>
        </w:rPr>
        <w:t>%，计</w:t>
      </w:r>
      <w:r>
        <w:rPr>
          <w:rFonts w:hint="eastAsia"/>
          <w:highlight w:val="none"/>
          <w:u w:val="single"/>
        </w:rPr>
        <w:t xml:space="preserve">         </w:t>
      </w:r>
      <w:r>
        <w:rPr>
          <w:rFonts w:hint="eastAsia"/>
          <w:highlight w:val="none"/>
        </w:rPr>
        <w:t>元。</w:t>
      </w:r>
    </w:p>
    <w:p>
      <w:pPr>
        <w:numPr>
          <w:ilvl w:val="0"/>
          <w:numId w:val="8"/>
        </w:numPr>
        <w:spacing w:line="360" w:lineRule="auto"/>
        <w:outlineLvl w:val="0"/>
        <w:rPr>
          <w:rFonts w:hint="eastAsia"/>
          <w:highlight w:val="none"/>
        </w:rPr>
      </w:pPr>
      <w:r>
        <w:rPr>
          <w:rFonts w:hint="eastAsia"/>
          <w:highlight w:val="none"/>
        </w:rPr>
        <w:t>临床试验结束，由研究者和监查员签字确认已完成协议规定的全部临床观察病例后，甲方向乙方支付余下全部的临床研究费用，按实际完成例数支付费用。</w:t>
      </w:r>
    </w:p>
    <w:p>
      <w:pPr>
        <w:pStyle w:val="8"/>
        <w:spacing w:line="360" w:lineRule="auto"/>
        <w:ind w:left="360" w:firstLine="0" w:firstLineChars="0"/>
        <w:jc w:val="left"/>
        <w:rPr>
          <w:highlight w:val="none"/>
        </w:rPr>
      </w:pPr>
      <w:r>
        <w:rPr>
          <w:rFonts w:hint="eastAsia"/>
          <w:highlight w:val="none"/>
        </w:rPr>
        <w:t>乙方在确认每次款项到账后及时提供发票；乙方在合同规定的时限内未能入组病例，乙方承诺将甲方已经支付的试验费用退还给甲方；</w:t>
      </w:r>
    </w:p>
    <w:p>
      <w:pPr>
        <w:pStyle w:val="8"/>
        <w:spacing w:line="360" w:lineRule="auto"/>
        <w:ind w:left="360" w:firstLine="0" w:firstLineChars="0"/>
        <w:jc w:val="left"/>
        <w:rPr>
          <w:highlight w:val="none"/>
        </w:rPr>
      </w:pPr>
      <w:r>
        <w:rPr>
          <w:rFonts w:hint="eastAsia"/>
          <w:highlight w:val="none"/>
        </w:rPr>
        <w:t>对于未完成本试验全部访视的病例，检查费按实际发生次数计算。</w:t>
      </w:r>
    </w:p>
    <w:p>
      <w:pPr>
        <w:pStyle w:val="8"/>
        <w:spacing w:line="360" w:lineRule="auto"/>
        <w:ind w:left="360" w:firstLine="0" w:firstLineChars="0"/>
        <w:jc w:val="left"/>
        <w:rPr>
          <w:rFonts w:hint="eastAsia"/>
          <w:highlight w:val="none"/>
        </w:rPr>
      </w:pPr>
    </w:p>
    <w:p>
      <w:pPr>
        <w:pStyle w:val="8"/>
        <w:numPr>
          <w:ilvl w:val="0"/>
          <w:numId w:val="8"/>
        </w:numPr>
        <w:spacing w:line="360" w:lineRule="auto"/>
        <w:ind w:firstLineChars="0"/>
        <w:jc w:val="left"/>
        <w:rPr>
          <w:highlight w:val="none"/>
        </w:rPr>
      </w:pPr>
      <w:r>
        <w:rPr>
          <w:rFonts w:hint="eastAsia"/>
          <w:highlight w:val="none"/>
        </w:rPr>
        <w:t>合并用药的付费方式</w:t>
      </w:r>
    </w:p>
    <w:p>
      <w:pPr>
        <w:spacing w:line="360" w:lineRule="auto"/>
        <w:ind w:left="360"/>
        <w:jc w:val="left"/>
        <w:rPr>
          <w:highlight w:val="none"/>
        </w:rPr>
      </w:pPr>
      <w:r>
        <w:rPr>
          <w:rFonts w:hint="eastAsia"/>
          <w:highlight w:val="none"/>
        </w:rPr>
        <w:t>根据试验方案内容，申办方与主要研究者及药物临床试验机构协商签署付款说明，或补充协议加以约定。</w:t>
      </w:r>
    </w:p>
    <w:p>
      <w:pPr>
        <w:spacing w:line="360" w:lineRule="auto"/>
        <w:jc w:val="left"/>
        <w:rPr>
          <w:highlight w:val="none"/>
        </w:rPr>
      </w:pPr>
    </w:p>
    <w:p>
      <w:pPr>
        <w:pStyle w:val="8"/>
        <w:numPr>
          <w:ilvl w:val="0"/>
          <w:numId w:val="8"/>
        </w:numPr>
        <w:spacing w:line="360" w:lineRule="auto"/>
        <w:ind w:firstLineChars="0"/>
        <w:jc w:val="left"/>
        <w:rPr>
          <w:highlight w:val="none"/>
        </w:rPr>
      </w:pPr>
      <w:r>
        <w:rPr>
          <w:rFonts w:hint="eastAsia"/>
          <w:highlight w:val="none"/>
        </w:rPr>
        <w:t>付款方式：通过银行汇款方式付款</w:t>
      </w:r>
    </w:p>
    <w:p>
      <w:pPr>
        <w:pStyle w:val="8"/>
        <w:spacing w:line="360" w:lineRule="auto"/>
        <w:ind w:left="360" w:firstLine="0" w:firstLineChars="0"/>
        <w:jc w:val="left"/>
        <w:rPr>
          <w:highlight w:val="none"/>
        </w:rPr>
      </w:pPr>
      <w:r>
        <w:rPr>
          <w:rFonts w:hint="eastAsia"/>
          <w:highlight w:val="none"/>
        </w:rPr>
        <w:t>付款币种：    人民币</w:t>
      </w:r>
    </w:p>
    <w:p>
      <w:pPr>
        <w:pStyle w:val="8"/>
        <w:spacing w:line="360" w:lineRule="auto"/>
        <w:ind w:left="360" w:firstLine="0" w:firstLineChars="0"/>
        <w:jc w:val="left"/>
        <w:rPr>
          <w:rFonts w:hint="eastAsia"/>
          <w:color w:val="000000"/>
          <w:highlight w:val="none"/>
          <w:lang w:eastAsia="zh-CN"/>
        </w:rPr>
      </w:pPr>
      <w:r>
        <w:rPr>
          <w:rFonts w:hint="eastAsia"/>
          <w:color w:val="000000"/>
          <w:highlight w:val="none"/>
        </w:rPr>
        <w:t xml:space="preserve"> </w:t>
      </w:r>
      <w:r>
        <w:rPr>
          <w:rFonts w:hint="eastAsia"/>
          <w:color w:val="000000"/>
          <w:highlight w:val="none"/>
          <w:lang w:eastAsia="zh-CN"/>
        </w:rPr>
        <w:t>开户行：合肥中信银行南七支行</w:t>
      </w:r>
    </w:p>
    <w:p>
      <w:pPr>
        <w:pStyle w:val="8"/>
        <w:spacing w:line="360" w:lineRule="auto"/>
        <w:ind w:left="360" w:firstLine="0" w:firstLineChars="0"/>
        <w:jc w:val="left"/>
        <w:rPr>
          <w:rFonts w:hint="eastAsia"/>
          <w:color w:val="000000"/>
          <w:highlight w:val="none"/>
          <w:lang w:eastAsia="zh-CN"/>
        </w:rPr>
      </w:pPr>
      <w:r>
        <w:rPr>
          <w:rFonts w:hint="eastAsia"/>
          <w:color w:val="000000"/>
          <w:highlight w:val="none"/>
          <w:lang w:eastAsia="zh-CN"/>
        </w:rPr>
        <w:t>户名：安徽省肿瘤医院</w:t>
      </w:r>
    </w:p>
    <w:p>
      <w:pPr>
        <w:pStyle w:val="8"/>
        <w:spacing w:line="360" w:lineRule="auto"/>
        <w:ind w:left="360" w:firstLine="0" w:firstLineChars="0"/>
        <w:jc w:val="left"/>
        <w:rPr>
          <w:rFonts w:hint="eastAsia"/>
          <w:color w:val="000000"/>
          <w:highlight w:val="none"/>
          <w:lang w:eastAsia="zh-CN"/>
        </w:rPr>
      </w:pPr>
      <w:r>
        <w:rPr>
          <w:rFonts w:hint="eastAsia"/>
          <w:color w:val="000000"/>
          <w:highlight w:val="none"/>
          <w:lang w:eastAsia="zh-CN"/>
        </w:rPr>
        <w:t>帐号：7326 2101 8260 0081 464</w:t>
      </w:r>
    </w:p>
    <w:p>
      <w:pPr>
        <w:pStyle w:val="8"/>
        <w:spacing w:line="360" w:lineRule="auto"/>
        <w:ind w:left="360" w:firstLine="0" w:firstLineChars="0"/>
        <w:jc w:val="left"/>
        <w:rPr>
          <w:rFonts w:hint="eastAsia"/>
          <w:color w:val="000000"/>
          <w:highlight w:val="none"/>
          <w:lang w:eastAsia="zh-CN"/>
        </w:rPr>
      </w:pPr>
      <w:r>
        <w:rPr>
          <w:rFonts w:hint="eastAsia"/>
          <w:color w:val="000000"/>
          <w:highlight w:val="none"/>
          <w:lang w:eastAsia="zh-CN"/>
        </w:rPr>
        <w:t>地址：安徽省合肥市环湖东路107号</w:t>
      </w:r>
    </w:p>
    <w:p>
      <w:pPr>
        <w:pStyle w:val="8"/>
        <w:spacing w:line="360" w:lineRule="auto"/>
        <w:ind w:left="360" w:firstLine="0" w:firstLineChars="0"/>
        <w:jc w:val="left"/>
        <w:rPr>
          <w:highlight w:val="none"/>
        </w:rPr>
      </w:pPr>
    </w:p>
    <w:p>
      <w:pPr>
        <w:spacing w:line="360" w:lineRule="auto"/>
        <w:jc w:val="left"/>
        <w:rPr>
          <w:highlight w:val="none"/>
        </w:rPr>
      </w:pPr>
      <w:r>
        <w:rPr>
          <w:rFonts w:hint="eastAsia"/>
          <w:highlight w:val="none"/>
        </w:rPr>
        <w:t xml:space="preserve">   </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第八条 信息、资料的保密</w:t>
      </w:r>
    </w:p>
    <w:p>
      <w:pPr>
        <w:pStyle w:val="8"/>
        <w:numPr>
          <w:ilvl w:val="0"/>
          <w:numId w:val="9"/>
        </w:numPr>
        <w:spacing w:line="360" w:lineRule="auto"/>
        <w:ind w:firstLineChars="0"/>
        <w:jc w:val="left"/>
        <w:rPr>
          <w:highlight w:val="none"/>
        </w:rPr>
      </w:pPr>
      <w:r>
        <w:rPr>
          <w:rFonts w:hint="eastAsia"/>
          <w:highlight w:val="none"/>
        </w:rPr>
        <w:t>甲方要求在此试验中有相应职责的甲方员工对临床试验受试者相关的信息严格保密，不与任何甲方以外的第三方或公司内部与本试验无关的员工公开、透露、交流这些信息。此外，甲方承诺不把这些信息用于为达到科学和伦理的研究目的以外的任何目的，并同意采取一切合理的预防措施防止这些信息未经授权泄露。</w:t>
      </w:r>
    </w:p>
    <w:p>
      <w:pPr>
        <w:pStyle w:val="8"/>
        <w:numPr>
          <w:ilvl w:val="0"/>
          <w:numId w:val="9"/>
        </w:numPr>
        <w:spacing w:line="360" w:lineRule="auto"/>
        <w:ind w:firstLineChars="0"/>
        <w:jc w:val="left"/>
        <w:rPr>
          <w:highlight w:val="none"/>
        </w:rPr>
      </w:pPr>
      <w:r>
        <w:rPr>
          <w:rFonts w:hint="eastAsia"/>
          <w:highlight w:val="none"/>
        </w:rPr>
        <w:t>对于由甲方提供的任何与委托业务相关的信息/资料、合同的目的/内容、以及乙方因实施委托业务所得到的知识/资料，乙方应保守秘密，不得向第三人泄露，也不得将其用于委托业务以外的任何目的。</w:t>
      </w:r>
    </w:p>
    <w:p>
      <w:pPr>
        <w:pStyle w:val="8"/>
        <w:spacing w:line="360" w:lineRule="auto"/>
        <w:ind w:left="360" w:firstLine="0" w:firstLineChars="0"/>
        <w:jc w:val="left"/>
        <w:rPr>
          <w:highlight w:val="none"/>
        </w:rPr>
      </w:pPr>
      <w:r>
        <w:rPr>
          <w:rFonts w:hint="eastAsia"/>
          <w:highlight w:val="none"/>
        </w:rPr>
        <w:t>在进行委托业务的必要限度内，经向甲方书面报告，乙方可以将其向本业务内部相关人员、本试验实施机构及有关政府部门出示。此时，乙方应使相关人员、本试验实施机构承担同乙方一样的保密义务。</w:t>
      </w:r>
    </w:p>
    <w:p>
      <w:pPr>
        <w:pStyle w:val="8"/>
        <w:numPr>
          <w:ilvl w:val="0"/>
          <w:numId w:val="9"/>
        </w:numPr>
        <w:spacing w:line="360" w:lineRule="auto"/>
        <w:ind w:firstLineChars="0"/>
        <w:jc w:val="left"/>
        <w:rPr>
          <w:highlight w:val="none"/>
        </w:rPr>
      </w:pPr>
      <w:r>
        <w:rPr>
          <w:rFonts w:hint="eastAsia"/>
          <w:highlight w:val="none"/>
        </w:rPr>
        <w:t>符合下列情况之一的，不适用本条第1款的规定：</w:t>
      </w:r>
    </w:p>
    <w:p>
      <w:pPr>
        <w:pStyle w:val="8"/>
        <w:numPr>
          <w:ilvl w:val="0"/>
          <w:numId w:val="10"/>
        </w:numPr>
        <w:spacing w:line="360" w:lineRule="auto"/>
        <w:ind w:firstLineChars="0"/>
        <w:jc w:val="left"/>
        <w:rPr>
          <w:highlight w:val="none"/>
        </w:rPr>
      </w:pPr>
      <w:r>
        <w:rPr>
          <w:rFonts w:hint="eastAsia"/>
          <w:highlight w:val="none"/>
        </w:rPr>
        <w:t>乙方能以书面形式证明从甲方处知悉前已经获悉的；</w:t>
      </w:r>
    </w:p>
    <w:p>
      <w:pPr>
        <w:pStyle w:val="8"/>
        <w:numPr>
          <w:ilvl w:val="0"/>
          <w:numId w:val="10"/>
        </w:numPr>
        <w:spacing w:line="360" w:lineRule="auto"/>
        <w:ind w:firstLineChars="0"/>
        <w:jc w:val="left"/>
        <w:rPr>
          <w:highlight w:val="none"/>
        </w:rPr>
      </w:pPr>
      <w:r>
        <w:rPr>
          <w:rFonts w:hint="eastAsia"/>
          <w:highlight w:val="none"/>
        </w:rPr>
        <w:t>能以书面形式证明乙方自甲方处知悉前已被公众所知，或知悉后不因乙方责任而为公众所知的；</w:t>
      </w:r>
    </w:p>
    <w:p>
      <w:pPr>
        <w:pStyle w:val="8"/>
        <w:numPr>
          <w:ilvl w:val="0"/>
          <w:numId w:val="10"/>
        </w:numPr>
        <w:spacing w:line="360" w:lineRule="auto"/>
        <w:ind w:firstLineChars="0"/>
        <w:jc w:val="left"/>
        <w:rPr>
          <w:highlight w:val="none"/>
        </w:rPr>
      </w:pPr>
      <w:r>
        <w:rPr>
          <w:rFonts w:hint="eastAsia"/>
          <w:highlight w:val="none"/>
        </w:rPr>
        <w:t>乙方自甲方处知悉后又从拥有合法权限的第三人处在未违反保密义务的情况下获悉的；</w:t>
      </w:r>
    </w:p>
    <w:p>
      <w:pPr>
        <w:pStyle w:val="8"/>
        <w:numPr>
          <w:ilvl w:val="0"/>
          <w:numId w:val="10"/>
        </w:numPr>
        <w:spacing w:line="360" w:lineRule="auto"/>
        <w:ind w:firstLineChars="0"/>
        <w:jc w:val="left"/>
        <w:rPr>
          <w:highlight w:val="none"/>
        </w:rPr>
      </w:pPr>
      <w:r>
        <w:rPr>
          <w:rFonts w:hint="eastAsia"/>
          <w:highlight w:val="none"/>
        </w:rPr>
        <w:t>乙方事先已得到甲方允许披露的书面承诺；</w:t>
      </w:r>
    </w:p>
    <w:p>
      <w:pPr>
        <w:pStyle w:val="8"/>
        <w:numPr>
          <w:ilvl w:val="0"/>
          <w:numId w:val="10"/>
        </w:numPr>
        <w:spacing w:line="360" w:lineRule="auto"/>
        <w:ind w:firstLineChars="0"/>
        <w:jc w:val="left"/>
        <w:rPr>
          <w:highlight w:val="none"/>
        </w:rPr>
      </w:pPr>
      <w:r>
        <w:rPr>
          <w:rFonts w:hint="eastAsia"/>
          <w:highlight w:val="none"/>
        </w:rPr>
        <w:t>依据有关法律，乙方履行与本合同相关的义务，应该向政府有关部门出示的情况；</w:t>
      </w:r>
    </w:p>
    <w:p>
      <w:pPr>
        <w:pStyle w:val="8"/>
        <w:numPr>
          <w:ilvl w:val="0"/>
          <w:numId w:val="9"/>
        </w:numPr>
        <w:spacing w:line="360" w:lineRule="auto"/>
        <w:ind w:firstLineChars="0"/>
        <w:jc w:val="left"/>
        <w:rPr>
          <w:highlight w:val="none"/>
        </w:rPr>
      </w:pPr>
      <w:r>
        <w:rPr>
          <w:rFonts w:hint="eastAsia"/>
          <w:highlight w:val="none"/>
        </w:rPr>
        <w:t>进行前款第（5）项公开时，乙方应事先将被要求公开一事通知甲方；</w:t>
      </w:r>
    </w:p>
    <w:p>
      <w:pPr>
        <w:pStyle w:val="8"/>
        <w:numPr>
          <w:ilvl w:val="0"/>
          <w:numId w:val="9"/>
        </w:numPr>
        <w:spacing w:line="360" w:lineRule="auto"/>
        <w:ind w:firstLineChars="0"/>
        <w:jc w:val="left"/>
        <w:rPr>
          <w:highlight w:val="none"/>
        </w:rPr>
      </w:pPr>
      <w:r>
        <w:rPr>
          <w:rFonts w:hint="eastAsia"/>
          <w:highlight w:val="none"/>
        </w:rPr>
        <w:t>本条的效力及于协议终止后的任何时间；</w:t>
      </w:r>
    </w:p>
    <w:p>
      <w:pPr>
        <w:pStyle w:val="8"/>
        <w:numPr>
          <w:ilvl w:val="0"/>
          <w:numId w:val="9"/>
        </w:numPr>
        <w:spacing w:line="360" w:lineRule="auto"/>
        <w:ind w:firstLineChars="0"/>
        <w:jc w:val="left"/>
        <w:rPr>
          <w:highlight w:val="none"/>
        </w:rPr>
      </w:pPr>
      <w:r>
        <w:rPr>
          <w:rFonts w:hint="eastAsia"/>
          <w:highlight w:val="none"/>
        </w:rPr>
        <w:t>由于乙方及其工作人员违反本条规定而给甲方造成损失的，乙方承担连带赔偿责任。</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第九条 研究会议的相关说明</w:t>
      </w:r>
    </w:p>
    <w:p>
      <w:pPr>
        <w:pStyle w:val="8"/>
        <w:numPr>
          <w:ilvl w:val="0"/>
          <w:numId w:val="11"/>
        </w:numPr>
        <w:spacing w:line="360" w:lineRule="auto"/>
        <w:ind w:firstLineChars="0"/>
        <w:jc w:val="left"/>
        <w:rPr>
          <w:highlight w:val="none"/>
        </w:rPr>
      </w:pPr>
      <w:r>
        <w:rPr>
          <w:rFonts w:hint="eastAsia"/>
          <w:highlight w:val="none"/>
        </w:rPr>
        <w:t>研究会议包括各种与临床试验相关的方案研讨会、试验启动会、试验中期会、总结会以及试验期间的相关研讨会等。</w:t>
      </w:r>
    </w:p>
    <w:p>
      <w:pPr>
        <w:pStyle w:val="8"/>
        <w:numPr>
          <w:ilvl w:val="0"/>
          <w:numId w:val="11"/>
        </w:numPr>
        <w:spacing w:line="360" w:lineRule="auto"/>
        <w:ind w:firstLineChars="0"/>
        <w:jc w:val="left"/>
        <w:rPr>
          <w:highlight w:val="none"/>
        </w:rPr>
      </w:pPr>
      <w:r>
        <w:rPr>
          <w:rFonts w:hint="eastAsia"/>
          <w:highlight w:val="none"/>
        </w:rPr>
        <w:t>会议地点原则上选择交通方便的地点，由甲方确定。</w:t>
      </w:r>
    </w:p>
    <w:p>
      <w:pPr>
        <w:pStyle w:val="8"/>
        <w:numPr>
          <w:ilvl w:val="0"/>
          <w:numId w:val="11"/>
        </w:numPr>
        <w:spacing w:line="360" w:lineRule="auto"/>
        <w:ind w:firstLineChars="0"/>
        <w:jc w:val="left"/>
        <w:rPr>
          <w:highlight w:val="none"/>
        </w:rPr>
      </w:pPr>
      <w:r>
        <w:rPr>
          <w:rFonts w:hint="eastAsia"/>
          <w:highlight w:val="none"/>
        </w:rPr>
        <w:t>参加会议的人员包括：试验实施单位主要负责人（PI）、参加试验的医务人员（临床医生、护士）以及与试验密切相关的人员（检验人员、试验药物管理人员、药物临床试验机构管理人员等）出席会议。</w:t>
      </w:r>
    </w:p>
    <w:p>
      <w:pPr>
        <w:pStyle w:val="8"/>
        <w:numPr>
          <w:ilvl w:val="0"/>
          <w:numId w:val="11"/>
        </w:numPr>
        <w:spacing w:line="360" w:lineRule="auto"/>
        <w:ind w:firstLineChars="0"/>
        <w:jc w:val="left"/>
        <w:rPr>
          <w:highlight w:val="none"/>
        </w:rPr>
      </w:pPr>
      <w:r>
        <w:rPr>
          <w:rFonts w:hint="eastAsia"/>
          <w:highlight w:val="none"/>
        </w:rPr>
        <w:t>所有参会人员协助填写会议签到表、联系方式等。</w:t>
      </w:r>
    </w:p>
    <w:p>
      <w:pPr>
        <w:pStyle w:val="8"/>
        <w:numPr>
          <w:ilvl w:val="0"/>
          <w:numId w:val="11"/>
        </w:numPr>
        <w:spacing w:line="360" w:lineRule="auto"/>
        <w:ind w:firstLineChars="0"/>
        <w:jc w:val="left"/>
        <w:rPr>
          <w:highlight w:val="none"/>
        </w:rPr>
      </w:pPr>
      <w:r>
        <w:rPr>
          <w:rFonts w:hint="eastAsia"/>
          <w:highlight w:val="none"/>
        </w:rPr>
        <w:t>参加会议的研究者相关费用的支付：甲方承担所有被邀请出席会议的研究者及相关人员的交通费、住宿费、讲课费、劳务咨询费以及餐饮费用。</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第十条 协议的变更与解除</w:t>
      </w:r>
    </w:p>
    <w:p>
      <w:pPr>
        <w:pStyle w:val="8"/>
        <w:numPr>
          <w:ilvl w:val="0"/>
          <w:numId w:val="12"/>
        </w:numPr>
        <w:spacing w:line="360" w:lineRule="auto"/>
        <w:ind w:firstLineChars="0"/>
        <w:jc w:val="left"/>
        <w:rPr>
          <w:highlight w:val="none"/>
        </w:rPr>
      </w:pPr>
      <w:r>
        <w:rPr>
          <w:rFonts w:hint="eastAsia"/>
          <w:highlight w:val="none"/>
        </w:rPr>
        <w:t>本协议附件与本协议同事生效并具有同等法律效力，未经对方同意，不得单方擅自修改。</w:t>
      </w:r>
    </w:p>
    <w:p>
      <w:pPr>
        <w:pStyle w:val="8"/>
        <w:numPr>
          <w:ilvl w:val="0"/>
          <w:numId w:val="12"/>
        </w:numPr>
        <w:spacing w:line="360" w:lineRule="auto"/>
        <w:ind w:firstLineChars="0"/>
        <w:jc w:val="left"/>
        <w:rPr>
          <w:highlight w:val="none"/>
        </w:rPr>
      </w:pPr>
      <w:r>
        <w:rPr>
          <w:rFonts w:hint="eastAsia"/>
          <w:highlight w:val="none"/>
        </w:rPr>
        <w:t>对本试验中出现的问题，双方应本着合作的原则，积极协商共同解决，经双方协商一致可以补充、修改相关条款。</w:t>
      </w:r>
    </w:p>
    <w:p>
      <w:pPr>
        <w:pStyle w:val="8"/>
        <w:numPr>
          <w:ilvl w:val="0"/>
          <w:numId w:val="12"/>
        </w:numPr>
        <w:spacing w:line="360" w:lineRule="auto"/>
        <w:ind w:firstLineChars="0"/>
        <w:jc w:val="left"/>
        <w:rPr>
          <w:highlight w:val="none"/>
        </w:rPr>
      </w:pPr>
      <w:r>
        <w:rPr>
          <w:rFonts w:hint="eastAsia"/>
          <w:highlight w:val="none"/>
        </w:rPr>
        <w:t>甲乙双方根据前项的规定，一方严重违反或不履行协议，在被告知的合理期限内仍不改正时，守约方可解除本协议。</w:t>
      </w:r>
    </w:p>
    <w:p>
      <w:pPr>
        <w:pStyle w:val="8"/>
        <w:numPr>
          <w:ilvl w:val="0"/>
          <w:numId w:val="12"/>
        </w:numPr>
        <w:spacing w:line="360" w:lineRule="auto"/>
        <w:ind w:firstLineChars="0"/>
        <w:jc w:val="left"/>
        <w:rPr>
          <w:highlight w:val="none"/>
        </w:rPr>
      </w:pPr>
      <w:r>
        <w:rPr>
          <w:rFonts w:hint="eastAsia"/>
          <w:highlight w:val="none"/>
        </w:rPr>
        <w:t>甲方因商业理由或安全性原因决定终止协议时，甲方应负担乙方到本协议终止时所发生的费用。</w:t>
      </w:r>
    </w:p>
    <w:p>
      <w:pPr>
        <w:pStyle w:val="8"/>
        <w:numPr>
          <w:ilvl w:val="0"/>
          <w:numId w:val="12"/>
        </w:numPr>
        <w:spacing w:line="360" w:lineRule="auto"/>
        <w:ind w:firstLineChars="0"/>
        <w:jc w:val="left"/>
        <w:rPr>
          <w:highlight w:val="none"/>
        </w:rPr>
      </w:pPr>
      <w:r>
        <w:rPr>
          <w:rFonts w:hint="eastAsia"/>
          <w:highlight w:val="none"/>
        </w:rPr>
        <w:t>因乙方原因导致本协议解除或者委托事务不能完成的，甲方可不向乙方支付任何费用。</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第十一条 违约责任</w:t>
      </w:r>
    </w:p>
    <w:p>
      <w:pPr>
        <w:spacing w:line="360" w:lineRule="auto"/>
        <w:ind w:firstLine="405"/>
        <w:jc w:val="left"/>
        <w:rPr>
          <w:rFonts w:hint="eastAsia"/>
          <w:highlight w:val="none"/>
        </w:rPr>
      </w:pPr>
      <w:r>
        <w:rPr>
          <w:rFonts w:hint="eastAsia"/>
          <w:highlight w:val="none"/>
        </w:rPr>
        <w:t>双方应严格履行本协议的约定，因一方违约给他方造成损失应承担赔偿责任。</w:t>
      </w:r>
    </w:p>
    <w:p>
      <w:pPr>
        <w:numPr>
          <w:ilvl w:val="0"/>
          <w:numId w:val="13"/>
        </w:numPr>
        <w:spacing w:line="360" w:lineRule="auto"/>
        <w:jc w:val="left"/>
        <w:rPr>
          <w:rFonts w:hint="eastAsia" w:ascii="Tahoma" w:hAnsi="Tahoma" w:cs="Tahoma"/>
          <w:color w:val="333333"/>
          <w:szCs w:val="21"/>
          <w:highlight w:val="none"/>
        </w:rPr>
      </w:pPr>
      <w:r>
        <w:rPr>
          <w:rFonts w:ascii="Tahoma" w:hAnsi="Tahoma" w:cs="Tahoma"/>
          <w:color w:val="333333"/>
          <w:szCs w:val="21"/>
          <w:highlight w:val="none"/>
        </w:rPr>
        <w:t>甲方应按协议约定向乙方支付相应的费用，逾期支付的，经乙方催告后仍不支付，每逾期一日向乙方支付合同总金额的千分之二作为滞纳金；逾期达</w:t>
      </w:r>
      <w:r>
        <w:rPr>
          <w:rFonts w:hint="eastAsia" w:ascii="Tahoma" w:hAnsi="Tahoma" w:cs="Tahoma"/>
          <w:color w:val="333333"/>
          <w:szCs w:val="21"/>
          <w:highlight w:val="none"/>
        </w:rPr>
        <w:t>20</w:t>
      </w:r>
      <w:r>
        <w:rPr>
          <w:rFonts w:ascii="Tahoma" w:hAnsi="Tahoma" w:cs="Tahoma"/>
          <w:color w:val="333333"/>
          <w:szCs w:val="21"/>
          <w:highlight w:val="none"/>
        </w:rPr>
        <w:t>日，乙方有权解除合同。</w:t>
      </w:r>
    </w:p>
    <w:p>
      <w:pPr>
        <w:numPr>
          <w:ilvl w:val="0"/>
          <w:numId w:val="13"/>
        </w:numPr>
        <w:spacing w:line="360" w:lineRule="auto"/>
        <w:jc w:val="left"/>
        <w:rPr>
          <w:highlight w:val="none"/>
        </w:rPr>
      </w:pPr>
      <w:r>
        <w:rPr>
          <w:rFonts w:ascii="Tahoma" w:hAnsi="Tahoma" w:cs="Tahoma"/>
          <w:color w:val="333333"/>
          <w:szCs w:val="21"/>
          <w:highlight w:val="none"/>
        </w:rPr>
        <w:t>临床试验结束后，乙方拒交试验成果，甲方有权拒绝支付费用并有权解除合同</w:t>
      </w:r>
      <w:r>
        <w:rPr>
          <w:rFonts w:hint="eastAsia" w:ascii="Tahoma" w:hAnsi="Tahoma" w:cs="Tahoma"/>
          <w:color w:val="333333"/>
          <w:szCs w:val="21"/>
          <w:highlight w:val="none"/>
        </w:rPr>
        <w:t>。</w:t>
      </w:r>
    </w:p>
    <w:p>
      <w:pPr>
        <w:spacing w:line="360" w:lineRule="auto"/>
        <w:jc w:val="left"/>
        <w:rPr>
          <w:highlight w:val="none"/>
        </w:rPr>
      </w:pPr>
    </w:p>
    <w:p>
      <w:pPr>
        <w:spacing w:line="360" w:lineRule="auto"/>
        <w:jc w:val="left"/>
        <w:rPr>
          <w:b/>
          <w:sz w:val="32"/>
          <w:szCs w:val="32"/>
          <w:highlight w:val="none"/>
        </w:rPr>
      </w:pPr>
      <w:r>
        <w:rPr>
          <w:rFonts w:hint="eastAsia"/>
          <w:b/>
          <w:sz w:val="32"/>
          <w:szCs w:val="32"/>
          <w:highlight w:val="none"/>
        </w:rPr>
        <w:t>第十二条 争端解决</w:t>
      </w:r>
    </w:p>
    <w:p>
      <w:pPr>
        <w:spacing w:line="360" w:lineRule="auto"/>
        <w:jc w:val="left"/>
        <w:rPr>
          <w:rFonts w:hint="eastAsia" w:ascii="Tahoma" w:hAnsi="Tahoma" w:cs="Tahoma"/>
          <w:color w:val="333333"/>
          <w:szCs w:val="21"/>
          <w:highlight w:val="none"/>
        </w:rPr>
      </w:pPr>
      <w:r>
        <w:rPr>
          <w:rFonts w:hint="eastAsia" w:ascii="Tahoma" w:hAnsi="Tahoma" w:cs="Tahoma"/>
          <w:color w:val="333333"/>
          <w:szCs w:val="21"/>
          <w:highlight w:val="none"/>
        </w:rPr>
        <w:t>1．双方均应严格履行协议中的责任。</w:t>
      </w:r>
    </w:p>
    <w:p>
      <w:pPr>
        <w:spacing w:line="360" w:lineRule="auto"/>
        <w:jc w:val="left"/>
        <w:rPr>
          <w:rFonts w:hint="eastAsia" w:ascii="Tahoma" w:hAnsi="Tahoma" w:cs="Tahoma"/>
          <w:color w:val="333333"/>
          <w:szCs w:val="21"/>
          <w:highlight w:val="none"/>
        </w:rPr>
      </w:pPr>
      <w:r>
        <w:rPr>
          <w:rFonts w:hint="eastAsia" w:ascii="Tahoma" w:hAnsi="Tahoma" w:cs="Tahoma"/>
          <w:color w:val="333333"/>
          <w:szCs w:val="21"/>
          <w:highlight w:val="none"/>
        </w:rPr>
        <w:t>2．在协议执行过程中，如遇到问题，发生争议，甲乙双方应按照公平、诚信原则协商解决。</w:t>
      </w:r>
    </w:p>
    <w:p>
      <w:pPr>
        <w:spacing w:line="360" w:lineRule="auto"/>
        <w:ind w:left="315" w:hanging="315" w:hangingChars="150"/>
        <w:jc w:val="left"/>
        <w:rPr>
          <w:rFonts w:hint="eastAsia" w:ascii="Tahoma" w:hAnsi="Tahoma" w:cs="Tahoma"/>
          <w:color w:val="333333"/>
          <w:szCs w:val="21"/>
          <w:highlight w:val="none"/>
        </w:rPr>
      </w:pPr>
      <w:r>
        <w:rPr>
          <w:rFonts w:hint="eastAsia" w:ascii="Tahoma" w:hAnsi="Tahoma" w:cs="Tahoma"/>
          <w:color w:val="333333"/>
          <w:szCs w:val="21"/>
          <w:highlight w:val="none"/>
        </w:rPr>
        <w:t>3．未尽事宜，双方当另外协商解决，并签署补充协议，补充协议与本协议具有同等法律效力。</w:t>
      </w:r>
    </w:p>
    <w:p>
      <w:pPr>
        <w:spacing w:line="360" w:lineRule="auto"/>
        <w:ind w:left="315" w:hanging="315" w:hangingChars="150"/>
        <w:jc w:val="left"/>
        <w:rPr>
          <w:rFonts w:hint="eastAsia" w:ascii="Tahoma" w:hAnsi="Tahoma" w:cs="Tahoma"/>
          <w:color w:val="333333"/>
          <w:szCs w:val="21"/>
          <w:highlight w:val="none"/>
        </w:rPr>
      </w:pPr>
      <w:r>
        <w:rPr>
          <w:rFonts w:hint="eastAsia" w:ascii="Tahoma" w:hAnsi="Tahoma" w:cs="Tahoma"/>
          <w:color w:val="333333"/>
          <w:szCs w:val="21"/>
          <w:highlight w:val="none"/>
        </w:rPr>
        <w:t>4．就履行本协议甲乙双方出现争议时，首先通过协商解决。协商不成，甲乙双方均可向乙方所在地人民法院提起诉讼。</w:t>
      </w:r>
    </w:p>
    <w:p>
      <w:pPr>
        <w:spacing w:line="360" w:lineRule="auto"/>
        <w:ind w:left="315" w:hanging="315" w:hangingChars="150"/>
        <w:jc w:val="left"/>
        <w:rPr>
          <w:highlight w:val="none"/>
        </w:rPr>
      </w:pPr>
    </w:p>
    <w:p>
      <w:pPr>
        <w:spacing w:line="360" w:lineRule="auto"/>
        <w:jc w:val="left"/>
        <w:rPr>
          <w:b/>
          <w:sz w:val="32"/>
          <w:szCs w:val="32"/>
          <w:highlight w:val="none"/>
        </w:rPr>
      </w:pPr>
      <w:r>
        <w:rPr>
          <w:rFonts w:hint="eastAsia"/>
          <w:b/>
          <w:sz w:val="32"/>
          <w:szCs w:val="32"/>
          <w:highlight w:val="none"/>
        </w:rPr>
        <w:t>第十三条 不可抗力</w:t>
      </w:r>
    </w:p>
    <w:p>
      <w:pPr>
        <w:spacing w:line="360" w:lineRule="auto"/>
        <w:ind w:firstLine="420"/>
        <w:jc w:val="left"/>
        <w:rPr>
          <w:highlight w:val="none"/>
        </w:rPr>
      </w:pPr>
      <w:r>
        <w:rPr>
          <w:rFonts w:hint="eastAsia"/>
          <w:highlight w:val="none"/>
        </w:rPr>
        <w:t>由于天灾、战争、内乱、暴动、劳动争议或者由于政府主管部门改变法律法规等不可抗力致使本协议无法履行的，甲乙双方均不承担责任，但双方精诚合作，尽量使得对方的损失降到最低程度。</w:t>
      </w:r>
    </w:p>
    <w:p>
      <w:pPr>
        <w:spacing w:line="360" w:lineRule="auto"/>
        <w:jc w:val="left"/>
        <w:rPr>
          <w:b/>
          <w:sz w:val="32"/>
          <w:szCs w:val="32"/>
          <w:highlight w:val="none"/>
        </w:rPr>
      </w:pPr>
      <w:r>
        <w:rPr>
          <w:rFonts w:hint="eastAsia"/>
          <w:b/>
          <w:sz w:val="32"/>
          <w:szCs w:val="32"/>
          <w:highlight w:val="none"/>
        </w:rPr>
        <w:t>第十四条 协议期限</w:t>
      </w:r>
    </w:p>
    <w:p>
      <w:pPr>
        <w:spacing w:line="360" w:lineRule="auto"/>
        <w:ind w:firstLine="420"/>
        <w:jc w:val="left"/>
        <w:rPr>
          <w:highlight w:val="none"/>
        </w:rPr>
      </w:pPr>
      <w:r>
        <w:rPr>
          <w:rFonts w:hint="eastAsia"/>
          <w:highlight w:val="none"/>
        </w:rPr>
        <w:t>本协议一式肆份，以中文制作，甲乙双方各执贰份，自签署之日起生效，至本试验结束（或相关报告审核通过）时终止。</w:t>
      </w: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p>
      <w:pPr>
        <w:spacing w:line="360" w:lineRule="auto"/>
        <w:jc w:val="left"/>
        <w:rPr>
          <w:rFonts w:hint="eastAsia"/>
          <w:highlight w:val="none"/>
        </w:rPr>
      </w:pPr>
    </w:p>
    <w:tbl>
      <w:tblPr>
        <w:tblStyle w:val="7"/>
        <w:tblW w:w="8928" w:type="dxa"/>
        <w:jc w:val="center"/>
        <w:tblInd w:w="0" w:type="dxa"/>
        <w:tblLayout w:type="fixed"/>
        <w:tblCellMar>
          <w:top w:w="0" w:type="dxa"/>
          <w:left w:w="108" w:type="dxa"/>
          <w:bottom w:w="0" w:type="dxa"/>
          <w:right w:w="108" w:type="dxa"/>
        </w:tblCellMar>
      </w:tblPr>
      <w:tblGrid>
        <w:gridCol w:w="4248"/>
        <w:gridCol w:w="4680"/>
      </w:tblGrid>
      <w:tr>
        <w:tblPrEx>
          <w:tblLayout w:type="fixed"/>
          <w:tblCellMar>
            <w:top w:w="0" w:type="dxa"/>
            <w:left w:w="108" w:type="dxa"/>
            <w:bottom w:w="0" w:type="dxa"/>
            <w:right w:w="108" w:type="dxa"/>
          </w:tblCellMar>
        </w:tblPrEx>
        <w:trPr>
          <w:jc w:val="center"/>
        </w:trPr>
        <w:tc>
          <w:tcPr>
            <w:tcW w:w="4248" w:type="dxa"/>
            <w:vAlign w:val="center"/>
          </w:tcPr>
          <w:p>
            <w:pPr>
              <w:adjustRightInd w:val="0"/>
              <w:snapToGrid w:val="0"/>
              <w:spacing w:line="360" w:lineRule="auto"/>
              <w:rPr>
                <w:rFonts w:hint="eastAsia"/>
                <w:color w:val="000000"/>
                <w:sz w:val="24"/>
                <w:highlight w:val="none"/>
              </w:rPr>
            </w:pPr>
            <w:r>
              <w:rPr>
                <w:rFonts w:hint="eastAsia"/>
                <w:color w:val="000000"/>
                <w:sz w:val="24"/>
                <w:highlight w:val="none"/>
              </w:rPr>
              <w:t>甲  方：</w:t>
            </w:r>
            <w:r>
              <w:rPr>
                <w:rFonts w:hint="eastAsia" w:ascii="宋体" w:hAnsi="宋体"/>
                <w:color w:val="000000"/>
                <w:sz w:val="24"/>
                <w:highlight w:val="none"/>
              </w:rPr>
              <w:t xml:space="preserve">  </w:t>
            </w:r>
          </w:p>
        </w:tc>
        <w:tc>
          <w:tcPr>
            <w:tcW w:w="4680" w:type="dxa"/>
            <w:vAlign w:val="center"/>
          </w:tcPr>
          <w:p>
            <w:pPr>
              <w:adjustRightInd w:val="0"/>
              <w:snapToGrid w:val="0"/>
              <w:spacing w:line="360" w:lineRule="auto"/>
              <w:rPr>
                <w:rFonts w:hint="eastAsia"/>
                <w:color w:val="000000"/>
                <w:sz w:val="24"/>
                <w:highlight w:val="none"/>
              </w:rPr>
            </w:pPr>
            <w:r>
              <w:rPr>
                <w:rFonts w:hint="eastAsia"/>
                <w:color w:val="000000"/>
                <w:sz w:val="24"/>
                <w:highlight w:val="none"/>
              </w:rPr>
              <w:t>乙  方：</w:t>
            </w:r>
          </w:p>
          <w:p>
            <w:pPr>
              <w:adjustRightInd w:val="0"/>
              <w:snapToGrid w:val="0"/>
              <w:spacing w:line="360" w:lineRule="auto"/>
              <w:rPr>
                <w:rFonts w:hint="eastAsia"/>
                <w:color w:val="000000"/>
                <w:sz w:val="24"/>
                <w:highlight w:val="none"/>
              </w:rPr>
            </w:pPr>
            <w:r>
              <w:rPr>
                <w:rFonts w:hint="eastAsia"/>
                <w:color w:val="000000"/>
                <w:sz w:val="24"/>
                <w:highlight w:val="none"/>
                <w:lang w:eastAsia="zh-CN"/>
              </w:rPr>
              <w:t>安徽省肿瘤</w:t>
            </w:r>
            <w:r>
              <w:rPr>
                <w:rFonts w:hint="eastAsia"/>
                <w:color w:val="000000"/>
                <w:sz w:val="24"/>
                <w:highlight w:val="none"/>
              </w:rPr>
              <w:t>医院</w:t>
            </w:r>
            <w:r>
              <w:rPr>
                <w:rFonts w:hint="eastAsia"/>
                <w:color w:val="000000"/>
                <w:sz w:val="24"/>
                <w:highlight w:val="none"/>
                <w:lang w:val="en-US" w:eastAsia="zh-CN"/>
              </w:rPr>
              <w:t xml:space="preserve"> </w:t>
            </w:r>
            <w:r>
              <w:rPr>
                <w:rFonts w:hint="eastAsia"/>
                <w:color w:val="000000"/>
                <w:sz w:val="24"/>
                <w:highlight w:val="none"/>
              </w:rPr>
              <w:t>药物临床试验</w:t>
            </w:r>
            <w:r>
              <w:rPr>
                <w:rFonts w:hint="eastAsia"/>
                <w:color w:val="000000"/>
                <w:sz w:val="24"/>
                <w:highlight w:val="none"/>
                <w:lang w:eastAsia="zh-CN"/>
              </w:rPr>
              <w:t>机构</w:t>
            </w:r>
            <w:r>
              <w:rPr>
                <w:rFonts w:hint="eastAsia"/>
                <w:color w:val="000000"/>
                <w:sz w:val="24"/>
                <w:highlight w:val="none"/>
              </w:rPr>
              <w:t>（机构</w:t>
            </w:r>
            <w:r>
              <w:rPr>
                <w:color w:val="000000"/>
                <w:sz w:val="24"/>
                <w:highlight w:val="none"/>
              </w:rPr>
              <w:t>）</w:t>
            </w:r>
          </w:p>
        </w:tc>
      </w:tr>
      <w:tr>
        <w:tblPrEx>
          <w:tblLayout w:type="fixed"/>
          <w:tblCellMar>
            <w:top w:w="0" w:type="dxa"/>
            <w:left w:w="108" w:type="dxa"/>
            <w:bottom w:w="0" w:type="dxa"/>
            <w:right w:w="108" w:type="dxa"/>
          </w:tblCellMar>
        </w:tblPrEx>
        <w:trPr>
          <w:jc w:val="center"/>
        </w:trPr>
        <w:tc>
          <w:tcPr>
            <w:tcW w:w="4248" w:type="dxa"/>
            <w:vAlign w:val="top"/>
          </w:tcPr>
          <w:p>
            <w:pPr>
              <w:adjustRightInd w:val="0"/>
              <w:snapToGrid w:val="0"/>
              <w:spacing w:line="360" w:lineRule="auto"/>
              <w:rPr>
                <w:rFonts w:hint="eastAsia"/>
                <w:color w:val="000000"/>
                <w:sz w:val="24"/>
                <w:highlight w:val="none"/>
              </w:rPr>
            </w:pPr>
            <w:r>
              <w:rPr>
                <w:rFonts w:hint="eastAsia"/>
                <w:color w:val="000000"/>
                <w:sz w:val="24"/>
                <w:highlight w:val="none"/>
              </w:rPr>
              <w:t>负责人：</w:t>
            </w: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r>
              <w:rPr>
                <w:rFonts w:hint="eastAsia"/>
                <w:color w:val="000000"/>
                <w:sz w:val="24"/>
                <w:highlight w:val="none"/>
              </w:rPr>
              <w:t>签约时间：  年   月  日</w:t>
            </w:r>
          </w:p>
        </w:tc>
        <w:tc>
          <w:tcPr>
            <w:tcW w:w="4680" w:type="dxa"/>
            <w:vAlign w:val="center"/>
          </w:tcPr>
          <w:p>
            <w:pPr>
              <w:spacing w:line="360" w:lineRule="auto"/>
              <w:rPr>
                <w:rFonts w:hint="eastAsia" w:eastAsiaTheme="minorEastAsia"/>
                <w:b/>
                <w:bCs/>
                <w:color w:val="auto"/>
                <w:sz w:val="24"/>
                <w:highlight w:val="none"/>
                <w:lang w:eastAsia="zh-CN"/>
              </w:rPr>
            </w:pPr>
            <w:r>
              <w:rPr>
                <w:rFonts w:hint="eastAsia"/>
                <w:b/>
                <w:bCs/>
                <w:color w:val="auto"/>
                <w:sz w:val="24"/>
                <w:highlight w:val="none"/>
                <w:lang w:eastAsia="zh-CN"/>
              </w:rPr>
              <w:t>主要研究者：</w:t>
            </w:r>
            <w:r>
              <w:rPr>
                <w:rFonts w:hint="eastAsia"/>
                <w:b/>
                <w:bCs/>
                <w:color w:val="auto"/>
                <w:sz w:val="24"/>
                <w:highlight w:val="none"/>
                <w:u w:val="single"/>
                <w:lang w:val="en-US" w:eastAsia="zh-CN"/>
              </w:rPr>
              <w:t xml:space="preserve">          </w:t>
            </w:r>
            <w:r>
              <w:rPr>
                <w:rFonts w:hint="eastAsia"/>
                <w:b/>
                <w:bCs/>
                <w:color w:val="auto"/>
                <w:sz w:val="24"/>
                <w:highlight w:val="none"/>
                <w:lang w:eastAsia="zh-CN"/>
              </w:rPr>
              <w:t>知晓本协议并了解协议中的需要承担的义务。</w:t>
            </w:r>
          </w:p>
          <w:p>
            <w:pPr>
              <w:spacing w:line="360" w:lineRule="auto"/>
              <w:rPr>
                <w:rFonts w:hint="eastAsia"/>
                <w:b/>
                <w:bCs/>
                <w:color w:val="auto"/>
                <w:sz w:val="24"/>
                <w:highlight w:val="none"/>
                <w:lang w:eastAsia="zh-CN"/>
              </w:rPr>
            </w:pPr>
            <w:r>
              <w:rPr>
                <w:rFonts w:hint="eastAsia"/>
                <w:b/>
                <w:bCs/>
                <w:color w:val="auto"/>
                <w:sz w:val="24"/>
                <w:highlight w:val="none"/>
              </w:rPr>
              <w:t>主要研究者</w:t>
            </w:r>
            <w:r>
              <w:rPr>
                <w:rFonts w:hint="eastAsia"/>
                <w:b/>
                <w:bCs/>
                <w:color w:val="auto"/>
                <w:sz w:val="24"/>
                <w:highlight w:val="none"/>
                <w:lang w:eastAsia="zh-CN"/>
              </w:rPr>
              <w:t>确认：</w:t>
            </w:r>
          </w:p>
          <w:p>
            <w:pPr>
              <w:spacing w:line="360" w:lineRule="auto"/>
              <w:rPr>
                <w:rFonts w:hint="eastAsia"/>
                <w:b/>
                <w:bCs/>
                <w:color w:val="auto"/>
                <w:sz w:val="24"/>
                <w:highlight w:val="none"/>
                <w:lang w:eastAsia="zh-CN"/>
              </w:rPr>
            </w:pPr>
          </w:p>
          <w:p>
            <w:pPr>
              <w:spacing w:line="360" w:lineRule="auto"/>
              <w:rPr>
                <w:rFonts w:hint="eastAsia"/>
                <w:b w:val="0"/>
                <w:bCs w:val="0"/>
                <w:color w:val="auto"/>
                <w:sz w:val="24"/>
                <w:highlight w:val="none"/>
                <w:lang w:eastAsia="zh-CN"/>
              </w:rPr>
            </w:pPr>
            <w:r>
              <w:rPr>
                <w:rFonts w:hint="eastAsia"/>
                <w:b w:val="0"/>
                <w:bCs w:val="0"/>
                <w:color w:val="auto"/>
                <w:sz w:val="24"/>
                <w:highlight w:val="none"/>
                <w:lang w:eastAsia="zh-CN"/>
              </w:rPr>
              <w:t>签名：</w:t>
            </w:r>
          </w:p>
          <w:p>
            <w:pPr>
              <w:spacing w:line="360" w:lineRule="auto"/>
              <w:rPr>
                <w:rFonts w:hint="eastAsia"/>
                <w:color w:val="auto"/>
                <w:sz w:val="24"/>
                <w:highlight w:val="none"/>
              </w:rPr>
            </w:pPr>
          </w:p>
          <w:p>
            <w:pPr>
              <w:spacing w:line="360" w:lineRule="auto"/>
              <w:rPr>
                <w:rFonts w:hint="eastAsia"/>
                <w:color w:val="auto"/>
                <w:sz w:val="24"/>
                <w:highlight w:val="none"/>
                <w:lang w:eastAsia="zh-CN"/>
              </w:rPr>
            </w:pPr>
          </w:p>
          <w:p>
            <w:pPr>
              <w:spacing w:line="360" w:lineRule="auto"/>
              <w:rPr>
                <w:rFonts w:hint="eastAsia"/>
                <w:color w:val="000000"/>
                <w:sz w:val="24"/>
                <w:highlight w:val="none"/>
              </w:rPr>
            </w:pPr>
            <w:r>
              <w:rPr>
                <w:rFonts w:hint="eastAsia"/>
                <w:color w:val="auto"/>
                <w:sz w:val="24"/>
                <w:highlight w:val="none"/>
                <w:lang w:eastAsia="zh-CN"/>
              </w:rPr>
              <w:t>日期</w:t>
            </w:r>
            <w:r>
              <w:rPr>
                <w:rFonts w:hint="eastAsia"/>
                <w:color w:val="auto"/>
                <w:sz w:val="24"/>
                <w:highlight w:val="none"/>
              </w:rPr>
              <w:t>：</w:t>
            </w:r>
            <w:r>
              <w:rPr>
                <w:rFonts w:hint="eastAsia"/>
                <w:color w:val="auto"/>
                <w:sz w:val="24"/>
                <w:highlight w:val="none"/>
                <w:lang w:val="en-US" w:eastAsia="zh-CN"/>
              </w:rPr>
              <w:t xml:space="preserve">         </w:t>
            </w:r>
            <w:r>
              <w:rPr>
                <w:rFonts w:hint="eastAsia"/>
                <w:color w:val="auto"/>
                <w:sz w:val="24"/>
                <w:highlight w:val="none"/>
              </w:rPr>
              <w:t>年   月  日</w:t>
            </w:r>
            <w:r>
              <w:rPr>
                <w:rFonts w:hint="eastAsia"/>
                <w:color w:val="auto"/>
                <w:sz w:val="24"/>
                <w:highlight w:val="none"/>
                <w:lang w:val="en-US" w:eastAsia="zh-CN"/>
              </w:rPr>
              <w:t xml:space="preserve"> </w:t>
            </w:r>
          </w:p>
        </w:tc>
      </w:tr>
      <w:tr>
        <w:tblPrEx>
          <w:tblLayout w:type="fixed"/>
          <w:tblCellMar>
            <w:top w:w="0" w:type="dxa"/>
            <w:left w:w="108" w:type="dxa"/>
            <w:bottom w:w="0" w:type="dxa"/>
            <w:right w:w="108" w:type="dxa"/>
          </w:tblCellMar>
        </w:tblPrEx>
        <w:trPr>
          <w:jc w:val="center"/>
        </w:trPr>
        <w:tc>
          <w:tcPr>
            <w:tcW w:w="4248" w:type="dxa"/>
            <w:vAlign w:val="top"/>
          </w:tcPr>
          <w:p>
            <w:pPr>
              <w:adjustRightInd w:val="0"/>
              <w:snapToGrid w:val="0"/>
              <w:spacing w:line="360" w:lineRule="auto"/>
              <w:rPr>
                <w:rFonts w:hint="eastAsia"/>
                <w:color w:val="000000"/>
                <w:sz w:val="24"/>
                <w:highlight w:val="none"/>
              </w:rPr>
            </w:pPr>
          </w:p>
        </w:tc>
        <w:tc>
          <w:tcPr>
            <w:tcW w:w="4680" w:type="dxa"/>
            <w:vAlign w:val="center"/>
          </w:tcPr>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r>
              <w:rPr>
                <w:rFonts w:hint="eastAsia"/>
                <w:color w:val="000000"/>
                <w:sz w:val="24"/>
                <w:highlight w:val="none"/>
              </w:rPr>
              <w:t>机构代表：</w:t>
            </w: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r>
              <w:rPr>
                <w:rFonts w:hint="eastAsia"/>
                <w:color w:val="000000"/>
                <w:sz w:val="24"/>
                <w:highlight w:val="none"/>
              </w:rPr>
              <w:t xml:space="preserve">签约时间：   </w:t>
            </w:r>
            <w:r>
              <w:rPr>
                <w:rFonts w:hint="eastAsia"/>
                <w:color w:val="000000"/>
                <w:sz w:val="24"/>
                <w:highlight w:val="none"/>
                <w:lang w:val="en-US" w:eastAsia="zh-CN"/>
              </w:rPr>
              <w:t xml:space="preserve">     </w:t>
            </w:r>
            <w:r>
              <w:rPr>
                <w:rFonts w:hint="eastAsia"/>
                <w:color w:val="000000"/>
                <w:sz w:val="24"/>
                <w:highlight w:val="none"/>
              </w:rPr>
              <w:t>年   月  日</w:t>
            </w:r>
          </w:p>
        </w:tc>
      </w:tr>
      <w:tr>
        <w:tblPrEx>
          <w:tblLayout w:type="fixed"/>
          <w:tblCellMar>
            <w:top w:w="0" w:type="dxa"/>
            <w:left w:w="108" w:type="dxa"/>
            <w:bottom w:w="0" w:type="dxa"/>
            <w:right w:w="108" w:type="dxa"/>
          </w:tblCellMar>
        </w:tblPrEx>
        <w:trPr>
          <w:jc w:val="center"/>
        </w:trPr>
        <w:tc>
          <w:tcPr>
            <w:tcW w:w="4248" w:type="dxa"/>
            <w:vAlign w:val="top"/>
          </w:tcPr>
          <w:p>
            <w:pPr>
              <w:adjustRightInd w:val="0"/>
              <w:snapToGrid w:val="0"/>
              <w:spacing w:line="360" w:lineRule="auto"/>
              <w:rPr>
                <w:rFonts w:hint="eastAsia"/>
                <w:color w:val="000000"/>
                <w:sz w:val="24"/>
                <w:highlight w:val="none"/>
              </w:rPr>
            </w:pPr>
            <w:r>
              <w:rPr>
                <w:rFonts w:hint="eastAsia"/>
                <w:color w:val="000000"/>
                <w:sz w:val="24"/>
                <w:highlight w:val="none"/>
              </w:rPr>
              <w:t>单位盖章：</w:t>
            </w:r>
          </w:p>
        </w:tc>
        <w:tc>
          <w:tcPr>
            <w:tcW w:w="4680" w:type="dxa"/>
            <w:vAlign w:val="center"/>
          </w:tcPr>
          <w:p>
            <w:pPr>
              <w:adjustRightInd w:val="0"/>
              <w:snapToGrid w:val="0"/>
              <w:spacing w:line="360" w:lineRule="auto"/>
              <w:rPr>
                <w:rFonts w:hint="eastAsia"/>
                <w:color w:val="000000"/>
                <w:sz w:val="24"/>
                <w:highlight w:val="none"/>
              </w:rPr>
            </w:pPr>
            <w:r>
              <w:rPr>
                <w:rFonts w:hint="eastAsia"/>
                <w:color w:val="000000"/>
                <w:sz w:val="24"/>
                <w:highlight w:val="none"/>
              </w:rPr>
              <w:t xml:space="preserve">机构盖章： </w:t>
            </w: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p>
            <w:pPr>
              <w:adjustRightInd w:val="0"/>
              <w:snapToGrid w:val="0"/>
              <w:spacing w:line="360" w:lineRule="auto"/>
              <w:rPr>
                <w:rFonts w:hint="eastAsia"/>
                <w:color w:val="000000"/>
                <w:sz w:val="24"/>
                <w:highlight w:val="none"/>
              </w:rPr>
            </w:pPr>
          </w:p>
        </w:tc>
      </w:tr>
    </w:tbl>
    <w:p>
      <w:pPr>
        <w:spacing w:line="360" w:lineRule="auto"/>
        <w:rPr>
          <w:rFonts w:hint="eastAsia"/>
          <w:highlight w:val="none"/>
        </w:rPr>
        <w:sectPr>
          <w:footerReference r:id="rId4" w:type="default"/>
          <w:pgSz w:w="11906" w:h="16838"/>
          <w:pgMar w:top="1440" w:right="1800" w:bottom="1440" w:left="1800" w:header="851" w:footer="992" w:gutter="0"/>
          <w:pgNumType w:fmt="decimal" w:start="1"/>
          <w:cols w:space="720" w:num="1"/>
          <w:docGrid w:type="lines" w:linePitch="312" w:charSpace="0"/>
        </w:sectPr>
      </w:pPr>
    </w:p>
    <w:p>
      <w:pPr>
        <w:spacing w:line="360" w:lineRule="auto"/>
        <w:rPr>
          <w:rFonts w:hint="eastAsia"/>
          <w:highlight w:val="none"/>
        </w:rPr>
      </w:pPr>
    </w:p>
    <w:p>
      <w:pPr>
        <w:rPr>
          <w:highlight w:val="none"/>
        </w:rPr>
      </w:pPr>
    </w:p>
    <w:sectPr>
      <w:type w:val="continuous"/>
      <w:pgSz w:w="11906" w:h="16838"/>
      <w:pgMar w:top="1440" w:right="1800" w:bottom="1440" w:left="1800" w:header="851" w:footer="992" w:gutter="0"/>
      <w:pgNumType w:fmt="decimal"/>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rPr>
        <w:rFonts w:hint="eastAsia"/>
        <w:lang w:eastAsia="zh-CN"/>
      </w:rPr>
    </w:pPr>
  </w:p>
  <w:p>
    <w:pPr>
      <w:pStyle w:val="4"/>
      <w:pBdr>
        <w:bottom w:val="single" w:color="auto" w:sz="4" w:space="1"/>
      </w:pBdr>
    </w:pPr>
    <w:r>
      <w:rPr>
        <w:rFonts w:hint="eastAsia"/>
        <w:lang w:eastAsia="zh-CN"/>
      </w:rPr>
      <w:t>安徽省肿瘤</w:t>
    </w:r>
    <w:r>
      <w:rPr>
        <w:rFonts w:hint="eastAsia"/>
      </w:rPr>
      <w:t xml:space="preserve">医院  药物临床试验机构            </w:t>
    </w:r>
    <w:r>
      <w:rPr>
        <w:rFonts w:hint="eastAsia"/>
        <w:lang w:val="en-US" w:eastAsia="zh-CN"/>
      </w:rPr>
      <w:t xml:space="preserve">                        </w:t>
    </w:r>
    <w:r>
      <w:rPr>
        <w:rFonts w:hint="eastAsia"/>
      </w:rPr>
      <w:t>文件编号：</w:t>
    </w:r>
    <w:r>
      <w:t>JG-</w:t>
    </w:r>
    <w:r>
      <w:rPr>
        <w:rFonts w:hint="eastAsia"/>
      </w:rPr>
      <w:t>form</w:t>
    </w:r>
    <w:r>
      <w:t>-003</w:t>
    </w:r>
    <w:r>
      <w:rPr>
        <w:rFonts w:hint="eastAsia"/>
      </w:rPr>
      <w:t>-1.</w:t>
    </w:r>
    <w:r>
      <w:rPr>
        <w:rFonts w:hint="eastAsia"/>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6E"/>
    <w:multiLevelType w:val="multilevel"/>
    <w:tmpl w:val="09BF246E"/>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0B921A12"/>
    <w:multiLevelType w:val="multilevel"/>
    <w:tmpl w:val="0B921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DC917BD"/>
    <w:multiLevelType w:val="multilevel"/>
    <w:tmpl w:val="0DC917B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3A77546"/>
    <w:multiLevelType w:val="multilevel"/>
    <w:tmpl w:val="23A7754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3493D5E"/>
    <w:multiLevelType w:val="multilevel"/>
    <w:tmpl w:val="33493D5E"/>
    <w:lvl w:ilvl="0" w:tentative="0">
      <w:start w:val="1"/>
      <w:numFmt w:val="decimal"/>
      <w:lvlText w:val="%1."/>
      <w:lvlJc w:val="left"/>
      <w:pPr>
        <w:ind w:left="360" w:hanging="360"/>
      </w:pPr>
      <w:rPr>
        <w:rFonts w:ascii="Calibri" w:hAnsi="Calibri"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63A12D7"/>
    <w:multiLevelType w:val="multilevel"/>
    <w:tmpl w:val="363A12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6E238E6"/>
    <w:multiLevelType w:val="multilevel"/>
    <w:tmpl w:val="36E238E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5B8645E"/>
    <w:multiLevelType w:val="multilevel"/>
    <w:tmpl w:val="45B864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DBC5B15"/>
    <w:multiLevelType w:val="multilevel"/>
    <w:tmpl w:val="4DBC5B15"/>
    <w:lvl w:ilvl="0" w:tentative="0">
      <w:start w:val="10"/>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3ADDC40"/>
    <w:multiLevelType w:val="singleLevel"/>
    <w:tmpl w:val="53ADDC40"/>
    <w:lvl w:ilvl="0" w:tentative="0">
      <w:start w:val="1"/>
      <w:numFmt w:val="decimal"/>
      <w:lvlText w:val="%1."/>
      <w:lvlJc w:val="left"/>
      <w:pPr>
        <w:ind w:left="425" w:hanging="425"/>
      </w:pPr>
      <w:rPr>
        <w:rFonts w:hint="default"/>
      </w:rPr>
    </w:lvl>
  </w:abstractNum>
  <w:abstractNum w:abstractNumId="10">
    <w:nsid w:val="5410295F"/>
    <w:multiLevelType w:val="multilevel"/>
    <w:tmpl w:val="541029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29A7952"/>
    <w:multiLevelType w:val="multilevel"/>
    <w:tmpl w:val="629A795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DA518A3"/>
    <w:multiLevelType w:val="multilevel"/>
    <w:tmpl w:val="6DA518A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0"/>
  </w:num>
  <w:num w:numId="2">
    <w:abstractNumId w:val="11"/>
  </w:num>
  <w:num w:numId="3">
    <w:abstractNumId w:val="3"/>
  </w:num>
  <w:num w:numId="4">
    <w:abstractNumId w:val="8"/>
  </w:num>
  <w:num w:numId="5">
    <w:abstractNumId w:val="5"/>
  </w:num>
  <w:num w:numId="6">
    <w:abstractNumId w:val="9"/>
  </w:num>
  <w:num w:numId="7">
    <w:abstractNumId w:val="2"/>
  </w:num>
  <w:num w:numId="8">
    <w:abstractNumId w:val="4"/>
  </w:num>
  <w:num w:numId="9">
    <w:abstractNumId w:val="12"/>
  </w:num>
  <w:num w:numId="10">
    <w:abstractNumId w:val="0"/>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74E35"/>
    <w:rsid w:val="04963DF6"/>
    <w:rsid w:val="062B43D4"/>
    <w:rsid w:val="092210E9"/>
    <w:rsid w:val="260D71C3"/>
    <w:rsid w:val="4A881827"/>
    <w:rsid w:val="4C077862"/>
    <w:rsid w:val="53584A8A"/>
    <w:rsid w:val="5515308E"/>
    <w:rsid w:val="5DDA197B"/>
    <w:rsid w:val="62EF1F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0"/>
    <w:pPr>
      <w:spacing w:before="240" w:after="60"/>
      <w:jc w:val="center"/>
      <w:outlineLvl w:val="0"/>
    </w:pPr>
    <w:rPr>
      <w:rFonts w:ascii="Cambria" w:hAnsi="Cambria"/>
      <w:b/>
      <w:bCs/>
      <w:kern w:val="0"/>
      <w:sz w:val="32"/>
      <w:szCs w:val="32"/>
    </w:rPr>
  </w:style>
  <w:style w:type="paragraph" w:customStyle="1" w:styleId="8">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c:creator>
  <cp:lastModifiedBy>SachsenYang</cp:lastModifiedBy>
  <cp:lastPrinted>2018-04-28T07:58:00Z</cp:lastPrinted>
  <dcterms:modified xsi:type="dcterms:W3CDTF">2018-06-20T03:02:29Z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