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836E8">
      <w:pPr>
        <w:spacing w:line="360" w:lineRule="auto"/>
        <w:jc w:val="center"/>
        <w:outlineLvl w:val="0"/>
        <w:rPr>
          <w:rFonts w:hint="eastAsia"/>
        </w:rPr>
      </w:pPr>
      <w:bookmarkStart w:id="0" w:name="_Toc9596"/>
      <w:r>
        <w:rPr>
          <w:rFonts w:hint="eastAsia"/>
          <w:b/>
          <w:sz w:val="32"/>
          <w:lang w:val="en-US" w:eastAsia="zh-CN"/>
        </w:rPr>
        <w:t>附件：</w:t>
      </w:r>
      <w:bookmarkStart w:id="11" w:name="_GoBack"/>
      <w:bookmarkEnd w:id="11"/>
      <w:r>
        <w:rPr>
          <w:rFonts w:hint="eastAsia"/>
          <w:b/>
          <w:sz w:val="32"/>
        </w:rPr>
        <w:t xml:space="preserve"> 采购需求</w:t>
      </w:r>
      <w:bookmarkEnd w:id="0"/>
    </w:p>
    <w:p w14:paraId="6BABCCB3">
      <w:pPr>
        <w:outlineLvl w:val="1"/>
        <w:rPr>
          <w:rFonts w:ascii="宋体" w:hAnsi="宋体"/>
          <w:b/>
        </w:rPr>
      </w:pPr>
      <w:bookmarkStart w:id="1" w:name="_Toc20993"/>
      <w:bookmarkStart w:id="2" w:name="_Toc10989"/>
      <w:bookmarkStart w:id="3" w:name="_Toc15170"/>
      <w:bookmarkStart w:id="4" w:name="_Toc10062"/>
      <w:bookmarkStart w:id="5" w:name="_Toc11247"/>
      <w:bookmarkStart w:id="6" w:name="_Toc8025"/>
      <w:bookmarkStart w:id="7" w:name="_Toc22987"/>
      <w:bookmarkStart w:id="8" w:name="_Toc17276"/>
      <w:bookmarkStart w:id="9" w:name="_Toc553"/>
      <w:r>
        <w:rPr>
          <w:rFonts w:hint="eastAsia" w:ascii="宋体" w:hAnsi="宋体"/>
          <w:b/>
        </w:rPr>
        <w:t>一、要求：</w:t>
      </w:r>
      <w:r>
        <w:rPr>
          <w:rFonts w:hint="eastAsia"/>
          <w:b/>
        </w:rPr>
        <w:t>以下条款如投标人参与投标，视为投标人自动响应。</w:t>
      </w:r>
      <w:bookmarkEnd w:id="1"/>
      <w:bookmarkEnd w:id="2"/>
      <w:bookmarkEnd w:id="3"/>
      <w:bookmarkEnd w:id="4"/>
      <w:bookmarkEnd w:id="5"/>
      <w:bookmarkEnd w:id="6"/>
      <w:bookmarkEnd w:id="7"/>
      <w:bookmarkEnd w:id="8"/>
      <w:bookmarkEnd w:id="9"/>
    </w:p>
    <w:p w14:paraId="07466BE8">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457DCE89">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61AA6F64">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7C46BF0B">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2C195B7C">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2D3177B7">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6E47CA5C">
      <w:pPr>
        <w:ind w:firstLine="482" w:firstLineChars="200"/>
        <w:rPr>
          <w:rFonts w:hint="eastAsia" w:ascii="宋体" w:hAnsi="宋体"/>
          <w:b/>
          <w:color w:val="000000"/>
        </w:rPr>
      </w:pPr>
      <w:r>
        <w:rPr>
          <w:rFonts w:hint="eastAsia" w:ascii="宋体" w:hAnsi="宋体"/>
          <w:b/>
          <w:color w:val="000000"/>
        </w:rPr>
        <w:t>7、乙方须将供应的医用物资包括但不限于医用耗材、检验试剂、后勤物资等，纳入甲方医用物资SPD智慧物流管理模式进行一元化管理，与甲方SPD服务商签订服务协议并承担相关的服务费，具体服务费率由乙方与SPD服务商协商，服务费率不高于医院与SPD服务商约定的收费标准（现行服务费率为供货金额的1%，北城院区为1.2%；如后期甲方与SPD服务商约定的服务费率发生变动，以甲方与SPD服务商签订合同约定的服务费率为准）。如乙方不予配合，甲方有权终止与乙方的医用物资供应关系或选择备选医用物资中标人。</w:t>
      </w:r>
    </w:p>
    <w:p w14:paraId="3CC12EC0">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2FE0CE17">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0" w:name="_Hlk100612830"/>
      <w:r>
        <w:rPr>
          <w:rFonts w:hint="eastAsia"/>
          <w:b/>
          <w:color w:val="000000"/>
        </w:rPr>
        <w:t>如不提供的评标委员会</w:t>
      </w:r>
      <w:bookmarkEnd w:id="10"/>
      <w:r>
        <w:rPr>
          <w:rFonts w:hint="eastAsia"/>
          <w:b/>
          <w:color w:val="000000"/>
        </w:rPr>
        <w:t>有权否决其投标</w:t>
      </w:r>
      <w:r>
        <w:rPr>
          <w:rFonts w:hint="eastAsia" w:ascii="宋体" w:hAnsi="宋体"/>
          <w:b/>
          <w:color w:val="000000"/>
        </w:rPr>
        <w:t>。</w:t>
      </w:r>
    </w:p>
    <w:p w14:paraId="1E265CD1">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5F45E845">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5875DB10">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131AA4FD">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03B9578B">
      <w:pPr>
        <w:ind w:firstLine="482" w:firstLineChars="200"/>
        <w:rPr>
          <w:rFonts w:hint="eastAsia" w:ascii="宋体" w:hAnsi="宋体"/>
          <w:b/>
          <w:color w:val="000000"/>
        </w:rPr>
      </w:pPr>
      <w:r>
        <w:rPr>
          <w:rFonts w:hint="eastAsia" w:ascii="宋体" w:hAnsi="宋体"/>
          <w:b/>
          <w:color w:val="000000"/>
        </w:rPr>
        <w:br w:type="textWrapping"/>
      </w:r>
      <w:r>
        <w:rPr>
          <w:rFonts w:hint="eastAsia" w:ascii="宋体" w:hAnsi="宋体"/>
          <w:b/>
          <w:color w:val="000000"/>
        </w:rPr>
        <w:t xml:space="preserve"> </w:t>
      </w:r>
    </w:p>
    <w:p w14:paraId="6938A3B0">
      <w:pPr>
        <w:pStyle w:val="4"/>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二、不满足技术要求中“★”参数的,属于重大偏离，会对最终评审产生较大影响。</w:t>
      </w:r>
    </w:p>
    <w:p w14:paraId="2754FB0D">
      <w:pPr>
        <w:wordWrap w:val="0"/>
        <w:spacing w:line="360" w:lineRule="auto"/>
        <w:jc w:val="left"/>
        <w:rPr>
          <w:rFonts w:hint="eastAsia" w:ascii="黑体" w:hAnsi="黑体" w:eastAsia="黑体"/>
          <w:bCs/>
          <w:sz w:val="21"/>
          <w:szCs w:val="21"/>
        </w:rPr>
      </w:pPr>
      <w:r>
        <w:rPr>
          <w:rFonts w:hint="eastAsia" w:ascii="宋体" w:hAnsi="宋体"/>
          <w:b/>
          <w:color w:val="000000"/>
        </w:rPr>
        <w:t>三、主要技术参数</w:t>
      </w:r>
    </w:p>
    <w:p w14:paraId="6F2E9643">
      <w:pPr>
        <w:wordWrap w:val="0"/>
        <w:spacing w:line="360" w:lineRule="auto"/>
        <w:jc w:val="left"/>
        <w:rPr>
          <w:rFonts w:hint="eastAsia" w:ascii="宋体" w:hAnsi="宋体" w:eastAsia="宋体" w:cs="Times New Roman"/>
          <w:bCs/>
          <w:szCs w:val="21"/>
        </w:rPr>
      </w:pPr>
      <w:r>
        <w:rPr>
          <w:rFonts w:hint="eastAsia" w:ascii="宋体" w:hAnsi="宋体"/>
          <w:b/>
          <w:szCs w:val="21"/>
        </w:rPr>
        <w:t>1、</w:t>
      </w:r>
      <w:r>
        <w:rPr>
          <w:rFonts w:hint="eastAsia" w:ascii="宋体" w:hAnsi="宋体" w:eastAsia="宋体" w:cs="Times New Roman"/>
          <w:bCs/>
          <w:szCs w:val="21"/>
          <w:lang w:val="en-US" w:eastAsia="zh-CN"/>
        </w:rPr>
        <w:t>本项目为科医人钬激光手术系统维修维保，具体设备明细如下表：</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219"/>
        <w:gridCol w:w="2266"/>
        <w:gridCol w:w="1160"/>
        <w:gridCol w:w="2130"/>
        <w:gridCol w:w="1199"/>
      </w:tblGrid>
      <w:tr w14:paraId="00A4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op w:val="single" w:color="auto" w:sz="4" w:space="0"/>
              <w:left w:val="single" w:color="auto" w:sz="4" w:space="0"/>
              <w:bottom w:val="single" w:color="auto" w:sz="4" w:space="0"/>
              <w:right w:val="single" w:color="auto" w:sz="4" w:space="0"/>
            </w:tcBorders>
            <w:noWrap w:val="0"/>
            <w:vAlign w:val="center"/>
          </w:tcPr>
          <w:p w14:paraId="65DBCD3B">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序号</w:t>
            </w:r>
          </w:p>
        </w:tc>
        <w:tc>
          <w:tcPr>
            <w:tcW w:w="715" w:type="pct"/>
            <w:tcBorders>
              <w:top w:val="single" w:color="auto" w:sz="4" w:space="0"/>
              <w:left w:val="nil"/>
              <w:bottom w:val="single" w:color="auto" w:sz="4" w:space="0"/>
              <w:right w:val="single" w:color="auto" w:sz="4" w:space="0"/>
            </w:tcBorders>
            <w:noWrap w:val="0"/>
            <w:vAlign w:val="center"/>
          </w:tcPr>
          <w:p w14:paraId="2A439FAF">
            <w:pPr>
              <w:wordWrap w:val="0"/>
              <w:spacing w:line="360" w:lineRule="auto"/>
              <w:ind w:firstLine="240" w:firstLineChars="100"/>
              <w:jc w:val="left"/>
              <w:rPr>
                <w:rFonts w:hint="eastAsia" w:ascii="宋体" w:hAnsi="宋体" w:eastAsia="宋体" w:cs="Times New Roman"/>
                <w:bCs/>
                <w:szCs w:val="21"/>
              </w:rPr>
            </w:pPr>
            <w:r>
              <w:rPr>
                <w:rFonts w:hint="eastAsia" w:ascii="宋体" w:hAnsi="宋体" w:eastAsia="宋体" w:cs="Times New Roman"/>
                <w:bCs/>
                <w:szCs w:val="21"/>
                <w:lang w:val="en-US" w:eastAsia="zh-CN"/>
              </w:rPr>
              <w:t>名称</w:t>
            </w:r>
          </w:p>
        </w:tc>
        <w:tc>
          <w:tcPr>
            <w:tcW w:w="1329" w:type="pct"/>
            <w:tcBorders>
              <w:top w:val="single" w:color="auto" w:sz="4" w:space="0"/>
              <w:left w:val="nil"/>
              <w:bottom w:val="single" w:color="auto" w:sz="4" w:space="0"/>
              <w:right w:val="single" w:color="auto" w:sz="4" w:space="0"/>
            </w:tcBorders>
            <w:noWrap w:val="0"/>
            <w:vAlign w:val="center"/>
          </w:tcPr>
          <w:p w14:paraId="36430A52">
            <w:pPr>
              <w:wordWrap w:val="0"/>
              <w:spacing w:line="360" w:lineRule="auto"/>
              <w:ind w:firstLine="720" w:firstLineChars="300"/>
              <w:jc w:val="left"/>
              <w:rPr>
                <w:rFonts w:hint="eastAsia" w:ascii="宋体" w:hAnsi="宋体" w:eastAsia="宋体" w:cs="Times New Roman"/>
                <w:bCs/>
                <w:szCs w:val="21"/>
              </w:rPr>
            </w:pPr>
            <w:r>
              <w:rPr>
                <w:rFonts w:hint="eastAsia" w:ascii="宋体" w:hAnsi="宋体" w:eastAsia="宋体" w:cs="Times New Roman"/>
                <w:bCs/>
                <w:szCs w:val="21"/>
                <w:lang w:val="en-US" w:eastAsia="zh-CN"/>
              </w:rPr>
              <w:t>型号</w:t>
            </w:r>
          </w:p>
        </w:tc>
        <w:tc>
          <w:tcPr>
            <w:tcW w:w="680" w:type="pct"/>
            <w:tcBorders>
              <w:top w:val="single" w:color="auto" w:sz="4" w:space="0"/>
              <w:left w:val="nil"/>
              <w:bottom w:val="single" w:color="auto" w:sz="4" w:space="0"/>
              <w:right w:val="single" w:color="auto" w:sz="4" w:space="0"/>
            </w:tcBorders>
            <w:noWrap w:val="0"/>
            <w:vAlign w:val="center"/>
          </w:tcPr>
          <w:p w14:paraId="0CFB3835">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序列号</w:t>
            </w:r>
          </w:p>
        </w:tc>
        <w:tc>
          <w:tcPr>
            <w:tcW w:w="1249" w:type="pct"/>
            <w:tcBorders>
              <w:top w:val="single" w:color="auto" w:sz="4" w:space="0"/>
              <w:left w:val="nil"/>
              <w:bottom w:val="single" w:color="auto" w:sz="4" w:space="0"/>
              <w:right w:val="single" w:color="auto" w:sz="4" w:space="0"/>
            </w:tcBorders>
            <w:noWrap w:val="0"/>
            <w:vAlign w:val="center"/>
          </w:tcPr>
          <w:p w14:paraId="5B74AF35">
            <w:pPr>
              <w:wordWrap w:val="0"/>
              <w:spacing w:line="360" w:lineRule="auto"/>
              <w:ind w:firstLine="720" w:firstLineChars="300"/>
              <w:jc w:val="left"/>
              <w:rPr>
                <w:rFonts w:hint="eastAsia" w:ascii="宋体" w:hAnsi="宋体" w:eastAsia="宋体" w:cs="Times New Roman"/>
                <w:bCs/>
                <w:szCs w:val="21"/>
              </w:rPr>
            </w:pPr>
            <w:r>
              <w:rPr>
                <w:rFonts w:hint="eastAsia" w:ascii="宋体" w:hAnsi="宋体" w:eastAsia="宋体" w:cs="Times New Roman"/>
                <w:bCs/>
                <w:szCs w:val="21"/>
                <w:lang w:val="en-US" w:eastAsia="zh-CN"/>
              </w:rPr>
              <w:t>位置</w:t>
            </w:r>
          </w:p>
        </w:tc>
        <w:tc>
          <w:tcPr>
            <w:tcW w:w="703" w:type="pct"/>
            <w:tcBorders>
              <w:top w:val="single" w:color="auto" w:sz="4" w:space="0"/>
              <w:left w:val="nil"/>
              <w:bottom w:val="single" w:color="auto" w:sz="4" w:space="0"/>
              <w:right w:val="single" w:color="auto" w:sz="4" w:space="0"/>
            </w:tcBorders>
            <w:noWrap w:val="0"/>
            <w:vAlign w:val="center"/>
          </w:tcPr>
          <w:p w14:paraId="32AAC477">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维保形式</w:t>
            </w:r>
          </w:p>
        </w:tc>
      </w:tr>
      <w:tr w14:paraId="0F69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op w:val="single" w:color="auto" w:sz="4" w:space="0"/>
              <w:left w:val="single" w:color="auto" w:sz="4" w:space="0"/>
              <w:bottom w:val="single" w:color="auto" w:sz="4" w:space="0"/>
              <w:right w:val="single" w:color="auto" w:sz="4" w:space="0"/>
            </w:tcBorders>
            <w:noWrap w:val="0"/>
            <w:vAlign w:val="center"/>
          </w:tcPr>
          <w:p w14:paraId="434C68A2">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1</w:t>
            </w:r>
          </w:p>
        </w:tc>
        <w:tc>
          <w:tcPr>
            <w:tcW w:w="715" w:type="pct"/>
            <w:tcBorders>
              <w:top w:val="single" w:color="auto" w:sz="4" w:space="0"/>
              <w:left w:val="nil"/>
              <w:bottom w:val="single" w:color="auto" w:sz="4" w:space="0"/>
              <w:right w:val="single" w:color="auto" w:sz="4" w:space="0"/>
            </w:tcBorders>
            <w:noWrap w:val="0"/>
            <w:vAlign w:val="center"/>
          </w:tcPr>
          <w:p w14:paraId="5266CA2B">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钬激光手术系统</w:t>
            </w:r>
          </w:p>
        </w:tc>
        <w:tc>
          <w:tcPr>
            <w:tcW w:w="1329" w:type="pct"/>
            <w:tcBorders>
              <w:top w:val="single" w:color="auto" w:sz="4" w:space="0"/>
              <w:left w:val="nil"/>
              <w:bottom w:val="single" w:color="auto" w:sz="4" w:space="0"/>
              <w:right w:val="single" w:color="auto" w:sz="4" w:space="0"/>
            </w:tcBorders>
            <w:noWrap w:val="0"/>
            <w:vAlign w:val="center"/>
          </w:tcPr>
          <w:p w14:paraId="567A3236">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 xml:space="preserve"> Lumenis pulse 100H</w:t>
            </w:r>
          </w:p>
        </w:tc>
        <w:tc>
          <w:tcPr>
            <w:tcW w:w="680" w:type="pct"/>
            <w:tcBorders>
              <w:top w:val="single" w:color="auto" w:sz="4" w:space="0"/>
              <w:left w:val="nil"/>
              <w:bottom w:val="single" w:color="auto" w:sz="4" w:space="0"/>
              <w:right w:val="single" w:color="auto" w:sz="4" w:space="0"/>
            </w:tcBorders>
            <w:noWrap w:val="0"/>
            <w:vAlign w:val="center"/>
          </w:tcPr>
          <w:p w14:paraId="06645C52">
            <w:pPr>
              <w:wordWrap w:val="0"/>
              <w:spacing w:line="360" w:lineRule="auto"/>
              <w:ind w:firstLine="240" w:firstLineChars="100"/>
              <w:jc w:val="left"/>
              <w:rPr>
                <w:rFonts w:hint="eastAsia" w:ascii="宋体" w:hAnsi="宋体" w:eastAsia="宋体" w:cs="Times New Roman"/>
                <w:bCs/>
                <w:szCs w:val="21"/>
              </w:rPr>
            </w:pPr>
            <w:r>
              <w:rPr>
                <w:rFonts w:hint="eastAsia" w:ascii="宋体" w:hAnsi="宋体" w:eastAsia="宋体" w:cs="Times New Roman"/>
                <w:bCs/>
                <w:szCs w:val="21"/>
                <w:lang w:val="en-US" w:eastAsia="zh-CN"/>
              </w:rPr>
              <w:t>193</w:t>
            </w:r>
          </w:p>
        </w:tc>
        <w:tc>
          <w:tcPr>
            <w:tcW w:w="1249" w:type="pct"/>
            <w:tcBorders>
              <w:top w:val="single" w:color="auto" w:sz="4" w:space="0"/>
              <w:left w:val="nil"/>
              <w:bottom w:val="single" w:color="auto" w:sz="4" w:space="0"/>
              <w:right w:val="single" w:color="auto" w:sz="4" w:space="0"/>
            </w:tcBorders>
            <w:noWrap w:val="0"/>
            <w:vAlign w:val="center"/>
          </w:tcPr>
          <w:p w14:paraId="214FEF48">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主体大楼5楼手术室</w:t>
            </w:r>
          </w:p>
        </w:tc>
        <w:tc>
          <w:tcPr>
            <w:tcW w:w="703" w:type="pct"/>
            <w:tcBorders>
              <w:top w:val="single" w:color="auto" w:sz="4" w:space="0"/>
              <w:left w:val="nil"/>
              <w:bottom w:val="single" w:color="auto" w:sz="4" w:space="0"/>
              <w:right w:val="single" w:color="auto" w:sz="4" w:space="0"/>
            </w:tcBorders>
            <w:noWrap w:val="0"/>
            <w:vAlign w:val="center"/>
          </w:tcPr>
          <w:p w14:paraId="13CEB392">
            <w:pPr>
              <w:wordWrap w:val="0"/>
              <w:spacing w:line="360" w:lineRule="auto"/>
              <w:ind w:firstLine="240" w:firstLineChars="100"/>
              <w:jc w:val="left"/>
              <w:rPr>
                <w:rFonts w:hint="eastAsia" w:ascii="宋体" w:hAnsi="宋体" w:eastAsia="宋体" w:cs="Times New Roman"/>
                <w:bCs/>
                <w:szCs w:val="21"/>
              </w:rPr>
            </w:pPr>
            <w:r>
              <w:rPr>
                <w:rFonts w:hint="eastAsia" w:ascii="宋体" w:hAnsi="宋体" w:eastAsia="宋体" w:cs="Times New Roman"/>
                <w:bCs/>
                <w:szCs w:val="21"/>
                <w:lang w:val="en-US" w:eastAsia="zh-CN"/>
              </w:rPr>
              <w:t>全保</w:t>
            </w:r>
          </w:p>
        </w:tc>
      </w:tr>
      <w:tr w14:paraId="4B1D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op w:val="single" w:color="auto" w:sz="4" w:space="0"/>
              <w:left w:val="single" w:color="auto" w:sz="4" w:space="0"/>
              <w:bottom w:val="single" w:color="auto" w:sz="4" w:space="0"/>
              <w:right w:val="single" w:color="auto" w:sz="4" w:space="0"/>
            </w:tcBorders>
            <w:noWrap w:val="0"/>
            <w:vAlign w:val="center"/>
          </w:tcPr>
          <w:p w14:paraId="4988C623">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2</w:t>
            </w:r>
          </w:p>
        </w:tc>
        <w:tc>
          <w:tcPr>
            <w:tcW w:w="715" w:type="pct"/>
            <w:tcBorders>
              <w:top w:val="single" w:color="auto" w:sz="4" w:space="0"/>
              <w:left w:val="nil"/>
              <w:bottom w:val="single" w:color="auto" w:sz="4" w:space="0"/>
              <w:right w:val="single" w:color="auto" w:sz="4" w:space="0"/>
            </w:tcBorders>
            <w:noWrap w:val="0"/>
            <w:vAlign w:val="center"/>
          </w:tcPr>
          <w:p w14:paraId="504FB60E">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钬激光手术系统</w:t>
            </w:r>
          </w:p>
        </w:tc>
        <w:tc>
          <w:tcPr>
            <w:tcW w:w="1329" w:type="pct"/>
            <w:tcBorders>
              <w:top w:val="single" w:color="auto" w:sz="4" w:space="0"/>
              <w:left w:val="nil"/>
              <w:bottom w:val="single" w:color="auto" w:sz="4" w:space="0"/>
              <w:right w:val="single" w:color="auto" w:sz="4" w:space="0"/>
            </w:tcBorders>
            <w:noWrap w:val="0"/>
            <w:vAlign w:val="center"/>
          </w:tcPr>
          <w:p w14:paraId="7BD1E182">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 xml:space="preserve"> Lumenis pulse 100H</w:t>
            </w:r>
          </w:p>
        </w:tc>
        <w:tc>
          <w:tcPr>
            <w:tcW w:w="680" w:type="pct"/>
            <w:tcBorders>
              <w:top w:val="single" w:color="auto" w:sz="4" w:space="0"/>
              <w:left w:val="nil"/>
              <w:bottom w:val="single" w:color="auto" w:sz="4" w:space="0"/>
              <w:right w:val="single" w:color="auto" w:sz="4" w:space="0"/>
            </w:tcBorders>
            <w:noWrap w:val="0"/>
            <w:vAlign w:val="center"/>
          </w:tcPr>
          <w:p w14:paraId="6CE3156A">
            <w:pPr>
              <w:wordWrap w:val="0"/>
              <w:spacing w:line="360" w:lineRule="auto"/>
              <w:ind w:firstLine="240" w:firstLineChars="100"/>
              <w:jc w:val="left"/>
              <w:rPr>
                <w:rFonts w:hint="eastAsia" w:ascii="宋体" w:hAnsi="宋体" w:eastAsia="宋体" w:cs="Times New Roman"/>
                <w:bCs/>
                <w:szCs w:val="21"/>
              </w:rPr>
            </w:pPr>
            <w:r>
              <w:rPr>
                <w:rFonts w:hint="eastAsia" w:ascii="宋体" w:hAnsi="宋体" w:eastAsia="宋体" w:cs="Times New Roman"/>
                <w:bCs/>
                <w:szCs w:val="21"/>
                <w:lang w:val="en-US" w:eastAsia="zh-CN"/>
              </w:rPr>
              <w:t>822</w:t>
            </w:r>
          </w:p>
        </w:tc>
        <w:tc>
          <w:tcPr>
            <w:tcW w:w="1249" w:type="pct"/>
            <w:tcBorders>
              <w:top w:val="single" w:color="auto" w:sz="4" w:space="0"/>
              <w:left w:val="nil"/>
              <w:bottom w:val="single" w:color="auto" w:sz="4" w:space="0"/>
              <w:right w:val="single" w:color="auto" w:sz="4" w:space="0"/>
            </w:tcBorders>
            <w:noWrap w:val="0"/>
            <w:vAlign w:val="center"/>
          </w:tcPr>
          <w:p w14:paraId="7ABB6DB5">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南区一部手术室</w:t>
            </w:r>
          </w:p>
        </w:tc>
        <w:tc>
          <w:tcPr>
            <w:tcW w:w="703" w:type="pct"/>
            <w:tcBorders>
              <w:top w:val="single" w:color="auto" w:sz="4" w:space="0"/>
              <w:left w:val="nil"/>
              <w:bottom w:val="single" w:color="auto" w:sz="4" w:space="0"/>
              <w:right w:val="single" w:color="auto" w:sz="4" w:space="0"/>
            </w:tcBorders>
            <w:noWrap w:val="0"/>
            <w:vAlign w:val="center"/>
          </w:tcPr>
          <w:p w14:paraId="1FFF8107">
            <w:pPr>
              <w:wordWrap w:val="0"/>
              <w:spacing w:line="360" w:lineRule="auto"/>
              <w:ind w:firstLine="240" w:firstLineChars="100"/>
              <w:jc w:val="left"/>
              <w:rPr>
                <w:rFonts w:hint="eastAsia" w:ascii="宋体" w:hAnsi="宋体" w:eastAsia="宋体" w:cs="Times New Roman"/>
                <w:bCs/>
                <w:szCs w:val="21"/>
              </w:rPr>
            </w:pPr>
            <w:r>
              <w:rPr>
                <w:rFonts w:hint="eastAsia" w:ascii="宋体" w:hAnsi="宋体" w:eastAsia="宋体" w:cs="Times New Roman"/>
                <w:bCs/>
                <w:szCs w:val="21"/>
                <w:lang w:val="en-US" w:eastAsia="zh-CN"/>
              </w:rPr>
              <w:t>全保</w:t>
            </w:r>
          </w:p>
        </w:tc>
      </w:tr>
    </w:tbl>
    <w:p w14:paraId="352E5EBE">
      <w:pPr>
        <w:numPr>
          <w:ilvl w:val="0"/>
          <w:numId w:val="1"/>
        </w:num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全保（服务+配件+定期维保）所有配件免费。</w:t>
      </w:r>
    </w:p>
    <w:p w14:paraId="75A65E17">
      <w:pPr>
        <w:numPr>
          <w:ilvl w:val="0"/>
          <w:numId w:val="0"/>
        </w:num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3、提供全程技术及常规配件支持，配件响应时间24小时到达现场。</w:t>
      </w:r>
    </w:p>
    <w:p w14:paraId="0D3C7905">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4、24小时×365天技术电话支持。</w:t>
      </w:r>
    </w:p>
    <w:p w14:paraId="04759081">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5、接到医院报修，工程师须在24小时内到达现场。</w:t>
      </w:r>
    </w:p>
    <w:p w14:paraId="0C23DE73">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6、保证年开机率在95%以上，若保修期内设备开机率低于95%，每超过1天延保3天。</w:t>
      </w:r>
    </w:p>
    <w:p w14:paraId="3E1C1B34">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7、提供远程服务。</w:t>
      </w:r>
    </w:p>
    <w:p w14:paraId="3160F5CF">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8、根据合同每季度提供≥1次预防性保养及巡检，保养、巡检后留记录交科室存档。</w:t>
      </w:r>
    </w:p>
    <w:p w14:paraId="13C5A285">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9、提供设备质量保证，符合国家相关质控标准。</w:t>
      </w:r>
    </w:p>
    <w:p w14:paraId="37440F78">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10、本次维保时间至</w:t>
      </w:r>
      <w:r>
        <w:rPr>
          <w:rFonts w:hint="default" w:ascii="宋体" w:hAnsi="宋体" w:eastAsia="宋体" w:cs="Times New Roman"/>
          <w:bCs/>
          <w:szCs w:val="21"/>
          <w:lang w:val="en-US" w:eastAsia="zh-CN"/>
        </w:rPr>
        <w:t>2027</w:t>
      </w:r>
      <w:r>
        <w:rPr>
          <w:rFonts w:hint="eastAsia" w:ascii="宋体" w:hAnsi="宋体" w:eastAsia="宋体" w:cs="Times New Roman"/>
          <w:bCs/>
          <w:szCs w:val="21"/>
          <w:lang w:val="en-US" w:eastAsia="zh-CN"/>
        </w:rPr>
        <w:t>年</w:t>
      </w:r>
      <w:r>
        <w:rPr>
          <w:rFonts w:hint="default" w:ascii="宋体" w:hAnsi="宋体" w:eastAsia="宋体" w:cs="Times New Roman"/>
          <w:bCs/>
          <w:szCs w:val="21"/>
          <w:lang w:val="en-US" w:eastAsia="zh-CN"/>
        </w:rPr>
        <w:t>12</w:t>
      </w:r>
      <w:r>
        <w:rPr>
          <w:rFonts w:hint="eastAsia" w:ascii="宋体" w:hAnsi="宋体" w:eastAsia="宋体" w:cs="Times New Roman"/>
          <w:bCs/>
          <w:szCs w:val="21"/>
          <w:lang w:val="en-US" w:eastAsia="zh-CN"/>
        </w:rPr>
        <w:t>月</w:t>
      </w:r>
      <w:r>
        <w:rPr>
          <w:rFonts w:hint="default" w:ascii="宋体" w:hAnsi="宋体" w:eastAsia="宋体" w:cs="Times New Roman"/>
          <w:bCs/>
          <w:szCs w:val="21"/>
          <w:lang w:val="en-US" w:eastAsia="zh-CN"/>
        </w:rPr>
        <w:t>31</w:t>
      </w:r>
      <w:r>
        <w:rPr>
          <w:rFonts w:hint="eastAsia" w:ascii="宋体" w:hAnsi="宋体" w:eastAsia="宋体" w:cs="Times New Roman"/>
          <w:bCs/>
          <w:szCs w:val="21"/>
          <w:lang w:val="en-US" w:eastAsia="zh-CN"/>
        </w:rPr>
        <w:t>日。</w:t>
      </w:r>
    </w:p>
    <w:p w14:paraId="27EBFDB1">
      <w:pPr>
        <w:wordWrap w:val="0"/>
        <w:spacing w:line="360" w:lineRule="auto"/>
        <w:jc w:val="left"/>
        <w:rPr>
          <w:rFonts w:hint="eastAsia"/>
          <w:b/>
        </w:rPr>
      </w:pPr>
      <w:r>
        <w:rPr>
          <w:rFonts w:hint="eastAsia"/>
          <w:b/>
        </w:rPr>
        <w:t>备注：以上服务内容，必须完全响应，否则按无效标处理。</w:t>
      </w:r>
    </w:p>
    <w:p w14:paraId="44A4A2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168D1E"/>
    <w:multiLevelType w:val="singleLevel"/>
    <w:tmpl w:val="6F168D1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6A5"/>
    <w:rsid w:val="00286B1F"/>
    <w:rsid w:val="003612B9"/>
    <w:rsid w:val="00FB06A5"/>
    <w:rsid w:val="718A088C"/>
    <w:rsid w:val="77253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520" w:lineRule="exact"/>
    </w:pPr>
    <w:rPr>
      <w:rFonts w:eastAsia="微软简仿宋"/>
      <w:sz w:val="28"/>
    </w:rPr>
  </w:style>
  <w:style w:type="paragraph" w:styleId="3">
    <w:name w:val="Body Text Indent"/>
    <w:basedOn w:val="1"/>
    <w:uiPriority w:val="0"/>
    <w:pPr>
      <w:ind w:firstLine="570"/>
    </w:pPr>
    <w:rPr>
      <w:rFonts w:ascii="黑体" w:eastAsia="仿宋_GB2312"/>
      <w:sz w:val="28"/>
    </w:rPr>
  </w:style>
  <w:style w:type="paragraph" w:styleId="4">
    <w:name w:val="Body Text First Indent 2"/>
    <w:basedOn w:val="3"/>
    <w:qFormat/>
    <w:uiPriority w:val="0"/>
    <w:pPr>
      <w:spacing w:after="120"/>
      <w:ind w:left="420" w:leftChars="200" w:firstLine="420" w:firstLineChars="200"/>
    </w:pPr>
    <w:rPr>
      <w:sz w:val="21"/>
      <w:szCs w:val="24"/>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qFormat/>
    <w:uiPriority w:val="99"/>
    <w:rPr>
      <w:color w:val="03515D"/>
      <w:u w:val="none"/>
    </w:rPr>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2332</Words>
  <Characters>2819</Characters>
  <Lines>95</Lines>
  <Paragraphs>87</Paragraphs>
  <TotalTime>0</TotalTime>
  <ScaleCrop>false</ScaleCrop>
  <LinksUpToDate>false</LinksUpToDate>
  <CharactersWithSpaces>2851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2026-04-16T02:20:00Z</dcterms:created>
  <dc:creator>Administrator</dc:creator>
  <cp:lastModifiedBy>Administrator</cp:lastModifiedBy>
  <dcterms:modified xsi:type="dcterms:W3CDTF">2026-04-21T02:38:51Z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eyJoZGlkIjoiOWY4MDNjZmJiZmMxMzNkZTI1NmY4ZGM5ZTE5NDM1NmMiLCJ1c2VySWQiOiIzOTczODgwOTIifQ==</vt:lpwstr>
  </property>
  <property fmtid="{D5CDD505-2E9C-101B-9397-08002B2CF9AE}" pid="4" name="ICV">
    <vt:lpwstr>7C23649609D44EFB95E935325F84B259_12</vt:lpwstr>
  </property>
</Properties>
</file>