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1E3FE">
      <w:pPr>
        <w:spacing w:line="360" w:lineRule="auto"/>
        <w:jc w:val="center"/>
        <w:outlineLvl w:val="0"/>
        <w:rPr>
          <w:rFonts w:hint="eastAsia"/>
        </w:rPr>
      </w:pPr>
      <w:bookmarkStart w:id="0" w:name="_Toc9596"/>
      <w:r>
        <w:rPr>
          <w:rFonts w:hint="eastAsia"/>
          <w:b/>
          <w:sz w:val="32"/>
          <w:lang w:val="en-US" w:eastAsia="zh-CN"/>
        </w:rPr>
        <w:t>附件：</w:t>
      </w:r>
      <w:bookmarkStart w:id="11" w:name="_GoBack"/>
      <w:bookmarkEnd w:id="11"/>
      <w:r>
        <w:rPr>
          <w:rFonts w:hint="eastAsia"/>
          <w:b/>
          <w:sz w:val="32"/>
        </w:rPr>
        <w:t>采购需求</w:t>
      </w:r>
      <w:bookmarkEnd w:id="0"/>
    </w:p>
    <w:p w14:paraId="6CF64928">
      <w:pPr>
        <w:outlineLvl w:val="1"/>
        <w:rPr>
          <w:rFonts w:ascii="宋体" w:hAnsi="宋体"/>
          <w:b/>
        </w:rPr>
      </w:pPr>
      <w:bookmarkStart w:id="1" w:name="_Toc11247"/>
      <w:bookmarkStart w:id="2" w:name="_Toc17276"/>
      <w:bookmarkStart w:id="3" w:name="_Toc553"/>
      <w:bookmarkStart w:id="4" w:name="_Toc10062"/>
      <w:bookmarkStart w:id="5" w:name="_Toc10989"/>
      <w:bookmarkStart w:id="6" w:name="_Toc15170"/>
      <w:bookmarkStart w:id="7" w:name="_Toc22987"/>
      <w:bookmarkStart w:id="8" w:name="_Toc8025"/>
      <w:bookmarkStart w:id="9" w:name="_Toc20993"/>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13D02F45">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1188E4A2">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0F594048">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43BE649C">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7F57FA7D">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47BFD095">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52238F5D">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4935D844">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703179D">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50EC417A">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49B5B68B">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4B152BA6">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0EA98B35">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1811A882">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7FCBC4F6">
      <w:pPr>
        <w:pStyle w:val="4"/>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54AD5BDB">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02B8A9D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1.服务范围：本次维保覆盖贝克曼品牌流式细胞仪共 1 台，具体为中区检验科NAVIOS 1 台。</w:t>
      </w:r>
    </w:p>
    <w:p w14:paraId="69DFF380">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2.服务模式：采用全保模式，涵盖技术服务、配件供应及定期维保，所有配件免费提供；不在保修范围内的配件，需单独报价。</w:t>
      </w:r>
    </w:p>
    <w:p w14:paraId="5F578F8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3.配件与技术支持：提供全程技术支持及常规配件保障，配件响应时间≤24 小时并送达现场；提供 7×24 小时全天候技术电话支持，保障技术咨询即时响应。</w:t>
      </w:r>
    </w:p>
    <w:p w14:paraId="7AD4CA20">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4.现场响应时效：接到医院正式报修后，工程师需在 2 小时内抵达现场处置，故障未排除前不得擅自离场。</w:t>
      </w:r>
    </w:p>
    <w:p w14:paraId="15AD5977">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5.开机率保障：确保设备年开机率≥95%；若保修期内单台 / 整体设备开机率低于 95%，按实际耽误天数的 3 倍免费延长维保期限，延保期内服务标准与原合同一致。</w:t>
      </w:r>
    </w:p>
    <w:p w14:paraId="64650E58">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6.远程与巡检服务：提供远程技术诊断、调试等服务；每季度开展 1 次预防性保养及巡检，完成后出具书面记录并移交科室存档，巡检记录需包含设备运行状态、保养内容、隐患整改建议等。</w:t>
      </w:r>
    </w:p>
    <w:p w14:paraId="51E9E688">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7.升级与接口服务：合同期内，供应商无偿提供新版本系统软件、硬件及安全升级服务，同步完成医院系统接口改造，并提供软件售后保修，升级后需保障设备与医院现有系统兼容、数据传输稳定。</w:t>
      </w:r>
    </w:p>
    <w:p w14:paraId="5F99DF5D">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8.质量与合规：设备维保质量符合国家相关质控标准及行业规范，维保过程中需做好设备校准、性能验证，确保检测结果准确可靠。</w:t>
      </w:r>
    </w:p>
    <w:p w14:paraId="3E9763AE">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9.服务周期与结算：维保至2027年12月31日；若因供应商原因导致服务提前终止，按实际服务工作日据实结算费用，同时供应商需承担相应违约责任；若因医院原因终止，双方协商结算。</w:t>
      </w:r>
    </w:p>
    <w:p w14:paraId="60045C6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10.人员与培训：派驻现场 / 驻场工程师需具备贝克曼流式细胞仪原厂认证资质，合同期内每年至少提供 1 次设备操作、维护、故障排查的免费培训。</w:t>
      </w:r>
    </w:p>
    <w:p w14:paraId="5BCC38F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11.故障处置与记录：建立设备故障台账，详细记录报修时间、故障原因、处置过程、修复时间等，定期向医院提交维保服务报告，接受医院监督考核。</w:t>
      </w:r>
    </w:p>
    <w:p w14:paraId="1E7BE043">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12.应急保障：若设备出现重大故障无法短期修复，供应商需在 48 小时内提供备用设备或替代检测方案，保障医院诊疗 / 科研工作正常开展。</w:t>
      </w:r>
    </w:p>
    <w:p w14:paraId="2269DC8A">
      <w:pPr>
        <w:wordWrap w:val="0"/>
        <w:spacing w:line="360" w:lineRule="auto"/>
        <w:jc w:val="left"/>
        <w:rPr>
          <w:rFonts w:hint="eastAsia"/>
          <w:b/>
        </w:rPr>
      </w:pPr>
      <w:r>
        <w:rPr>
          <w:rFonts w:hint="eastAsia"/>
          <w:b/>
        </w:rPr>
        <w:t>备注：以上服务内容，必须完全响应，否则按无效标处理。</w:t>
      </w:r>
    </w:p>
    <w:p w14:paraId="6C905B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74AAE"/>
    <w:rsid w:val="1CE1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eastAsia="微软简仿宋"/>
      <w:sz w:val="28"/>
    </w:rPr>
  </w:style>
  <w:style w:type="paragraph" w:styleId="3">
    <w:name w:val="Body Text Indent"/>
    <w:basedOn w:val="1"/>
    <w:uiPriority w:val="0"/>
    <w:pPr>
      <w:ind w:firstLine="570"/>
    </w:pPr>
    <w:rPr>
      <w:rFonts w:ascii="黑体" w:eastAsia="仿宋_GB2312"/>
      <w:sz w:val="28"/>
    </w:rPr>
  </w:style>
  <w:style w:type="paragraph" w:styleId="4">
    <w:name w:val="Body Text First Indent 2"/>
    <w:basedOn w:val="3"/>
    <w:qFormat/>
    <w:uiPriority w:val="0"/>
    <w:pPr>
      <w:spacing w:after="120"/>
      <w:ind w:left="420" w:leftChars="200" w:firstLine="420" w:firstLineChars="200"/>
    </w:pPr>
    <w:rPr>
      <w:sz w:val="21"/>
      <w:szCs w:val="24"/>
    </w:rPr>
  </w:style>
  <w:style w:type="character" w:styleId="7">
    <w:name w:val="Hyperlink"/>
    <w:uiPriority w:val="99"/>
    <w:rPr>
      <w:color w:val="03515D"/>
      <w:u w:val="none"/>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2300</Words>
  <Characters>2752</Characters>
  <Lines>0</Lines>
  <Paragraphs>0</Paragraphs>
  <TotalTime>0</TotalTime>
  <ScaleCrop>false</ScaleCrop>
  <LinksUpToDate>false</LinksUpToDate>
  <CharactersWithSpaces>2772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2026-04-16T02:22:00Z</dcterms:created>
  <dc:creator>Administrator</dc:creator>
  <cp:lastModifiedBy>Administrator</cp:lastModifiedBy>
  <dcterms:modified xsi:type="dcterms:W3CDTF">2026-04-21T02:39:46Z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3A106874E5AD4C39A2C9B978F25EC50B_12</vt:lpwstr>
  </property>
</Properties>
</file>