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46937">
      <w:pPr>
        <w:spacing w:line="360" w:lineRule="auto"/>
        <w:jc w:val="center"/>
        <w:outlineLvl w:val="0"/>
        <w:rPr>
          <w:rFonts w:hint="eastAsia"/>
        </w:rPr>
      </w:pPr>
      <w:bookmarkStart w:id="0" w:name="_Toc26798"/>
      <w:r>
        <w:rPr>
          <w:rFonts w:hint="eastAsia"/>
          <w:b/>
          <w:sz w:val="32"/>
          <w:lang w:val="en-US" w:eastAsia="zh-CN"/>
        </w:rPr>
        <w:t>附件：</w:t>
      </w:r>
      <w:bookmarkStart w:id="2" w:name="_GoBack"/>
      <w:bookmarkEnd w:id="2"/>
      <w:r>
        <w:rPr>
          <w:rFonts w:hint="eastAsia"/>
          <w:b/>
          <w:sz w:val="32"/>
        </w:rPr>
        <w:t>采购需求</w:t>
      </w:r>
      <w:bookmarkEnd w:id="0"/>
    </w:p>
    <w:p w14:paraId="4C55B5AE">
      <w:pPr>
        <w:rPr>
          <w:rFonts w:ascii="宋体" w:hAnsi="宋体"/>
          <w:b/>
        </w:rPr>
      </w:pPr>
      <w:r>
        <w:rPr>
          <w:rFonts w:hint="eastAsia" w:ascii="宋体" w:hAnsi="宋体"/>
          <w:b/>
        </w:rPr>
        <w:t>一、要求：</w:t>
      </w:r>
      <w:r>
        <w:rPr>
          <w:rFonts w:hint="eastAsia"/>
          <w:b/>
        </w:rPr>
        <w:t>以下条款如投标人参与投标，视为投标人自动响应。</w:t>
      </w:r>
    </w:p>
    <w:p w14:paraId="2535A3B7">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45E9D3FD">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03CC1FD3">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0523D3C6">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2713DE0D">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0EDC0943">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143921C1">
      <w:pPr>
        <w:ind w:firstLine="482" w:firstLineChars="200"/>
        <w:rPr>
          <w:rFonts w:hint="eastAsia" w:ascii="宋体" w:hAnsi="宋体"/>
          <w:b/>
          <w:color w:val="000000"/>
        </w:rPr>
      </w:pPr>
      <w:r>
        <w:rPr>
          <w:rFonts w:hint="eastAsia" w:ascii="宋体" w:hAnsi="宋体"/>
          <w:b/>
          <w:color w:val="000000"/>
        </w:rPr>
        <w:t>7、乙方须将供应的医用物资包括但不限于医用耗材、检验试剂、后勤物资等，纳入甲方医用物资SPD智慧物流管理模式进行一元化管理，与甲方SPD服务商签订服务协议并承担相关的服务费，具体服务费率由乙方与SPD服务商协商，服务费率不高于医院与SPD服务商约定的收费标准（现行服务费率为供货金额的1%，北城院区为1.2%；如后期甲方与SPD服务商约定的服务费率发生变动，以甲方与SPD服务商签订合同约定的服务费率为准）。如乙方不予配合，甲方有权终止与乙方的医用物资供应关系或选择备选医用物资中标人。</w:t>
      </w:r>
    </w:p>
    <w:p w14:paraId="4C8346C6">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57D25AC5">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 w:name="_Hlk100612830"/>
      <w:r>
        <w:rPr>
          <w:rFonts w:hint="eastAsia"/>
          <w:b/>
          <w:color w:val="000000"/>
        </w:rPr>
        <w:t>如不提供的评标委员会</w:t>
      </w:r>
      <w:bookmarkEnd w:id="1"/>
      <w:r>
        <w:rPr>
          <w:rFonts w:hint="eastAsia"/>
          <w:b/>
          <w:color w:val="000000"/>
        </w:rPr>
        <w:t>有权否决其投标</w:t>
      </w:r>
      <w:r>
        <w:rPr>
          <w:rFonts w:hint="eastAsia" w:ascii="宋体" w:hAnsi="宋体"/>
          <w:b/>
          <w:color w:val="000000"/>
        </w:rPr>
        <w:t>。</w:t>
      </w:r>
    </w:p>
    <w:p w14:paraId="639C7BD7">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667FADC5">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3513BE0D">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5BA73D73">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29222860">
      <w:pPr>
        <w:pStyle w:val="6"/>
        <w:ind w:left="0" w:leftChars="0" w:firstLine="0" w:firstLineChars="0"/>
        <w:rPr>
          <w:rFonts w:hint="eastAsia" w:ascii="宋体" w:hAnsi="宋体" w:eastAsia="宋体"/>
          <w:b/>
          <w:color w:val="000000"/>
          <w:sz w:val="24"/>
          <w:szCs w:val="20"/>
        </w:rPr>
      </w:pPr>
    </w:p>
    <w:p w14:paraId="32134D32">
      <w:pPr>
        <w:pStyle w:val="6"/>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二、不满足技术要求中“★”参数的,属于重大偏离，会对最终评审产生较大影响。</w:t>
      </w:r>
    </w:p>
    <w:p w14:paraId="1B26A02D">
      <w:pPr>
        <w:pStyle w:val="6"/>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三、主要技术参数</w:t>
      </w:r>
    </w:p>
    <w:p w14:paraId="703F6315">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1.用于人血清中纤维结合蛋白浓度的定量测定；</w:t>
      </w:r>
    </w:p>
    <w:p w14:paraId="4F2B8BC0">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2.方法学：乳胶增强免疫比浊法；</w:t>
      </w:r>
    </w:p>
    <w:p w14:paraId="2EF144D1">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3.精密度：批内CV≤10.0%，批间相对极差≤10.0%；</w:t>
      </w:r>
    </w:p>
    <w:p w14:paraId="68C3170F">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4.准确度：回收率在(100±20%)范围内；</w:t>
      </w:r>
    </w:p>
    <w:p w14:paraId="1C2F0371">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5.与科室现有贝克曼全自动生化分析仪AU5800配套使用。若不配套，设备请一并报价；</w:t>
      </w:r>
    </w:p>
    <w:p w14:paraId="76430527">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6.请报齐各规格；</w:t>
      </w:r>
    </w:p>
    <w:p w14:paraId="52281759">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7.供应期3年，至2029年9月30日止；</w:t>
      </w:r>
    </w:p>
    <w:p w14:paraId="258C5842">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b/>
          <w:color w:val="000000"/>
        </w:rPr>
        <w:t>★</w:t>
      </w:r>
      <w:r>
        <w:rPr>
          <w:rFonts w:hint="eastAsia" w:ascii="宋体" w:hAnsi="宋体" w:cs="宋体"/>
          <w:iCs/>
          <w:szCs w:val="24"/>
          <w:lang w:bidi="ar"/>
        </w:rPr>
        <w:t>8.属于国家医保医用耗材分类与代码数据库内的医用耗材均需纳入安徽省集中采购平台，提供集采流水号，进行线上采购交易；</w:t>
      </w:r>
    </w:p>
    <w:p w14:paraId="299C5A2C">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b/>
          <w:color w:val="000000"/>
        </w:rPr>
        <w:t>★</w:t>
      </w:r>
      <w:r>
        <w:rPr>
          <w:rFonts w:hint="eastAsia" w:ascii="宋体" w:hAnsi="宋体" w:cs="宋体"/>
          <w:iCs/>
          <w:szCs w:val="24"/>
          <w:lang w:bidi="ar"/>
        </w:rPr>
        <w:t>9.可单独收费医用耗材，必须具备国家及安徽省医保医用耗材编码；</w:t>
      </w:r>
    </w:p>
    <w:p w14:paraId="222C634D">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b/>
          <w:color w:val="000000"/>
        </w:rPr>
        <w:t>★</w:t>
      </w:r>
      <w:r>
        <w:rPr>
          <w:rFonts w:hint="eastAsia" w:ascii="宋体" w:hAnsi="宋体" w:cs="宋体"/>
          <w:iCs/>
          <w:szCs w:val="24"/>
          <w:lang w:bidi="ar"/>
        </w:rPr>
        <w:t>10.属安徽省医用耗材政策管理范围内产品，需满足要求（如“集采”、“两票制”等）；</w:t>
      </w:r>
    </w:p>
    <w:p w14:paraId="71A514D9">
      <w:r>
        <w:rPr>
          <w:rFonts w:hint="eastAsia" w:ascii="宋体" w:hAnsi="宋体"/>
          <w:b/>
          <w:color w:val="000000"/>
        </w:rPr>
        <w:t>★</w:t>
      </w:r>
      <w:r>
        <w:rPr>
          <w:rFonts w:hint="eastAsia" w:ascii="宋体" w:hAnsi="宋体" w:cs="宋体"/>
          <w:iCs/>
          <w:szCs w:val="24"/>
          <w:lang w:bidi="ar"/>
        </w:rPr>
        <w:t>11.属于院SPD管理范畴产品，需按医院医用物资SPD供应链模式统一管理。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04793B"/>
    <w:rsid w:val="7EAF0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20" w:lineRule="exact"/>
    </w:pPr>
    <w:rPr>
      <w:rFonts w:eastAsia="微软简仿宋"/>
      <w:sz w:val="28"/>
    </w:rPr>
  </w:style>
  <w:style w:type="paragraph" w:customStyle="1" w:styleId="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4">
    <w:name w:val="Body Text Indent"/>
    <w:basedOn w:val="1"/>
    <w:uiPriority w:val="0"/>
    <w:pPr>
      <w:ind w:firstLine="570"/>
    </w:pPr>
    <w:rPr>
      <w:rFonts w:ascii="黑体" w:eastAsia="仿宋_GB2312"/>
      <w:sz w:val="28"/>
    </w:rPr>
  </w:style>
  <w:style w:type="paragraph" w:styleId="5">
    <w:name w:val="Normal (Web)"/>
    <w:basedOn w:val="1"/>
    <w:qFormat/>
    <w:uiPriority w:val="0"/>
    <w:pPr>
      <w:widowControl/>
      <w:spacing w:before="100" w:beforeAutospacing="1" w:after="100" w:afterAutospacing="1"/>
      <w:jc w:val="left"/>
    </w:pPr>
    <w:rPr>
      <w:rFonts w:ascii="宋体" w:hAnsi="宋体" w:cs="宋体"/>
      <w:kern w:val="0"/>
      <w:szCs w:val="24"/>
    </w:rPr>
  </w:style>
  <w:style w:type="paragraph" w:styleId="6">
    <w:name w:val="Body Text First Indent 2"/>
    <w:basedOn w:val="4"/>
    <w:qFormat/>
    <w:uiPriority w:val="0"/>
    <w:pPr>
      <w:spacing w:after="120"/>
      <w:ind w:left="420" w:leftChars="200" w:firstLine="420" w:firstLineChars="200"/>
    </w:pPr>
    <w:rPr>
      <w:sz w:val="21"/>
      <w:szCs w:val="24"/>
    </w:rPr>
  </w:style>
  <w:style w:type="character" w:styleId="9">
    <w:name w:val="Hyperlink"/>
    <w:qFormat/>
    <w:uiPriority w:val="99"/>
    <w:rPr>
      <w:color w:val="03515D"/>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2931</Words>
  <Characters>3375</Characters>
  <Lines>0</Lines>
  <Paragraphs>0</Paragraphs>
  <TotalTime>0</TotalTime>
  <ScaleCrop>false</ScaleCrop>
  <LinksUpToDate>false</LinksUpToDate>
  <CharactersWithSpaces>3395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2026-04-16T02:29:00Z</dcterms:created>
  <dc:creator>Administrator</dc:creator>
  <cp:lastModifiedBy>Administrator</cp:lastModifiedBy>
  <dcterms:modified xsi:type="dcterms:W3CDTF">2026-04-21T02:59:32Z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eyJoZGlkIjoiOWY4MDNjZmJiZmMxMzNkZTI1NmY4ZGM5ZTE5NDM1NmMiLCJ1c2VySWQiOiIzOTczODgwOTIifQ==</vt:lpwstr>
  </property>
  <property fmtid="{D5CDD505-2E9C-101B-9397-08002B2CF9AE}" pid="4" name="ICV">
    <vt:lpwstr>71881C85BE114841AEF1C52867BE0B44_12</vt:lpwstr>
  </property>
</Properties>
</file>