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C0BFB">
      <w:pPr>
        <w:pStyle w:val="6"/>
        <w:numPr>
          <w:ilvl w:val="0"/>
          <w:numId w:val="2"/>
        </w:numPr>
        <w:spacing w:before="240" w:after="240"/>
        <w:ind w:left="2693"/>
        <w:rPr>
          <w:sz w:val="32"/>
          <w:szCs w:val="32"/>
          <w:highlight w:val="none"/>
        </w:rPr>
      </w:pPr>
      <w:bookmarkStart w:id="0" w:name="_Toc6891"/>
      <w:r>
        <w:rPr>
          <w:rFonts w:hint="eastAsia"/>
          <w:sz w:val="32"/>
          <w:szCs w:val="32"/>
          <w:highlight w:val="none"/>
        </w:rPr>
        <w:t>采购需求</w:t>
      </w:r>
      <w:bookmarkEnd w:id="0"/>
    </w:p>
    <w:p w14:paraId="1D01BE51">
      <w:pPr>
        <w:spacing w:line="360" w:lineRule="auto"/>
        <w:rPr>
          <w:rFonts w:hint="eastAsia" w:ascii="宋体" w:hAnsi="宋体" w:cs="宋体"/>
          <w:b/>
          <w:bCs/>
          <w:szCs w:val="24"/>
          <w:highlight w:val="none"/>
        </w:rPr>
      </w:pPr>
      <w:bookmarkStart w:id="1" w:name="_Toc481227638"/>
      <w:r>
        <w:rPr>
          <w:rFonts w:hint="eastAsia" w:ascii="宋体" w:hAnsi="宋体" w:cs="宋体"/>
          <w:b/>
          <w:bCs/>
          <w:szCs w:val="24"/>
          <w:highlight w:val="none"/>
        </w:rPr>
        <w:t>总则：以下条款如参选人参与参选，视为参选人自动响应。</w:t>
      </w:r>
    </w:p>
    <w:p w14:paraId="3FD39C41">
      <w:pPr>
        <w:spacing w:line="360" w:lineRule="auto"/>
        <w:rPr>
          <w:rFonts w:hint="eastAsia" w:ascii="宋体" w:hAnsi="宋体" w:cs="宋体"/>
          <w:b/>
          <w:bCs/>
          <w:szCs w:val="24"/>
          <w:highlight w:val="none"/>
        </w:rPr>
      </w:pPr>
      <w:r>
        <w:rPr>
          <w:rFonts w:hint="eastAsia" w:ascii="宋体" w:hAnsi="宋体" w:cs="宋体"/>
          <w:b/>
          <w:bCs/>
          <w:szCs w:val="24"/>
          <w:highlight w:val="none"/>
        </w:rPr>
        <w:t>1、</w:t>
      </w:r>
      <w:r>
        <w:rPr>
          <w:rFonts w:hint="eastAsia" w:ascii="宋体" w:hAnsi="宋体" w:cs="宋体"/>
          <w:b/>
          <w:bCs/>
          <w:szCs w:val="24"/>
          <w:highlight w:val="none"/>
          <w:lang w:val="en-US" w:eastAsia="zh-CN"/>
        </w:rPr>
        <w:t>参选</w:t>
      </w:r>
      <w:r>
        <w:rPr>
          <w:rFonts w:hint="eastAsia" w:ascii="宋体" w:hAnsi="宋体" w:cs="宋体"/>
          <w:b/>
          <w:bCs/>
          <w:szCs w:val="24"/>
          <w:highlight w:val="none"/>
        </w:rPr>
        <w:t>产品信息接口全部免费开放，并按采购人要求无条件免费与医院相关信息系统对接；</w:t>
      </w:r>
    </w:p>
    <w:p w14:paraId="649611BC">
      <w:pPr>
        <w:spacing w:line="360" w:lineRule="auto"/>
        <w:rPr>
          <w:rFonts w:hint="eastAsia" w:ascii="宋体" w:hAnsi="宋体" w:cs="宋体"/>
          <w:b/>
          <w:bCs/>
          <w:spacing w:val="1"/>
          <w:szCs w:val="24"/>
          <w:highlight w:val="none"/>
        </w:rPr>
      </w:pPr>
    </w:p>
    <w:p w14:paraId="5DB00D57">
      <w:pPr>
        <w:pStyle w:val="3"/>
        <w:pageBreakBefore w:val="0"/>
        <w:numPr>
          <w:ilvl w:val="0"/>
          <w:numId w:val="3"/>
        </w:numPr>
        <w:tabs>
          <w:tab w:val="clear" w:pos="90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项目背景</w:t>
      </w:r>
    </w:p>
    <w:p w14:paraId="15DD5868">
      <w:pPr>
        <w:pStyle w:val="3"/>
        <w:pageBreakBefore w:val="0"/>
        <w:numPr>
          <w:ilvl w:val="0"/>
          <w:numId w:val="0"/>
        </w:numPr>
        <w:tabs>
          <w:tab w:val="clear" w:pos="900"/>
        </w:tabs>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为解决我院中区主体大楼手术室术中取患者标本后需向患者家属展示、说明或要求家属签署文件等操作过程中的困难情况，提高沟通效率，提升患者及家属就医满意度，降低操作中意外风险；同时为了加强手术病理数据的展示、标注、存储，方便与病理科更加紧密地进行医疗与科研等方面的沟通协作，主体大楼手术室提出此项目需求。</w:t>
      </w:r>
    </w:p>
    <w:p w14:paraId="6536F562">
      <w:pPr>
        <w:pStyle w:val="3"/>
        <w:pageBreakBefore w:val="0"/>
        <w:numPr>
          <w:ilvl w:val="0"/>
          <w:numId w:val="3"/>
        </w:numPr>
        <w:tabs>
          <w:tab w:val="clear" w:pos="90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系统建设目标</w:t>
      </w:r>
    </w:p>
    <w:p w14:paraId="41239DC3">
      <w:pPr>
        <w:pageBreakBefore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构建一个集病理标本数字化展示、可视化交互式对话、数据管理等功能于一体的智能系统。</w:t>
      </w:r>
    </w:p>
    <w:p w14:paraId="79E12A39">
      <w:pPr>
        <w:pageBreakBefore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支持医疗HIS系统、病理系统(PIS)、教学及科研系统等通过远程协作对术中病理标本进行可视化展示、标注、病例讨论、教研等操作。</w:t>
      </w:r>
    </w:p>
    <w:p w14:paraId="2B1FA7CD">
      <w:pPr>
        <w:pageBreakBefore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支持通过多终端可视化远程方式对患者家属进行病理标本的展示、标注等操作。</w:t>
      </w:r>
    </w:p>
    <w:p w14:paraId="3E786665">
      <w:pPr>
        <w:pStyle w:val="3"/>
        <w:pageBreakBefore w:val="0"/>
        <w:numPr>
          <w:ilvl w:val="0"/>
          <w:numId w:val="3"/>
        </w:numPr>
        <w:tabs>
          <w:tab w:val="clear" w:pos="90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系统建设范围</w:t>
      </w:r>
    </w:p>
    <w:p w14:paraId="5CDA74C1">
      <w:pPr>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系统建设范围涵盖中区主体大楼手术室及配属的患者家属沟通室，病理冰冻报告室。</w:t>
      </w:r>
    </w:p>
    <w:p w14:paraId="223903B8">
      <w:pPr>
        <w:pStyle w:val="3"/>
        <w:pageBreakBefore w:val="0"/>
        <w:numPr>
          <w:ilvl w:val="0"/>
          <w:numId w:val="3"/>
        </w:numPr>
        <w:tabs>
          <w:tab w:val="clear" w:pos="90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系统架构要求</w:t>
      </w:r>
    </w:p>
    <w:p w14:paraId="142E6826">
      <w:pPr>
        <w:pageBreakBefore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技术架构</w:t>
      </w:r>
    </w:p>
    <w:p w14:paraId="425D4608">
      <w:pPr>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支持多终端访问（PC、平板、移动设备）。</w:t>
      </w:r>
    </w:p>
    <w:p w14:paraId="00B72E87">
      <w:pPr>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 xml:space="preserve">本地化部署，兼容主流操作系统（Windows、Linux、macOS）。  </w:t>
      </w:r>
    </w:p>
    <w:p w14:paraId="3F2DC324">
      <w:pPr>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确保模块化扩展能力。</w:t>
      </w:r>
    </w:p>
    <w:p w14:paraId="5EC944CA">
      <w:pPr>
        <w:pageBreakBefore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 xml:space="preserve">数据架构  </w:t>
      </w:r>
    </w:p>
    <w:p w14:paraId="2A9C2A39">
      <w:pPr>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 xml:space="preserve">病理标本数据标准化存储（支持DICOM、JPEG、TIFF等格式）。  </w:t>
      </w:r>
    </w:p>
    <w:p w14:paraId="3726967F">
      <w:pPr>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结构化数据库（如MySQL、PostgreSQL）与非结构化数据（图像、文本）分离管理。</w:t>
      </w:r>
    </w:p>
    <w:p w14:paraId="2B35E787">
      <w:pPr>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支持与医院HIS、PACS系统对接，实现数据互联互通。</w:t>
      </w:r>
    </w:p>
    <w:p w14:paraId="08A02D0D">
      <w:pPr>
        <w:pStyle w:val="3"/>
        <w:pageBreakBefore w:val="0"/>
        <w:numPr>
          <w:ilvl w:val="0"/>
          <w:numId w:val="3"/>
        </w:numPr>
        <w:tabs>
          <w:tab w:val="clear" w:pos="90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核心功能模块</w:t>
      </w:r>
    </w:p>
    <w:p w14:paraId="2088A3EE">
      <w:pPr>
        <w:pageBreakBefore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病理标本管理模块</w:t>
      </w:r>
    </w:p>
    <w:p w14:paraId="35584216">
      <w:pPr>
        <w:pageBreakBefore w:val="0"/>
        <w:numPr>
          <w:ilvl w:val="1"/>
          <w:numId w:val="6"/>
        </w:numPr>
        <w:kinsoku/>
        <w:wordWrap/>
        <w:overflowPunct/>
        <w:topLinePunct w:val="0"/>
        <w:autoSpaceDE/>
        <w:autoSpaceDN/>
        <w:bidi w:val="0"/>
        <w:adjustRightInd/>
        <w:snapToGrid/>
        <w:spacing w:line="360" w:lineRule="auto"/>
        <w:ind w:left="567" w:leftChars="0" w:hanging="567" w:firstLineChars="0"/>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标本数字化采集</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2台</w:t>
      </w:r>
      <w:r>
        <w:rPr>
          <w:rFonts w:hint="eastAsia" w:ascii="宋体" w:hAnsi="宋体" w:eastAsia="宋体" w:cs="宋体"/>
          <w:b w:val="0"/>
          <w:bCs/>
          <w:sz w:val="24"/>
          <w:szCs w:val="24"/>
          <w:highlight w:val="none"/>
          <w:lang w:eastAsia="zh-CN"/>
        </w:rPr>
        <w:t>）：</w:t>
      </w:r>
    </w:p>
    <w:p w14:paraId="2EA2F774">
      <w:pPr>
        <w:pageBreakBefore w:val="0"/>
        <w:kinsoku/>
        <w:wordWrap/>
        <w:overflowPunct/>
        <w:topLinePunct w:val="0"/>
        <w:autoSpaceDE/>
        <w:autoSpaceDN/>
        <w:bidi w:val="0"/>
        <w:adjustRightInd/>
        <w:snapToGrid/>
        <w:spacing w:line="360" w:lineRule="auto"/>
        <w:ind w:left="420" w:leftChars="0" w:firstLine="42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像素≥2400万像素</w:t>
      </w:r>
    </w:p>
    <w:p w14:paraId="15F37277">
      <w:pPr>
        <w:pageBreakBefore w:val="0"/>
        <w:kinsoku/>
        <w:wordWrap/>
        <w:overflowPunct/>
        <w:topLinePunct w:val="0"/>
        <w:autoSpaceDE/>
        <w:autoSpaceDN/>
        <w:bidi w:val="0"/>
        <w:adjustRightInd/>
        <w:snapToGrid/>
        <w:spacing w:line="360" w:lineRule="auto"/>
        <w:ind w:left="420" w:leftChars="0" w:firstLine="42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变焦范围10-45mm</w:t>
      </w:r>
    </w:p>
    <w:p w14:paraId="32C40152">
      <w:pPr>
        <w:pageBreakBefore w:val="0"/>
        <w:kinsoku/>
        <w:wordWrap/>
        <w:overflowPunct/>
        <w:topLinePunct w:val="0"/>
        <w:autoSpaceDE/>
        <w:autoSpaceDN/>
        <w:bidi w:val="0"/>
        <w:adjustRightInd/>
        <w:snapToGrid/>
        <w:spacing w:line="360" w:lineRule="auto"/>
        <w:ind w:left="420" w:leftChars="0" w:firstLine="42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感光度范围：100-12800</w:t>
      </w:r>
    </w:p>
    <w:p w14:paraId="4AD5EA0B">
      <w:pPr>
        <w:pageBreakBefore w:val="0"/>
        <w:kinsoku/>
        <w:wordWrap/>
        <w:overflowPunct/>
        <w:topLinePunct w:val="0"/>
        <w:autoSpaceDE/>
        <w:autoSpaceDN/>
        <w:bidi w:val="0"/>
        <w:adjustRightInd/>
        <w:snapToGrid/>
        <w:spacing w:line="360" w:lineRule="auto"/>
        <w:ind w:left="420" w:leftChars="0" w:firstLine="42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白平衡：手动/自动</w:t>
      </w:r>
    </w:p>
    <w:p w14:paraId="218A0A18">
      <w:pPr>
        <w:pageBreakBefore w:val="0"/>
        <w:kinsoku/>
        <w:wordWrap/>
        <w:overflowPunct/>
        <w:topLinePunct w:val="0"/>
        <w:autoSpaceDE/>
        <w:autoSpaceDN/>
        <w:bidi w:val="0"/>
        <w:adjustRightInd/>
        <w:snapToGrid/>
        <w:spacing w:line="360" w:lineRule="auto"/>
        <w:ind w:left="420" w:leftChars="0" w:firstLine="42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触控屏：≥10寸，4K高清</w:t>
      </w:r>
    </w:p>
    <w:p w14:paraId="40C3AF8B">
      <w:pPr>
        <w:pageBreakBefore w:val="0"/>
        <w:kinsoku/>
        <w:wordWrap/>
        <w:overflowPunct/>
        <w:topLinePunct w:val="0"/>
        <w:autoSpaceDE/>
        <w:autoSpaceDN/>
        <w:bidi w:val="0"/>
        <w:adjustRightInd/>
        <w:snapToGrid/>
        <w:spacing w:line="360" w:lineRule="auto"/>
        <w:ind w:left="420" w:leftChars="0" w:firstLine="42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支持视频、音频的录制</w:t>
      </w:r>
    </w:p>
    <w:p w14:paraId="3005DA21">
      <w:pPr>
        <w:pageBreakBefore w:val="0"/>
        <w:kinsoku/>
        <w:wordWrap/>
        <w:overflowPunct/>
        <w:topLinePunct w:val="0"/>
        <w:autoSpaceDE/>
        <w:autoSpaceDN/>
        <w:bidi w:val="0"/>
        <w:adjustRightInd/>
        <w:snapToGrid/>
        <w:spacing w:line="360" w:lineRule="auto"/>
        <w:ind w:left="420" w:leftChars="0" w:firstLine="42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支持防反光拍照</w:t>
      </w:r>
    </w:p>
    <w:p w14:paraId="4CB5D3DF">
      <w:pPr>
        <w:pageBreakBefore w:val="0"/>
        <w:numPr>
          <w:ilvl w:val="1"/>
          <w:numId w:val="6"/>
        </w:numPr>
        <w:kinsoku/>
        <w:wordWrap/>
        <w:overflowPunct/>
        <w:topLinePunct w:val="0"/>
        <w:autoSpaceDE/>
        <w:autoSpaceDN/>
        <w:bidi w:val="0"/>
        <w:adjustRightInd/>
        <w:snapToGrid/>
        <w:spacing w:line="360" w:lineRule="auto"/>
        <w:ind w:left="567" w:leftChars="0" w:hanging="567" w:firstLineChars="0"/>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标本分类与标注</w:t>
      </w:r>
      <w:r>
        <w:rPr>
          <w:rFonts w:hint="eastAsia" w:ascii="宋体" w:hAnsi="宋体" w:eastAsia="宋体" w:cs="宋体"/>
          <w:b w:val="0"/>
          <w:bCs/>
          <w:sz w:val="24"/>
          <w:szCs w:val="24"/>
          <w:highlight w:val="none"/>
          <w:lang w:eastAsia="zh-CN"/>
        </w:rPr>
        <w:t>：</w:t>
      </w:r>
    </w:p>
    <w:p w14:paraId="6C8369FB">
      <w:pPr>
        <w:pageBreakBefore w:val="0"/>
        <w:kinsoku/>
        <w:wordWrap/>
        <w:overflowPunct/>
        <w:topLinePunct w:val="0"/>
        <w:autoSpaceDE/>
        <w:autoSpaceDN/>
        <w:bidi w:val="0"/>
        <w:adjustRightInd/>
        <w:snapToGrid/>
        <w:spacing w:line="360" w:lineRule="auto"/>
        <w:ind w:left="420" w:leftChars="0" w:firstLine="42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按标本系统、标本名称、病种等标签维度分类管理。</w:t>
      </w:r>
    </w:p>
    <w:p w14:paraId="7329B8DD">
      <w:pPr>
        <w:pageBreakBefore w:val="0"/>
        <w:kinsoku/>
        <w:wordWrap/>
        <w:overflowPunct/>
        <w:topLinePunct w:val="0"/>
        <w:autoSpaceDE/>
        <w:autoSpaceDN/>
        <w:bidi w:val="0"/>
        <w:adjustRightInd/>
        <w:snapToGrid/>
        <w:spacing w:line="360" w:lineRule="auto"/>
        <w:ind w:left="420" w:leftChars="0" w:firstLine="42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支持二级标本信息（名称、部位）标注。</w:t>
      </w:r>
    </w:p>
    <w:p w14:paraId="794B5142">
      <w:pPr>
        <w:pageBreakBefore w:val="0"/>
        <w:numPr>
          <w:ilvl w:val="1"/>
          <w:numId w:val="6"/>
        </w:numPr>
        <w:kinsoku/>
        <w:wordWrap/>
        <w:overflowPunct/>
        <w:topLinePunct w:val="0"/>
        <w:autoSpaceDE/>
        <w:autoSpaceDN/>
        <w:bidi w:val="0"/>
        <w:adjustRightInd/>
        <w:snapToGrid/>
        <w:spacing w:line="360" w:lineRule="auto"/>
        <w:ind w:left="567" w:leftChars="0" w:hanging="567" w:firstLineChars="0"/>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标本检索与共享</w:t>
      </w:r>
      <w:r>
        <w:rPr>
          <w:rFonts w:hint="eastAsia" w:ascii="宋体" w:hAnsi="宋体" w:eastAsia="宋体" w:cs="宋体"/>
          <w:b w:val="0"/>
          <w:bCs/>
          <w:sz w:val="24"/>
          <w:szCs w:val="24"/>
          <w:highlight w:val="none"/>
          <w:lang w:eastAsia="zh-CN"/>
        </w:rPr>
        <w:t>：</w:t>
      </w:r>
    </w:p>
    <w:p w14:paraId="041EBF66">
      <w:pPr>
        <w:pageBreakBefore w:val="0"/>
        <w:kinsoku/>
        <w:wordWrap/>
        <w:overflowPunct/>
        <w:topLinePunct w:val="0"/>
        <w:autoSpaceDE/>
        <w:autoSpaceDN/>
        <w:bidi w:val="0"/>
        <w:adjustRightInd/>
        <w:snapToGrid/>
        <w:spacing w:line="360" w:lineRule="auto"/>
        <w:ind w:left="420" w:leftChars="0" w:firstLine="42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支持关键词、标本信息、操作人、病人信息、日期等多参数检索。</w:t>
      </w:r>
    </w:p>
    <w:p w14:paraId="2BD80682">
      <w:pPr>
        <w:pageBreakBefore w:val="0"/>
        <w:kinsoku/>
        <w:wordWrap/>
        <w:overflowPunct/>
        <w:topLinePunct w:val="0"/>
        <w:autoSpaceDE/>
        <w:autoSpaceDN/>
        <w:bidi w:val="0"/>
        <w:adjustRightInd/>
        <w:snapToGrid/>
        <w:spacing w:line="360" w:lineRule="auto"/>
        <w:ind w:left="420" w:leftChars="0" w:firstLine="42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设置权限分级（公开、院内共享、私有）</w:t>
      </w:r>
    </w:p>
    <w:p w14:paraId="5D91E2DC">
      <w:pPr>
        <w:pageBreakBefore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可视化展示与交互模块</w:t>
      </w:r>
    </w:p>
    <w:p w14:paraId="5799CE28">
      <w:pPr>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支持扫描录入信息（对接医院HIS接口，获取病人信息）</w:t>
      </w:r>
    </w:p>
    <w:p w14:paraId="47BDA7EA">
      <w:pPr>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支持标本图片放大、缩小；</w:t>
      </w:r>
    </w:p>
    <w:p w14:paraId="0FC293A8">
      <w:pPr>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可以在软件端上自动测量标本的长度、周长、面积等</w:t>
      </w:r>
    </w:p>
    <w:p w14:paraId="4F81295D">
      <w:pPr>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标本图片可以使用直线、曲线等不规则图形的标记；对病变位置、信息细节描述，包括文字性的编辑标注</w:t>
      </w:r>
    </w:p>
    <w:p w14:paraId="3293AD82">
      <w:pPr>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支持远程连线，便于医护人员对切除标本的展示。</w:t>
      </w:r>
    </w:p>
    <w:p w14:paraId="6D5A2621">
      <w:pPr>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可对接手术室呼叫系统（由院方提供接口文档）</w:t>
      </w:r>
    </w:p>
    <w:p w14:paraId="6D53003F">
      <w:pPr>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具备拓展签字模块，可支撑未来模块植入需求。</w:t>
      </w:r>
    </w:p>
    <w:p w14:paraId="1236C81D">
      <w:pPr>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具备录音录像等影音功能，可以在医护人员描述患者手术标本相关信息及病理标本闭环节点触发、信息推送时，病理科及相关科室能及时获取相关数据信息。</w:t>
      </w:r>
    </w:p>
    <w:p w14:paraId="09AC95DA">
      <w:pPr>
        <w:pageBreakBefore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 xml:space="preserve">智能对话系统 </w:t>
      </w:r>
    </w:p>
    <w:p w14:paraId="641D82DD">
      <w:pPr>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支持语音/文字输入问答。</w:t>
      </w:r>
    </w:p>
    <w:p w14:paraId="4138C143">
      <w:pPr>
        <w:pageBreakBefore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支持内置病理知识库，可回答标本病理特征、标本采集、固定等常见等问题。</w:t>
      </w:r>
    </w:p>
    <w:p w14:paraId="74C493B3">
      <w:pPr>
        <w:pageBreakBefore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数据安全与权限管理</w:t>
      </w:r>
    </w:p>
    <w:p w14:paraId="3952B020">
      <w:pPr>
        <w:pageBreakBefore w:val="0"/>
        <w:widowControl/>
        <w:kinsoku/>
        <w:wordWrap/>
        <w:overflowPunct/>
        <w:topLinePunct w:val="0"/>
        <w:autoSpaceDE/>
        <w:autoSpaceDN/>
        <w:bidi w:val="0"/>
        <w:adjustRightInd/>
        <w:snapToGrid/>
        <w:spacing w:line="360" w:lineRule="auto"/>
        <w:ind w:firstLine="420" w:firstLineChars="0"/>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符合《医疗信息安全管理办法》要求，支持数据加密传输（HTTPS/SSL）。</w:t>
      </w:r>
    </w:p>
    <w:p w14:paraId="359340CB">
      <w:pPr>
        <w:pageBreakBefore w:val="0"/>
        <w:widowControl/>
        <w:kinsoku/>
        <w:wordWrap/>
        <w:overflowPunct/>
        <w:topLinePunct w:val="0"/>
        <w:autoSpaceDE/>
        <w:autoSpaceDN/>
        <w:bidi w:val="0"/>
        <w:adjustRightInd/>
        <w:snapToGrid/>
        <w:spacing w:line="360" w:lineRule="auto"/>
        <w:ind w:firstLine="420" w:firstLineChars="0"/>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支持RBAC（角色权限控制），区分管理员、医师、护士、学员等角色权限。</w:t>
      </w:r>
    </w:p>
    <w:p w14:paraId="346BAF63">
      <w:pPr>
        <w:pageBreakBefore w:val="0"/>
        <w:widowControl/>
        <w:kinsoku/>
        <w:wordWrap/>
        <w:overflowPunct/>
        <w:topLinePunct w:val="0"/>
        <w:autoSpaceDE/>
        <w:autoSpaceDN/>
        <w:bidi w:val="0"/>
        <w:adjustRightInd/>
        <w:snapToGrid/>
        <w:spacing w:line="360" w:lineRule="auto"/>
        <w:ind w:firstLine="420" w:firstLineChars="0"/>
        <w:jc w:val="lef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日志审计功能，记录用户操作及数据访问痕迹。</w:t>
      </w:r>
    </w:p>
    <w:p w14:paraId="6012823D">
      <w:pPr>
        <w:pageBreakBefore w:val="0"/>
        <w:widowControl/>
        <w:kinsoku/>
        <w:wordWrap/>
        <w:overflowPunct/>
        <w:topLinePunct w:val="0"/>
        <w:autoSpaceDE/>
        <w:autoSpaceDN/>
        <w:bidi w:val="0"/>
        <w:adjustRightInd/>
        <w:snapToGrid/>
        <w:spacing w:line="360" w:lineRule="auto"/>
        <w:ind w:firstLine="420" w:firstLineChars="0"/>
        <w:jc w:val="left"/>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sz w:val="24"/>
          <w:szCs w:val="24"/>
          <w:highlight w:val="none"/>
        </w:rPr>
        <w:t>标本图像存储时间的确认(向者家属展示术中标本，记录标本离体信息等)</w:t>
      </w:r>
    </w:p>
    <w:p w14:paraId="124E231F">
      <w:pPr>
        <w:pStyle w:val="3"/>
        <w:pageBreakBefore w:val="0"/>
        <w:numPr>
          <w:ilvl w:val="0"/>
          <w:numId w:val="3"/>
        </w:numPr>
        <w:tabs>
          <w:tab w:val="clear" w:pos="90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技术性能指标</w:t>
      </w:r>
    </w:p>
    <w:p w14:paraId="4B42DC4A">
      <w:pPr>
        <w:pageBreakBefore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并发用户数</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≥200人同时在线，响应延迟≤2秒</w:t>
      </w:r>
    </w:p>
    <w:p w14:paraId="5082C859">
      <w:pPr>
        <w:pageBreakBefore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图像加载速度</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高清图像（1GB）加载时间≤5秒</w:t>
      </w:r>
    </w:p>
    <w:p w14:paraId="003C8314">
      <w:pPr>
        <w:pageBreakBefore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系统支持7×24小时运行</w:t>
      </w:r>
    </w:p>
    <w:p w14:paraId="1DD86788">
      <w:pPr>
        <w:pageBreakBefore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兼容性</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支持Chrome、Edge等主流浏览器</w:t>
      </w:r>
    </w:p>
    <w:p w14:paraId="2708DAB7">
      <w:pPr>
        <w:pageBreakBefore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存储扩展性</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可支持分布式存储</w:t>
      </w:r>
    </w:p>
    <w:p w14:paraId="12EFD706">
      <w:pPr>
        <w:pStyle w:val="3"/>
        <w:pageBreakBefore w:val="0"/>
        <w:numPr>
          <w:ilvl w:val="0"/>
          <w:numId w:val="3"/>
        </w:numPr>
        <w:tabs>
          <w:tab w:val="clear" w:pos="90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接口要求</w:t>
      </w:r>
    </w:p>
    <w:p w14:paraId="1E2781C0">
      <w:pPr>
        <w:pageBreakBefore w:val="0"/>
        <w:numPr>
          <w:ilvl w:val="0"/>
          <w:numId w:val="8"/>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支持与</w:t>
      </w:r>
      <w:r>
        <w:rPr>
          <w:rFonts w:hint="eastAsia" w:ascii="宋体" w:hAnsi="宋体" w:eastAsia="宋体" w:cs="宋体"/>
          <w:b w:val="0"/>
          <w:bCs/>
          <w:sz w:val="24"/>
          <w:szCs w:val="24"/>
          <w:highlight w:val="none"/>
          <w:lang w:eastAsia="zh-CN"/>
        </w:rPr>
        <w:t>采购人</w:t>
      </w:r>
      <w:r>
        <w:rPr>
          <w:rFonts w:hint="eastAsia" w:ascii="宋体" w:hAnsi="宋体" w:eastAsia="宋体" w:cs="宋体"/>
          <w:b w:val="0"/>
          <w:bCs/>
          <w:sz w:val="24"/>
          <w:szCs w:val="24"/>
          <w:highlight w:val="none"/>
        </w:rPr>
        <w:t>ESB服务总线对接,按照</w:t>
      </w:r>
      <w:r>
        <w:rPr>
          <w:rFonts w:hint="eastAsia" w:ascii="宋体" w:hAnsi="宋体" w:eastAsia="宋体" w:cs="宋体"/>
          <w:b w:val="0"/>
          <w:bCs/>
          <w:sz w:val="24"/>
          <w:szCs w:val="24"/>
          <w:highlight w:val="none"/>
          <w:lang w:eastAsia="zh-CN"/>
        </w:rPr>
        <w:t>采购人</w:t>
      </w:r>
      <w:r>
        <w:rPr>
          <w:rFonts w:hint="eastAsia" w:ascii="宋体" w:hAnsi="宋体" w:eastAsia="宋体" w:cs="宋体"/>
          <w:b w:val="0"/>
          <w:bCs/>
          <w:sz w:val="24"/>
          <w:szCs w:val="24"/>
          <w:highlight w:val="none"/>
        </w:rPr>
        <w:t>ESB服务总线接口规范要求进行开发接口，对于</w:t>
      </w:r>
      <w:r>
        <w:rPr>
          <w:rFonts w:hint="eastAsia" w:ascii="宋体" w:hAnsi="宋体" w:eastAsia="宋体" w:cs="宋体"/>
          <w:b w:val="0"/>
          <w:bCs/>
          <w:sz w:val="24"/>
          <w:szCs w:val="24"/>
          <w:highlight w:val="none"/>
          <w:lang w:eastAsia="zh-CN"/>
        </w:rPr>
        <w:t>采购人</w:t>
      </w:r>
      <w:r>
        <w:rPr>
          <w:rFonts w:hint="eastAsia" w:ascii="宋体" w:hAnsi="宋体" w:eastAsia="宋体" w:cs="宋体"/>
          <w:b w:val="0"/>
          <w:bCs/>
          <w:sz w:val="24"/>
          <w:szCs w:val="24"/>
          <w:highlight w:val="none"/>
        </w:rPr>
        <w:t>ESB服务总线已部署的公共接口,需按照公共接口格式规范进行接口对接，对于</w:t>
      </w:r>
      <w:r>
        <w:rPr>
          <w:rFonts w:hint="eastAsia" w:ascii="宋体" w:hAnsi="宋体" w:eastAsia="宋体" w:cs="宋体"/>
          <w:b w:val="0"/>
          <w:bCs/>
          <w:sz w:val="24"/>
          <w:szCs w:val="24"/>
          <w:highlight w:val="none"/>
          <w:lang w:eastAsia="zh-CN"/>
        </w:rPr>
        <w:t>采购人</w:t>
      </w:r>
      <w:r>
        <w:rPr>
          <w:rFonts w:hint="eastAsia" w:ascii="宋体" w:hAnsi="宋体" w:eastAsia="宋体" w:cs="宋体"/>
          <w:b w:val="0"/>
          <w:bCs/>
          <w:sz w:val="24"/>
          <w:szCs w:val="24"/>
          <w:highlight w:val="none"/>
        </w:rPr>
        <w:t>公共接口不能满足的部分进行定制接口对接。</w:t>
      </w:r>
    </w:p>
    <w:p w14:paraId="5AED50D1">
      <w:pPr>
        <w:pageBreakBefore w:val="0"/>
        <w:numPr>
          <w:ilvl w:val="0"/>
          <w:numId w:val="8"/>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参选人</w:t>
      </w:r>
      <w:r>
        <w:rPr>
          <w:rFonts w:hint="eastAsia" w:ascii="宋体" w:hAnsi="宋体" w:eastAsia="宋体" w:cs="宋体"/>
          <w:b w:val="0"/>
          <w:bCs/>
          <w:sz w:val="24"/>
          <w:szCs w:val="24"/>
          <w:highlight w:val="none"/>
        </w:rPr>
        <w:t>可免费适配ESB服务总线公共函数接口，</w:t>
      </w:r>
      <w:r>
        <w:rPr>
          <w:rFonts w:hint="eastAsia" w:ascii="宋体" w:hAnsi="宋体" w:eastAsia="宋体" w:cs="宋体"/>
          <w:b w:val="0"/>
          <w:bCs/>
          <w:sz w:val="24"/>
          <w:szCs w:val="24"/>
          <w:highlight w:val="none"/>
          <w:lang w:eastAsia="zh-CN"/>
        </w:rPr>
        <w:t>参选人</w:t>
      </w:r>
      <w:r>
        <w:rPr>
          <w:rFonts w:hint="eastAsia" w:ascii="宋体" w:hAnsi="宋体" w:eastAsia="宋体" w:cs="宋体"/>
          <w:b w:val="0"/>
          <w:bCs/>
          <w:sz w:val="24"/>
          <w:szCs w:val="24"/>
          <w:highlight w:val="none"/>
        </w:rPr>
        <w:t>承担定制第三方接口费用，免费开放本业务系统接口提供推送和调用服务适配 ESB服务总线供第三方业务系统使用。</w:t>
      </w:r>
    </w:p>
    <w:p w14:paraId="072A73DB">
      <w:pPr>
        <w:pageBreakBefore w:val="0"/>
        <w:numPr>
          <w:ilvl w:val="0"/>
          <w:numId w:val="8"/>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参选人</w:t>
      </w:r>
      <w:r>
        <w:rPr>
          <w:rFonts w:hint="eastAsia" w:ascii="宋体" w:hAnsi="宋体" w:eastAsia="宋体" w:cs="宋体"/>
          <w:b w:val="0"/>
          <w:bCs/>
          <w:sz w:val="24"/>
          <w:szCs w:val="24"/>
          <w:highlight w:val="none"/>
        </w:rPr>
        <w:t>需要通过服务器与ESB服务总线进行接口对接，对于同一厂商的多台、多套设备或者同一厂商在我院有多个业务系统的，原则上只能通过统一的一个接口服务器与ESB进行对接,并由统一的平台进行管理。</w:t>
      </w:r>
    </w:p>
    <w:p w14:paraId="617A792A">
      <w:pPr>
        <w:pStyle w:val="3"/>
        <w:pageBreakBefore w:val="0"/>
        <w:numPr>
          <w:ilvl w:val="0"/>
          <w:numId w:val="3"/>
        </w:numPr>
        <w:tabs>
          <w:tab w:val="clear" w:pos="90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服务器及系统安全要求</w:t>
      </w:r>
    </w:p>
    <w:p w14:paraId="422195F1">
      <w:pPr>
        <w:pageBreakBefore w:val="0"/>
        <w:numPr>
          <w:ilvl w:val="0"/>
          <w:numId w:val="9"/>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项目本地化部署，服务器由采购人提供（虚拟服务器：Linux （Ubuntu 22.04 server 64bit）；cup 4核；内存 16GB；硬盘 500G），参选人系统可部署在采购人提供虚拟服务器并稳定运行，数据库由参选人提供。</w:t>
      </w:r>
    </w:p>
    <w:p w14:paraId="56CFD2E7">
      <w:pPr>
        <w:pStyle w:val="8"/>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参选人应确保操作系统、数据库安全补丁升级后系统正常运行的要求。</w:t>
      </w:r>
    </w:p>
    <w:p w14:paraId="7AE7F4E8">
      <w:pPr>
        <w:pStyle w:val="8"/>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参选人应做好相关设置、安全补丁安装，按采购人需求，配合网络安全等级保护测评过程中产生的问题整改。</w:t>
      </w:r>
    </w:p>
    <w:p w14:paraId="4C96260C">
      <w:pPr>
        <w:pageBreakBefore w:val="0"/>
        <w:numPr>
          <w:ilvl w:val="0"/>
          <w:numId w:val="9"/>
        </w:numPr>
        <w:tabs>
          <w:tab w:val="left" w:pos="420"/>
        </w:tabs>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参选人</w:t>
      </w:r>
      <w:r>
        <w:rPr>
          <w:rFonts w:hint="eastAsia" w:ascii="宋体" w:hAnsi="宋体" w:eastAsia="宋体" w:cs="宋体"/>
          <w:b w:val="0"/>
          <w:bCs/>
          <w:sz w:val="24"/>
          <w:szCs w:val="24"/>
          <w:highlight w:val="none"/>
        </w:rPr>
        <w:t>需保证项目数据安全，如发生数据泄露等安全事故，一切后果由</w:t>
      </w:r>
      <w:r>
        <w:rPr>
          <w:rFonts w:hint="eastAsia" w:ascii="宋体" w:hAnsi="宋体" w:eastAsia="宋体" w:cs="宋体"/>
          <w:b w:val="0"/>
          <w:bCs/>
          <w:sz w:val="24"/>
          <w:szCs w:val="24"/>
          <w:highlight w:val="none"/>
          <w:lang w:eastAsia="zh-CN"/>
        </w:rPr>
        <w:t>参选人</w:t>
      </w:r>
      <w:r>
        <w:rPr>
          <w:rFonts w:hint="eastAsia" w:ascii="宋体" w:hAnsi="宋体" w:eastAsia="宋体" w:cs="宋体"/>
          <w:b w:val="0"/>
          <w:bCs/>
          <w:sz w:val="24"/>
          <w:szCs w:val="24"/>
          <w:highlight w:val="none"/>
        </w:rPr>
        <w:t>承担。</w:t>
      </w:r>
    </w:p>
    <w:p w14:paraId="5AED750D">
      <w:pPr>
        <w:pStyle w:val="3"/>
        <w:pageBreakBefore w:val="0"/>
        <w:numPr>
          <w:ilvl w:val="0"/>
          <w:numId w:val="3"/>
        </w:numPr>
        <w:tabs>
          <w:tab w:val="clear" w:pos="90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实施要求/系统建设周期</w:t>
      </w:r>
    </w:p>
    <w:p w14:paraId="4DC4852C">
      <w:pPr>
        <w:pageBreakBefore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成交人收到成交通知书接采购人通知后即进场调研，合同签订后接采购人通知起10日内进场实施，6个月内完成本地化部署及试运行（1个月），试运行通过后需经过1个月正常平稳运行，方可进行评估与验收。</w:t>
      </w:r>
    </w:p>
    <w:p w14:paraId="6CCD99CF">
      <w:pPr>
        <w:pageBreakBefore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如因成交人原因造成无法按照合同约定工期完成实施，则采购人将按照合同约定条款对成交人进行处罚（提供承诺函）。</w:t>
      </w:r>
    </w:p>
    <w:p w14:paraId="1F608848">
      <w:pPr>
        <w:pageBreakBefore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试运行期间，须保证无重大差错发生。试运行通过后经过1个月正常平稳运行后，可进行评估与验收。</w:t>
      </w:r>
    </w:p>
    <w:p w14:paraId="22DC9A4A">
      <w:pPr>
        <w:pageBreakBefore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调研期间，成交人应根据采购人的需求，制定整体上线实施方案，提供详细实施方案与进度计划。</w:t>
      </w:r>
    </w:p>
    <w:p w14:paraId="7D5608E1">
      <w:pPr>
        <w:pageBreakBefore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参选人需提供拥有丰富经验的实施团队完成本次项目实施，针对本项目成立项目小组，在参选文件中提供书面名单，人员一旦得到采购人确认，无特殊理由不得变动，且项目经理未得到采购人同意的情况下不得更换。</w:t>
      </w:r>
    </w:p>
    <w:p w14:paraId="402CABAB">
      <w:pPr>
        <w:pageBreakBefore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采购人有权根据实施情况要求更换项目经理和实施人员。</w:t>
      </w:r>
    </w:p>
    <w:p w14:paraId="5656D5E2">
      <w:pPr>
        <w:pageBreakBefore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按采购人需求进行本地化开发。</w:t>
      </w:r>
    </w:p>
    <w:p w14:paraId="40687037">
      <w:pPr>
        <w:pageBreakBefore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成交人需按照采购人的项目管理流程进行实施，验收前成交人需提供项目过程中所需审计材料并装订成册。</w:t>
      </w:r>
    </w:p>
    <w:p w14:paraId="02F4EF8E">
      <w:pPr>
        <w:pageBreakBefore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如遇突发紧急事件，成交人应无条件配合加班。</w:t>
      </w:r>
    </w:p>
    <w:p w14:paraId="38C0A285">
      <w:pPr>
        <w:pageBreakBefore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所有设备免费安装。</w:t>
      </w:r>
    </w:p>
    <w:p w14:paraId="4DCBF173">
      <w:pPr>
        <w:pStyle w:val="3"/>
        <w:pageBreakBefore w:val="0"/>
        <w:numPr>
          <w:ilvl w:val="0"/>
          <w:numId w:val="3"/>
        </w:numPr>
        <w:tabs>
          <w:tab w:val="clear" w:pos="90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培训要求</w:t>
      </w:r>
    </w:p>
    <w:p w14:paraId="54118ED8">
      <w:pPr>
        <w:pageBreakBefore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提供项目培训计划，成交人须为本项目中涉及的各个部门的管理员及使用人员组织详尽的培训，确保相关人员可以熟练正确的使用系统。培训计划书要求成交人培训人员和采购人被培训人员共同签字确认。</w:t>
      </w:r>
    </w:p>
    <w:p w14:paraId="0DA7AE1B">
      <w:pPr>
        <w:pageBreakBefore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必须为所有被培训人员提供培训用文字资料和讲义等相关材料并留存电子版及历次培训记录(需参加培训人员签字)。</w:t>
      </w:r>
    </w:p>
    <w:p w14:paraId="2D43E560">
      <w:pPr>
        <w:pageBreakBefore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提供后续培训服务。</w:t>
      </w:r>
    </w:p>
    <w:p w14:paraId="4648158C">
      <w:pPr>
        <w:pStyle w:val="3"/>
        <w:pageBreakBefore w:val="0"/>
        <w:numPr>
          <w:ilvl w:val="0"/>
          <w:numId w:val="3"/>
        </w:numPr>
        <w:tabs>
          <w:tab w:val="clear" w:pos="90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保密要求</w:t>
      </w:r>
    </w:p>
    <w:p w14:paraId="4DDE49E3">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参选人</w:t>
      </w:r>
      <w:r>
        <w:rPr>
          <w:rFonts w:hint="eastAsia" w:ascii="宋体" w:hAnsi="宋体" w:eastAsia="宋体" w:cs="宋体"/>
          <w:b w:val="0"/>
          <w:bCs/>
          <w:sz w:val="24"/>
          <w:szCs w:val="24"/>
          <w:highlight w:val="none"/>
        </w:rPr>
        <w:t>承诺在实施和维护过程中，任何涉及医院的信息，包括但不限于医院数据、医院特有的功能需求等，未得到</w:t>
      </w:r>
      <w:r>
        <w:rPr>
          <w:rFonts w:hint="eastAsia" w:ascii="宋体" w:hAnsi="宋体" w:eastAsia="宋体" w:cs="宋体"/>
          <w:b w:val="0"/>
          <w:bCs/>
          <w:sz w:val="24"/>
          <w:szCs w:val="24"/>
          <w:highlight w:val="none"/>
          <w:lang w:val="en-US" w:eastAsia="zh-CN"/>
        </w:rPr>
        <w:t>采购人</w:t>
      </w:r>
      <w:r>
        <w:rPr>
          <w:rFonts w:hint="eastAsia" w:ascii="宋体" w:hAnsi="宋体" w:eastAsia="宋体" w:cs="宋体"/>
          <w:b w:val="0"/>
          <w:bCs/>
          <w:sz w:val="24"/>
          <w:szCs w:val="24"/>
          <w:highlight w:val="none"/>
        </w:rPr>
        <w:t>同意的情况下不得对任何第三方展示、举例乃至销售，否则</w:t>
      </w:r>
      <w:r>
        <w:rPr>
          <w:rFonts w:hint="eastAsia" w:ascii="宋体" w:hAnsi="宋体" w:eastAsia="宋体" w:cs="宋体"/>
          <w:b w:val="0"/>
          <w:bCs/>
          <w:sz w:val="24"/>
          <w:szCs w:val="24"/>
          <w:highlight w:val="none"/>
          <w:lang w:val="en-US" w:eastAsia="zh-CN"/>
        </w:rPr>
        <w:t>参选人</w:t>
      </w:r>
      <w:r>
        <w:rPr>
          <w:rFonts w:hint="eastAsia" w:ascii="宋体" w:hAnsi="宋体" w:eastAsia="宋体" w:cs="宋体"/>
          <w:b w:val="0"/>
          <w:bCs/>
          <w:sz w:val="24"/>
          <w:szCs w:val="24"/>
          <w:highlight w:val="none"/>
        </w:rPr>
        <w:t>将承担由此产生的一切后果。</w:t>
      </w:r>
    </w:p>
    <w:p w14:paraId="331F6475">
      <w:pPr>
        <w:pStyle w:val="3"/>
        <w:pageBreakBefore w:val="0"/>
        <w:numPr>
          <w:ilvl w:val="0"/>
          <w:numId w:val="3"/>
        </w:numPr>
        <w:tabs>
          <w:tab w:val="clear" w:pos="90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维保服务要求</w:t>
      </w:r>
    </w:p>
    <w:p w14:paraId="462C7C62">
      <w:pPr>
        <w:pageBreakBefore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承诺提供7*24小时技术支持，包括各种软件系统故障及对各种突发事件采取应急措施等。</w:t>
      </w:r>
    </w:p>
    <w:p w14:paraId="5234B0B6">
      <w:pPr>
        <w:pageBreakBefore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提供运维客服1人。负责处理使用过程中的各项需求及问题。</w:t>
      </w:r>
    </w:p>
    <w:p w14:paraId="1F6A4E4A">
      <w:pPr>
        <w:pageBreakBefore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现场服务：根据要求到达现场提供问题解决和支持服务。服务完成后，双方签署现场服务记录。</w:t>
      </w:r>
    </w:p>
    <w:p w14:paraId="5756213D">
      <w:pPr>
        <w:pageBreakBefore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如遇突发紧急事件，成交人应无条件配合加班。</w:t>
      </w:r>
    </w:p>
    <w:p w14:paraId="542DC390">
      <w:pPr>
        <w:pageBreakBefore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办公时间内的免费热线支持与E-mail支持。</w:t>
      </w:r>
    </w:p>
    <w:p w14:paraId="3CAB0496">
      <w:pPr>
        <w:pageBreakBefore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远程技术支持：通过网络远程通讯和远程控制的技术手段进行远程现场服务。</w:t>
      </w:r>
    </w:p>
    <w:p w14:paraId="211CB1DA">
      <w:pPr>
        <w:pageBreakBefore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维保期内提供免费的系统升级、软件功能修改、与第三方软件接口，以及其他的支持服务；服务年度内成交人至少应对系统每季度进行一次整体巡检，多方位排查系统可能存在的潜在故障，以确保系统正常运行。</w:t>
      </w:r>
    </w:p>
    <w:p w14:paraId="30199C55">
      <w:pPr>
        <w:pageBreakBefore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服务响应时间：承诺系统运行出现故障时，迅速提供技术服务，对于各类故障在半小时内做出明确响应和安排，若远程不能解决问题，在6小时内赶到现场。对涉及系统代码、数据库修改等系统实质性内容的修改，在24小时内派人到现场上门服务，排除故障，并分析故障原因，提出书面故障分析报告及防范措施。</w:t>
      </w:r>
    </w:p>
    <w:p w14:paraId="267B2EC4">
      <w:pPr>
        <w:pageBreakBefore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自系统验收之日起3年内，免费提供以上条款中系统维护的服务。</w:t>
      </w:r>
    </w:p>
    <w:p w14:paraId="020298A8">
      <w:pPr>
        <w:pStyle w:val="7"/>
        <w:ind w:firstLine="0" w:firstLineChars="0"/>
        <w:jc w:val="left"/>
        <w:rPr>
          <w:rFonts w:hint="eastAsia" w:ascii="Calibri" w:hAnsi="Calibri" w:cs="Calibri"/>
          <w:b/>
          <w:bCs/>
          <w:color w:val="FF0000"/>
          <w:spacing w:val="1"/>
          <w:highlight w:val="none"/>
        </w:rPr>
      </w:pPr>
    </w:p>
    <w:p w14:paraId="310A7CB0">
      <w:pPr>
        <w:pStyle w:val="7"/>
        <w:ind w:firstLine="0" w:firstLineChars="0"/>
        <w:jc w:val="left"/>
        <w:rPr>
          <w:rFonts w:hint="eastAsia" w:ascii="宋体" w:hAnsi="宋体" w:cs="宋体"/>
          <w:b/>
          <w:bCs/>
          <w:color w:val="auto"/>
          <w:szCs w:val="24"/>
          <w:highlight w:val="none"/>
        </w:rPr>
      </w:pPr>
      <w:r>
        <w:rPr>
          <w:rFonts w:hint="eastAsia" w:ascii="Calibri" w:hAnsi="Calibri" w:cs="Calibri"/>
          <w:b/>
          <w:bCs/>
          <w:color w:val="auto"/>
          <w:spacing w:val="1"/>
          <w:highlight w:val="none"/>
        </w:rPr>
        <w:t>备注</w:t>
      </w:r>
      <w:r>
        <w:rPr>
          <w:rFonts w:hint="eastAsia" w:ascii="宋体" w:hAnsi="宋体" w:cs="宋体"/>
          <w:b/>
          <w:bCs/>
          <w:color w:val="auto"/>
          <w:szCs w:val="24"/>
          <w:highlight w:val="none"/>
        </w:rPr>
        <w:t>：</w:t>
      </w:r>
      <w:r>
        <w:rPr>
          <w:rFonts w:hint="eastAsia" w:ascii="Calibri" w:hAnsi="Calibri" w:cs="Calibri"/>
          <w:b/>
          <w:bCs/>
          <w:color w:val="auto"/>
          <w:spacing w:val="1"/>
          <w:highlight w:val="none"/>
        </w:rPr>
        <w:t>第五章采购需求</w:t>
      </w:r>
      <w:r>
        <w:rPr>
          <w:rFonts w:hint="eastAsia" w:ascii="宋体" w:hAnsi="宋体" w:cs="宋体"/>
          <w:b/>
          <w:bCs/>
          <w:color w:val="auto"/>
          <w:szCs w:val="24"/>
          <w:highlight w:val="none"/>
        </w:rPr>
        <w:t>所有</w:t>
      </w:r>
      <w:r>
        <w:rPr>
          <w:rFonts w:hint="eastAsia" w:ascii="宋体" w:hAnsi="宋体" w:cs="宋体"/>
          <w:b/>
          <w:bCs/>
          <w:color w:val="auto"/>
          <w:szCs w:val="24"/>
          <w:highlight w:val="none"/>
          <w:lang w:val="en-US" w:eastAsia="zh-CN"/>
        </w:rPr>
        <w:t>内容</w:t>
      </w:r>
      <w:r>
        <w:rPr>
          <w:rFonts w:hint="eastAsia" w:ascii="宋体" w:hAnsi="宋体" w:cs="宋体"/>
          <w:b/>
          <w:bCs/>
          <w:color w:val="auto"/>
          <w:szCs w:val="24"/>
          <w:highlight w:val="none"/>
        </w:rPr>
        <w:t>参选人必须全部响应</w:t>
      </w:r>
      <w:r>
        <w:rPr>
          <w:rFonts w:hint="eastAsia" w:ascii="宋体" w:hAnsi="宋体" w:cs="宋体"/>
          <w:b/>
          <w:bCs/>
          <w:color w:val="auto"/>
          <w:szCs w:val="24"/>
          <w:highlight w:val="none"/>
          <w:lang w:val="en-US" w:eastAsia="zh-CN"/>
        </w:rPr>
        <w:t>满足</w:t>
      </w:r>
      <w:r>
        <w:rPr>
          <w:rFonts w:hint="eastAsia" w:ascii="宋体" w:hAnsi="宋体" w:cs="宋体"/>
          <w:b/>
          <w:bCs/>
          <w:color w:val="auto"/>
          <w:szCs w:val="24"/>
          <w:highlight w:val="none"/>
        </w:rPr>
        <w:t>，不得负偏离，否则做无效参选处理。</w:t>
      </w:r>
    </w:p>
    <w:bookmarkEnd w:id="1"/>
    <w:p w14:paraId="3795BAA3">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B15E5"/>
    <w:multiLevelType w:val="singleLevel"/>
    <w:tmpl w:val="84AB15E5"/>
    <w:lvl w:ilvl="0" w:tentative="0">
      <w:start w:val="5"/>
      <w:numFmt w:val="chineseCounting"/>
      <w:suff w:val="space"/>
      <w:lvlText w:val="第%1章"/>
      <w:lvlJc w:val="left"/>
      <w:rPr>
        <w:rFonts w:hint="eastAsia"/>
      </w:rPr>
    </w:lvl>
  </w:abstractNum>
  <w:abstractNum w:abstractNumId="1">
    <w:nsid w:val="8A7AAF44"/>
    <w:multiLevelType w:val="multilevel"/>
    <w:tmpl w:val="8A7AAF44"/>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9DECB76A"/>
    <w:multiLevelType w:val="multilevel"/>
    <w:tmpl w:val="9DECB76A"/>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C9B5885B"/>
    <w:multiLevelType w:val="multilevel"/>
    <w:tmpl w:val="C9B5885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00000001"/>
    <w:multiLevelType w:val="multilevel"/>
    <w:tmpl w:val="00000001"/>
    <w:lvl w:ilvl="0" w:tentative="0">
      <w:start w:val="1"/>
      <w:numFmt w:val="japaneseCounting"/>
      <w:pStyle w:val="2"/>
      <w:lvlText w:val="第%1章"/>
      <w:lvlJc w:val="left"/>
      <w:pPr>
        <w:tabs>
          <w:tab w:val="left" w:pos="9497"/>
        </w:tabs>
        <w:ind w:left="9497" w:hanging="1275"/>
      </w:pPr>
      <w:rPr>
        <w:rFonts w:hint="default"/>
        <w:b/>
        <w:sz w:val="32"/>
        <w:szCs w:val="32"/>
      </w:rPr>
    </w:lvl>
    <w:lvl w:ilvl="1" w:tentative="0">
      <w:start w:val="1"/>
      <w:numFmt w:val="japaneseCounting"/>
      <w:pStyle w:val="3"/>
      <w:lvlText w:val="%2、"/>
      <w:lvlJc w:val="left"/>
      <w:pPr>
        <w:tabs>
          <w:tab w:val="left" w:pos="1892"/>
        </w:tabs>
        <w:ind w:left="1920" w:hanging="480"/>
      </w:pPr>
      <w:rPr>
        <w:rFonts w:hint="default"/>
      </w:rPr>
    </w:lvl>
    <w:lvl w:ilvl="2" w:tentative="0">
      <w:start w:val="1"/>
      <w:numFmt w:val="lowerRoman"/>
      <w:lvlText w:val="%3."/>
      <w:lvlJc w:val="right"/>
      <w:pPr>
        <w:tabs>
          <w:tab w:val="left" w:pos="2252"/>
        </w:tabs>
        <w:ind w:left="2252" w:hanging="420"/>
      </w:pPr>
    </w:lvl>
    <w:lvl w:ilvl="3" w:tentative="0">
      <w:start w:val="1"/>
      <w:numFmt w:val="decimal"/>
      <w:lvlText w:val="%4."/>
      <w:lvlJc w:val="left"/>
      <w:pPr>
        <w:tabs>
          <w:tab w:val="left" w:pos="2672"/>
        </w:tabs>
        <w:ind w:left="2672" w:hanging="420"/>
      </w:pPr>
    </w:lvl>
    <w:lvl w:ilvl="4" w:tentative="0">
      <w:start w:val="1"/>
      <w:numFmt w:val="lowerLetter"/>
      <w:lvlText w:val="%5)"/>
      <w:lvlJc w:val="left"/>
      <w:pPr>
        <w:tabs>
          <w:tab w:val="left" w:pos="3092"/>
        </w:tabs>
        <w:ind w:left="3092" w:hanging="420"/>
      </w:pPr>
    </w:lvl>
    <w:lvl w:ilvl="5" w:tentative="0">
      <w:start w:val="1"/>
      <w:numFmt w:val="lowerRoman"/>
      <w:lvlText w:val="%6."/>
      <w:lvlJc w:val="right"/>
      <w:pPr>
        <w:tabs>
          <w:tab w:val="left" w:pos="3512"/>
        </w:tabs>
        <w:ind w:left="3512" w:hanging="420"/>
      </w:pPr>
    </w:lvl>
    <w:lvl w:ilvl="6" w:tentative="0">
      <w:start w:val="1"/>
      <w:numFmt w:val="decimal"/>
      <w:lvlText w:val="%7."/>
      <w:lvlJc w:val="left"/>
      <w:pPr>
        <w:tabs>
          <w:tab w:val="left" w:pos="3932"/>
        </w:tabs>
        <w:ind w:left="3932" w:hanging="420"/>
      </w:pPr>
    </w:lvl>
    <w:lvl w:ilvl="7" w:tentative="0">
      <w:start w:val="1"/>
      <w:numFmt w:val="lowerLetter"/>
      <w:lvlText w:val="%8)"/>
      <w:lvlJc w:val="left"/>
      <w:pPr>
        <w:tabs>
          <w:tab w:val="left" w:pos="4352"/>
        </w:tabs>
        <w:ind w:left="4352" w:hanging="420"/>
      </w:pPr>
    </w:lvl>
    <w:lvl w:ilvl="8" w:tentative="0">
      <w:start w:val="1"/>
      <w:numFmt w:val="lowerRoman"/>
      <w:lvlText w:val="%9."/>
      <w:lvlJc w:val="right"/>
      <w:pPr>
        <w:tabs>
          <w:tab w:val="left" w:pos="4772"/>
        </w:tabs>
        <w:ind w:left="4772" w:hanging="420"/>
      </w:pPr>
    </w:lvl>
  </w:abstractNum>
  <w:abstractNum w:abstractNumId="5">
    <w:nsid w:val="14A7B1D0"/>
    <w:multiLevelType w:val="singleLevel"/>
    <w:tmpl w:val="14A7B1D0"/>
    <w:lvl w:ilvl="0" w:tentative="0">
      <w:start w:val="1"/>
      <w:numFmt w:val="decimal"/>
      <w:lvlText w:val="%1."/>
      <w:lvlJc w:val="left"/>
      <w:pPr>
        <w:ind w:left="425" w:hanging="425"/>
      </w:pPr>
      <w:rPr>
        <w:rFonts w:hint="default"/>
      </w:rPr>
    </w:lvl>
  </w:abstractNum>
  <w:abstractNum w:abstractNumId="6">
    <w:nsid w:val="1C0C5D87"/>
    <w:multiLevelType w:val="singleLevel"/>
    <w:tmpl w:val="1C0C5D87"/>
    <w:lvl w:ilvl="0" w:tentative="0">
      <w:start w:val="1"/>
      <w:numFmt w:val="chineseCounting"/>
      <w:suff w:val="nothing"/>
      <w:lvlText w:val="%1、"/>
      <w:lvlJc w:val="left"/>
      <w:pPr>
        <w:ind w:left="0" w:firstLine="420"/>
      </w:pPr>
      <w:rPr>
        <w:rFonts w:hint="eastAsia"/>
      </w:rPr>
    </w:lvl>
  </w:abstractNum>
  <w:abstractNum w:abstractNumId="7">
    <w:nsid w:val="1C23E079"/>
    <w:multiLevelType w:val="singleLevel"/>
    <w:tmpl w:val="1C23E079"/>
    <w:lvl w:ilvl="0" w:tentative="0">
      <w:start w:val="1"/>
      <w:numFmt w:val="decimal"/>
      <w:lvlText w:val="%1."/>
      <w:lvlJc w:val="left"/>
      <w:pPr>
        <w:ind w:left="425" w:hanging="425"/>
      </w:pPr>
      <w:rPr>
        <w:rFonts w:hint="default"/>
      </w:rPr>
    </w:lvl>
  </w:abstractNum>
  <w:abstractNum w:abstractNumId="8">
    <w:nsid w:val="36F87857"/>
    <w:multiLevelType w:val="multilevel"/>
    <w:tmpl w:val="36F87857"/>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41DAE81F"/>
    <w:multiLevelType w:val="singleLevel"/>
    <w:tmpl w:val="41DAE81F"/>
    <w:lvl w:ilvl="0" w:tentative="0">
      <w:start w:val="1"/>
      <w:numFmt w:val="decimal"/>
      <w:lvlText w:val="%1."/>
      <w:lvlJc w:val="left"/>
      <w:pPr>
        <w:ind w:left="425" w:hanging="425"/>
      </w:pPr>
      <w:rPr>
        <w:rFonts w:hint="default"/>
      </w:rPr>
    </w:lvl>
  </w:abstractNum>
  <w:abstractNum w:abstractNumId="10">
    <w:nsid w:val="47D0B91D"/>
    <w:multiLevelType w:val="multilevel"/>
    <w:tmpl w:val="47D0B91D"/>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58C4D2A8"/>
    <w:multiLevelType w:val="singleLevel"/>
    <w:tmpl w:val="58C4D2A8"/>
    <w:lvl w:ilvl="0" w:tentative="0">
      <w:start w:val="1"/>
      <w:numFmt w:val="decimal"/>
      <w:lvlText w:val="%1."/>
      <w:lvlJc w:val="left"/>
      <w:pPr>
        <w:ind w:left="425" w:hanging="425"/>
      </w:pPr>
      <w:rPr>
        <w:rFonts w:hint="default"/>
      </w:rPr>
    </w:lvl>
  </w:abstractNum>
  <w:num w:numId="1">
    <w:abstractNumId w:val="4"/>
  </w:num>
  <w:num w:numId="2">
    <w:abstractNumId w:val="0"/>
  </w:num>
  <w:num w:numId="3">
    <w:abstractNumId w:val="6"/>
  </w:num>
  <w:num w:numId="4">
    <w:abstractNumId w:val="2"/>
  </w:num>
  <w:num w:numId="5">
    <w:abstractNumId w:val="8"/>
  </w:num>
  <w:num w:numId="6">
    <w:abstractNumId w:val="10"/>
  </w:num>
  <w:num w:numId="7">
    <w:abstractNumId w:val="3"/>
  </w:num>
  <w:num w:numId="8">
    <w:abstractNumId w:val="1"/>
  </w:num>
  <w:num w:numId="9">
    <w:abstractNumId w:val="5"/>
  </w:num>
  <w:num w:numId="10">
    <w:abstractNumId w:val="7"/>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A63901"/>
    <w:rsid w:val="41A63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keepLines/>
      <w:numPr>
        <w:ilvl w:val="0"/>
        <w:numId w:val="1"/>
      </w:numPr>
      <w:tabs>
        <w:tab w:val="left" w:pos="2693"/>
      </w:tabs>
      <w:adjustRightInd w:val="0"/>
      <w:spacing w:before="340" w:after="330" w:line="578" w:lineRule="atLeast"/>
      <w:textAlignment w:val="baseline"/>
      <w:outlineLvl w:val="0"/>
    </w:pPr>
    <w:rPr>
      <w:b/>
      <w:kern w:val="44"/>
      <w:sz w:val="44"/>
    </w:rPr>
  </w:style>
  <w:style w:type="paragraph" w:styleId="3">
    <w:name w:val="heading 2"/>
    <w:basedOn w:val="1"/>
    <w:next w:val="1"/>
    <w:qFormat/>
    <w:uiPriority w:val="0"/>
    <w:pPr>
      <w:keepNext/>
      <w:keepLines/>
      <w:numPr>
        <w:ilvl w:val="1"/>
        <w:numId w:val="1"/>
      </w:numPr>
      <w:tabs>
        <w:tab w:val="left" w:pos="900"/>
      </w:tabs>
      <w:adjustRightInd w:val="0"/>
      <w:spacing w:before="260" w:after="260" w:line="416" w:lineRule="atLeast"/>
      <w:textAlignment w:val="baseline"/>
      <w:outlineLvl w:val="1"/>
    </w:pPr>
    <w:rPr>
      <w:rFonts w:ascii="Arial" w:hAnsi="Arial" w:eastAsia="黑体"/>
      <w:b/>
      <w:kern w:val="0"/>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标题1 Ctrl+1"/>
    <w:basedOn w:val="2"/>
    <w:next w:val="7"/>
    <w:qFormat/>
    <w:uiPriority w:val="0"/>
    <w:pPr>
      <w:keepNext w:val="0"/>
      <w:keepLines w:val="0"/>
      <w:pageBreakBefore/>
      <w:tabs>
        <w:tab w:val="left" w:pos="1800"/>
      </w:tabs>
      <w:snapToGrid w:val="0"/>
      <w:spacing w:before="312" w:beforeLines="100" w:after="312" w:afterLines="100" w:line="240" w:lineRule="auto"/>
      <w:jc w:val="center"/>
      <w:textAlignment w:val="auto"/>
    </w:pPr>
    <w:rPr>
      <w:rFonts w:ascii="Arial" w:hAnsi="Arial" w:eastAsia="黑体"/>
      <w:bCs/>
      <w:kern w:val="2"/>
      <w:szCs w:val="44"/>
    </w:rPr>
  </w:style>
  <w:style w:type="paragraph" w:customStyle="1" w:styleId="7">
    <w:name w:val="!我的正文 Ctr+Q"/>
    <w:basedOn w:val="1"/>
    <w:uiPriority w:val="0"/>
    <w:pPr>
      <w:adjustRightInd w:val="0"/>
      <w:snapToGrid w:val="0"/>
      <w:spacing w:line="360" w:lineRule="auto"/>
      <w:ind w:firstLine="480" w:firstLineChars="200"/>
    </w:pPr>
    <w:rPr>
      <w:rFonts w:ascii="Arial" w:hAnsi="Arial"/>
      <w:szCs w:val="21"/>
    </w:rPr>
  </w:style>
  <w:style w:type="paragraph" w:styleId="8">
    <w:name w:val="List Paragraph"/>
    <w:basedOn w:val="1"/>
    <w:qFormat/>
    <w:uiPriority w:val="0"/>
    <w:pPr>
      <w:ind w:firstLine="420" w:firstLineChars="200"/>
    </w:pPr>
    <w:rPr>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2026-04-22T09:12:00Z</dcterms:created>
  <dc:creator>wxy</dc:creator>
  <cp:lastModifiedBy>wxy</cp:lastModifiedBy>
  <dcterms:modified xsi:type="dcterms:W3CDTF">2026-04-22T09:14:09Z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45A8735DEBC04F518C470C95C776D193_11</vt:lpwstr>
  </property>
  <property fmtid="{D5CDD505-2E9C-101B-9397-08002B2CF9AE}" pid="4" name="KSOTemplateDocerSaveRecord">
    <vt:lpwstr>eyJoZGlkIjoiZWUyOTQ1NDM2Zjc0YjU0MjZhMWI3YTAyMzgxNTM2MDQiLCJ1c2VySWQiOiI0NjEyMTI0ODEifQ==</vt:lpwstr>
  </property>
</Properties>
</file>