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7EFC0">
      <w:pPr>
        <w:pStyle w:val="6"/>
        <w:numPr>
          <w:ilvl w:val="0"/>
          <w:numId w:val="0"/>
        </w:numPr>
        <w:spacing w:before="240" w:after="240"/>
        <w:ind w:left="2693" w:leftChars="0" w:hanging="1275" w:firstLineChars="0"/>
        <w:rPr>
          <w:sz w:val="32"/>
          <w:szCs w:val="32"/>
          <w:highlight w:val="none"/>
        </w:rPr>
      </w:pPr>
      <w:bookmarkStart w:id="2" w:name="_GoBack"/>
      <w:bookmarkEnd w:id="2"/>
      <w:bookmarkStart w:id="0" w:name="_Toc6891"/>
      <w:r>
        <w:rPr>
          <w:rFonts w:hint="eastAsia"/>
          <w:sz w:val="32"/>
          <w:szCs w:val="32"/>
          <w:highlight w:val="none"/>
        </w:rPr>
        <w:t>采购需求</w:t>
      </w:r>
      <w:bookmarkEnd w:id="0"/>
    </w:p>
    <w:p w14:paraId="734A808A">
      <w:pPr>
        <w:spacing w:line="360" w:lineRule="auto"/>
        <w:rPr>
          <w:rFonts w:hint="eastAsia" w:ascii="宋体" w:hAnsi="宋体" w:cs="宋体"/>
          <w:b/>
          <w:bCs/>
          <w:szCs w:val="24"/>
          <w:highlight w:val="none"/>
        </w:rPr>
      </w:pPr>
      <w:bookmarkStart w:id="1" w:name="_Toc481227638"/>
      <w:r>
        <w:rPr>
          <w:rFonts w:hint="eastAsia" w:ascii="宋体" w:hAnsi="宋体" w:cs="宋体"/>
          <w:b/>
          <w:bCs/>
          <w:szCs w:val="24"/>
          <w:highlight w:val="none"/>
        </w:rPr>
        <w:t>总则：以下条款如参选人参与参选，视为参选人自动响应。</w:t>
      </w:r>
    </w:p>
    <w:p w14:paraId="658E2763">
      <w:pPr>
        <w:spacing w:line="360" w:lineRule="auto"/>
        <w:rPr>
          <w:rFonts w:hint="eastAsia" w:ascii="宋体" w:hAnsi="宋体" w:cs="宋体"/>
          <w:b/>
          <w:bCs/>
          <w:szCs w:val="24"/>
          <w:highlight w:val="none"/>
        </w:rPr>
      </w:pPr>
      <w:r>
        <w:rPr>
          <w:rFonts w:hint="eastAsia" w:ascii="宋体" w:hAnsi="宋体" w:cs="宋体"/>
          <w:b/>
          <w:bCs/>
          <w:szCs w:val="24"/>
          <w:highlight w:val="none"/>
        </w:rPr>
        <w:t>1、</w:t>
      </w:r>
      <w:r>
        <w:rPr>
          <w:rFonts w:hint="eastAsia" w:ascii="宋体" w:hAnsi="宋体" w:cs="宋体"/>
          <w:b/>
          <w:bCs/>
          <w:szCs w:val="24"/>
          <w:highlight w:val="none"/>
          <w:lang w:val="en-US" w:eastAsia="zh-CN"/>
        </w:rPr>
        <w:t>参选</w:t>
      </w:r>
      <w:r>
        <w:rPr>
          <w:rFonts w:hint="eastAsia" w:ascii="宋体" w:hAnsi="宋体" w:cs="宋体"/>
          <w:b/>
          <w:bCs/>
          <w:szCs w:val="24"/>
          <w:highlight w:val="none"/>
        </w:rPr>
        <w:t>产品信息接口全部免费开放，并按采购人要求无条件免费与医院相关信息系统对接；</w:t>
      </w:r>
    </w:p>
    <w:p w14:paraId="1F82B88D">
      <w:pPr>
        <w:spacing w:line="360" w:lineRule="auto"/>
        <w:rPr>
          <w:rFonts w:hint="eastAsia" w:ascii="宋体" w:hAnsi="宋体" w:cs="宋体"/>
          <w:b/>
          <w:bCs/>
          <w:spacing w:val="1"/>
          <w:szCs w:val="24"/>
          <w:highlight w:val="none"/>
        </w:rPr>
      </w:pPr>
    </w:p>
    <w:p w14:paraId="30CEF3CC">
      <w:pPr>
        <w:numPr>
          <w:ilvl w:val="0"/>
          <w:numId w:val="2"/>
        </w:num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采购说明</w:t>
      </w:r>
    </w:p>
    <w:p w14:paraId="77BBB28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韦氏儿童智力量表是目前国内外通用的用于评估4～16岁儿童智力发育的标准化测试工具之一，也是用于儿童智力鉴定的必备工具，因此广泛用于临床和科研之中。且该量表会根据时代发展定期更新，目前国内使用的是第IV版。每一人次的智力评估均需要配套记分册一份，且在线上进行大数据常模转换后方可生成报告。该报告可以详细显示孩子的语言理解、知觉推理、工作记忆、加工速度以及总智商，且可通过数据分析判断该儿童各发育能区在同龄人群的百分位数，以及学业优势和弱势分析，进一步为儿童的未来学业发展方向提供依据。此外，对于发育行为儿科学来说，每一个因不当行为前来就诊的儿童，首先需要鉴别其发育水平是否适龄，方可寻找其背后的原因。因此，该量表是我科儿童发育行为学组必备基础工具。</w:t>
      </w:r>
    </w:p>
    <w:p w14:paraId="1406960B">
      <w:pPr>
        <w:spacing w:line="360" w:lineRule="auto"/>
        <w:rPr>
          <w:rFonts w:hint="eastAsia" w:ascii="宋体" w:hAnsi="宋体" w:eastAsia="宋体" w:cs="宋体"/>
          <w:sz w:val="24"/>
          <w:szCs w:val="24"/>
          <w:highlight w:val="none"/>
        </w:rPr>
      </w:pPr>
    </w:p>
    <w:p w14:paraId="61F64132">
      <w:pPr>
        <w:numPr>
          <w:ilvl w:val="0"/>
          <w:numId w:val="2"/>
        </w:numPr>
        <w:spacing w:line="360" w:lineRule="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需求描述</w:t>
      </w:r>
    </w:p>
    <w:p w14:paraId="44AF7E65">
      <w:pPr>
        <w:numPr>
          <w:ilvl w:val="1"/>
          <w:numId w:val="2"/>
        </w:num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韦氏幼儿智力测验量表</w:t>
      </w:r>
    </w:p>
    <w:p w14:paraId="2D82195B">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韦氏智力幼儿版适用于3.5-6周岁幼儿使用；</w:t>
      </w:r>
    </w:p>
    <w:p w14:paraId="60B57864">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测评过程中应具备数据的断电自动保存功能防止测试过程出现意外中断；</w:t>
      </w:r>
    </w:p>
    <w:p w14:paraId="782B608A">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测试过程全程真人读题，读题语音支持循环回放；</w:t>
      </w:r>
    </w:p>
    <w:p w14:paraId="21250BDE">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采用言语理解、视觉空间、流体推理、工作记忆和加工速度五项指数；</w:t>
      </w:r>
    </w:p>
    <w:p w14:paraId="48FD16B8">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言语理解包括：类同、图片命名、常识、划消；</w:t>
      </w:r>
    </w:p>
    <w:p w14:paraId="49651DD3">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知觉推理包括:积木、图画概念、矩阵推理、图片记忆；</w:t>
      </w:r>
    </w:p>
    <w:p w14:paraId="4973971F">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测试结果随测随出，支持测试报告在线导出和在线打印；</w:t>
      </w:r>
    </w:p>
    <w:p w14:paraId="2AD83FD1">
      <w:pPr>
        <w:numPr>
          <w:ilvl w:val="1"/>
          <w:numId w:val="2"/>
        </w:num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韦氏儿童智力量表</w:t>
      </w:r>
    </w:p>
    <w:p w14:paraId="5E7D1A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是全面评定6-16岁儿童智力的临床工具。除了根据普通儿童建立常模分数之外，WISC-Ⅳ还收集了16个特殊群体的数据。这些特殊群体包括天才、智力障碍、各种学习困难以及自闭症和多动症等，所有结果都有力地说明WISC-Ⅳ具有非常好的信度和效度。</w:t>
      </w:r>
    </w:p>
    <w:p w14:paraId="206E267A">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测评过程中应具备数据的断电自动保存功能防止测试过程出现意外中断；</w:t>
      </w:r>
    </w:p>
    <w:p w14:paraId="242013BC">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测试过程全程真人读题，读题语音支持循环回放；</w:t>
      </w:r>
    </w:p>
    <w:p w14:paraId="277D7DE7">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采用言语理解、知觉推理、工作记忆和加工速度四项指数；</w:t>
      </w:r>
    </w:p>
    <w:p w14:paraId="445A473F">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言语理解包括：类同、词汇、理解、常识分测验；</w:t>
      </w:r>
    </w:p>
    <w:p w14:paraId="5293ACC0">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知觉推理包括:积木、图画概念、矩阵推理、填图分测验；</w:t>
      </w:r>
    </w:p>
    <w:p w14:paraId="6EDA1A88">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工作记忆包括:背数、字母-数字、算术分测验；</w:t>
      </w:r>
    </w:p>
    <w:p w14:paraId="2C6E89EC">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加工速度包括:译码、符号检索、划消分测验；</w:t>
      </w:r>
    </w:p>
    <w:p w14:paraId="79B1A859">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测验中的重做、免做、限时、中断等测验规则需要自动化完成；</w:t>
      </w:r>
    </w:p>
    <w:p w14:paraId="031E03C0">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从原始分到量表分、从量表分到IQ、简式版的公式计算等完全由软件自动完成；</w:t>
      </w:r>
    </w:p>
    <w:p w14:paraId="007DE22C">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测试中自动甄选免试题，由软件自动根据被测者的年龄性别等自动完成；</w:t>
      </w:r>
    </w:p>
    <w:p w14:paraId="7ABD37DB">
      <w:pPr>
        <w:numPr>
          <w:ilvl w:val="2"/>
          <w:numId w:val="2"/>
        </w:numPr>
        <w:spacing w:line="360" w:lineRule="auto"/>
        <w:ind w:left="1209" w:leftChars="200" w:hanging="729" w:hangingChars="304"/>
        <w:rPr>
          <w:rFonts w:hint="eastAsia" w:ascii="宋体" w:hAnsi="宋体" w:eastAsia="宋体" w:cs="宋体"/>
          <w:sz w:val="24"/>
          <w:szCs w:val="24"/>
          <w:highlight w:val="none"/>
        </w:rPr>
      </w:pPr>
      <w:r>
        <w:rPr>
          <w:rFonts w:hint="eastAsia" w:ascii="宋体" w:hAnsi="宋体" w:eastAsia="宋体" w:cs="宋体"/>
          <w:sz w:val="24"/>
          <w:szCs w:val="24"/>
          <w:highlight w:val="none"/>
        </w:rPr>
        <w:t>报告包含：原始分数与量表分数转换表、量表分数与合成分数转换表、分测验量表分数剖析图、差异比较表、强项和弱项确定表、确定强项和弱项、量表分数总和及平均数、总结与建议等；</w:t>
      </w:r>
    </w:p>
    <w:p w14:paraId="279464DD">
      <w:pPr>
        <w:numPr>
          <w:ilvl w:val="2"/>
          <w:numId w:val="2"/>
        </w:numPr>
        <w:spacing w:line="360" w:lineRule="auto"/>
        <w:ind w:left="1209" w:leftChars="200" w:hanging="729" w:hangingChars="304"/>
        <w:rPr>
          <w:rFonts w:hint="eastAsia" w:ascii="宋体" w:hAnsi="宋体" w:eastAsia="宋体" w:cs="宋体"/>
          <w:sz w:val="24"/>
          <w:szCs w:val="24"/>
          <w:highlight w:val="none"/>
        </w:rPr>
      </w:pPr>
      <w:r>
        <w:rPr>
          <w:rFonts w:hint="eastAsia" w:ascii="宋体" w:hAnsi="宋体" w:eastAsia="宋体" w:cs="宋体"/>
          <w:sz w:val="24"/>
          <w:szCs w:val="24"/>
          <w:highlight w:val="none"/>
        </w:rPr>
        <w:t>测试所用拼图及木块道具均要求为实木道具。测试分项中的道具图要求全部采用压膜塑封，防止受潮及损坏；</w:t>
      </w:r>
    </w:p>
    <w:p w14:paraId="1369C170">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测试结果随测随出，支持测试报告在线导出和在线打印；</w:t>
      </w:r>
    </w:p>
    <w:p w14:paraId="1026FAC5">
      <w:pPr>
        <w:numPr>
          <w:ilvl w:val="2"/>
          <w:numId w:val="2"/>
        </w:numPr>
        <w:spacing w:line="360" w:lineRule="auto"/>
        <w:ind w:left="48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智能智残结果评定，根据国家最新智残评定标准自动划分智残等级。</w:t>
      </w:r>
    </w:p>
    <w:p w14:paraId="07CE69D0">
      <w:pPr>
        <w:spacing w:line="360" w:lineRule="auto"/>
        <w:rPr>
          <w:rFonts w:hint="eastAsia" w:ascii="宋体" w:hAnsi="宋体" w:eastAsia="宋体" w:cs="宋体"/>
          <w:sz w:val="24"/>
          <w:szCs w:val="24"/>
          <w:highlight w:val="none"/>
        </w:rPr>
      </w:pPr>
    </w:p>
    <w:p w14:paraId="7B6B02F0">
      <w:pPr>
        <w:numPr>
          <w:ilvl w:val="0"/>
          <w:numId w:val="3"/>
        </w:num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w:t>
      </w:r>
    </w:p>
    <w:p w14:paraId="43CB68A1">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幼儿智力量表记分册600份,儿童智力量表1400份</w:t>
      </w:r>
    </w:p>
    <w:p w14:paraId="437F557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需与我院在用的韦氏儿童智力量表工具、系统（第四版及以上）匹配使用。如不匹配，请提供与之匹配的韦氏儿童智力量表工具、系统并单独报价（提供承诺函）。</w:t>
      </w:r>
    </w:p>
    <w:p w14:paraId="26E4BFB2">
      <w:pPr>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4"/>
          <w:szCs w:val="24"/>
          <w:highlight w:val="none"/>
        </w:rPr>
      </w:pPr>
    </w:p>
    <w:p w14:paraId="278A18DA">
      <w:pPr>
        <w:pStyle w:val="7"/>
        <w:ind w:firstLine="0" w:firstLineChars="0"/>
        <w:jc w:val="left"/>
        <w:rPr>
          <w:rFonts w:hint="eastAsia" w:ascii="Calibri" w:hAnsi="Calibri" w:cs="Calibri"/>
          <w:b/>
          <w:bCs/>
          <w:color w:val="FF0000"/>
          <w:spacing w:val="1"/>
          <w:highlight w:val="none"/>
        </w:rPr>
      </w:pPr>
    </w:p>
    <w:p w14:paraId="7C76294B">
      <w:pPr>
        <w:pStyle w:val="7"/>
        <w:ind w:firstLine="0" w:firstLineChars="0"/>
        <w:jc w:val="left"/>
        <w:rPr>
          <w:rFonts w:hint="eastAsia" w:ascii="宋体" w:hAnsi="宋体" w:cs="宋体"/>
          <w:b/>
          <w:bCs/>
          <w:color w:val="auto"/>
          <w:szCs w:val="24"/>
          <w:highlight w:val="none"/>
        </w:rPr>
      </w:pPr>
      <w:r>
        <w:rPr>
          <w:rFonts w:hint="eastAsia" w:ascii="Calibri" w:hAnsi="Calibri" w:cs="Calibri"/>
          <w:b/>
          <w:bCs/>
          <w:color w:val="auto"/>
          <w:spacing w:val="1"/>
          <w:highlight w:val="none"/>
        </w:rPr>
        <w:t>备注</w:t>
      </w:r>
      <w:r>
        <w:rPr>
          <w:rFonts w:hint="eastAsia" w:ascii="宋体" w:hAnsi="宋体" w:cs="宋体"/>
          <w:b/>
          <w:bCs/>
          <w:color w:val="auto"/>
          <w:szCs w:val="24"/>
          <w:highlight w:val="none"/>
        </w:rPr>
        <w:t>：</w:t>
      </w:r>
      <w:r>
        <w:rPr>
          <w:rFonts w:hint="eastAsia" w:ascii="Calibri" w:hAnsi="Calibri" w:cs="Calibri"/>
          <w:b/>
          <w:bCs/>
          <w:color w:val="auto"/>
          <w:spacing w:val="1"/>
          <w:highlight w:val="none"/>
        </w:rPr>
        <w:t>第五章采购需求</w:t>
      </w:r>
      <w:r>
        <w:rPr>
          <w:rFonts w:hint="eastAsia" w:ascii="宋体" w:hAnsi="宋体" w:cs="宋体"/>
          <w:b/>
          <w:bCs/>
          <w:color w:val="auto"/>
          <w:szCs w:val="24"/>
          <w:highlight w:val="none"/>
        </w:rPr>
        <w:t>所有</w:t>
      </w:r>
      <w:r>
        <w:rPr>
          <w:rFonts w:hint="eastAsia" w:ascii="宋体" w:hAnsi="宋体" w:cs="宋体"/>
          <w:b/>
          <w:bCs/>
          <w:color w:val="auto"/>
          <w:szCs w:val="24"/>
          <w:highlight w:val="none"/>
          <w:lang w:val="en-US" w:eastAsia="zh-CN"/>
        </w:rPr>
        <w:t>内容</w:t>
      </w:r>
      <w:r>
        <w:rPr>
          <w:rFonts w:hint="eastAsia" w:ascii="宋体" w:hAnsi="宋体" w:cs="宋体"/>
          <w:b/>
          <w:bCs/>
          <w:color w:val="auto"/>
          <w:szCs w:val="24"/>
          <w:highlight w:val="none"/>
        </w:rPr>
        <w:t>参选人必须全部响应</w:t>
      </w:r>
      <w:r>
        <w:rPr>
          <w:rFonts w:hint="eastAsia" w:ascii="宋体" w:hAnsi="宋体" w:cs="宋体"/>
          <w:b/>
          <w:bCs/>
          <w:color w:val="auto"/>
          <w:szCs w:val="24"/>
          <w:highlight w:val="none"/>
          <w:lang w:val="en-US" w:eastAsia="zh-CN"/>
        </w:rPr>
        <w:t>满足</w:t>
      </w:r>
      <w:r>
        <w:rPr>
          <w:rFonts w:hint="eastAsia" w:ascii="宋体" w:hAnsi="宋体" w:cs="宋体"/>
          <w:b/>
          <w:bCs/>
          <w:color w:val="auto"/>
          <w:szCs w:val="24"/>
          <w:highlight w:val="none"/>
        </w:rPr>
        <w:t>，不得负偏离，否则做无效参选处理。</w:t>
      </w:r>
    </w:p>
    <w:bookmarkEnd w:id="1"/>
    <w:p w14:paraId="3F00E3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A9522"/>
    <w:multiLevelType w:val="singleLevel"/>
    <w:tmpl w:val="B59A9522"/>
    <w:lvl w:ilvl="0" w:tentative="0">
      <w:start w:val="2"/>
      <w:numFmt w:val="chineseCounting"/>
      <w:suff w:val="nothing"/>
      <w:lvlText w:val="%1、"/>
      <w:lvlJc w:val="left"/>
      <w:rPr>
        <w:rFonts w:hint="eastAsia"/>
      </w:rPr>
    </w:lvl>
  </w:abstractNum>
  <w:abstractNum w:abstractNumId="1">
    <w:nsid w:val="C1A902B8"/>
    <w:multiLevelType w:val="multilevel"/>
    <w:tmpl w:val="C1A902B8"/>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00000001"/>
    <w:multiLevelType w:val="multilevel"/>
    <w:tmpl w:val="00000001"/>
    <w:lvl w:ilvl="0" w:tentative="0">
      <w:start w:val="1"/>
      <w:numFmt w:val="japaneseCounting"/>
      <w:pStyle w:val="3"/>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pStyle w:val="2"/>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D086C"/>
    <w:rsid w:val="691D0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paragraph" w:styleId="2">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标题1 Ctrl+1"/>
    <w:basedOn w:val="3"/>
    <w:next w:val="7"/>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2026-04-23T09:24:00Z</dcterms:created>
  <dc:creator>wxy</dc:creator>
  <cp:lastModifiedBy>wxy</cp:lastModifiedBy>
  <dcterms:modified xsi:type="dcterms:W3CDTF">2026-04-23T09:25:09Z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0D88A5331C1C4317BF738610B98DB3A5_11</vt:lpwstr>
  </property>
  <property fmtid="{D5CDD505-2E9C-101B-9397-08002B2CF9AE}" pid="4" name="KSOTemplateDocerSaveRecord">
    <vt:lpwstr>eyJoZGlkIjoiZWUyOTQ1NDM2Zjc0YjU0MjZhMWI3YTAyMzgxNTM2MDQiLCJ1c2VySWQiOiI0NjEyMTI0ODEifQ==</vt:lpwstr>
  </property>
</Properties>
</file>