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7A461">
      <w:pPr>
        <w:rPr>
          <w:rFonts w:hint="eastAsia" w:ascii="宋体" w:hAnsi="宋体" w:cs="宋体"/>
          <w:szCs w:val="24"/>
        </w:rPr>
      </w:pPr>
      <w:r>
        <w:rPr>
          <w:rFonts w:hint="eastAsia" w:ascii="宋体" w:hAnsi="宋体" w:cs="宋体"/>
          <w:b/>
          <w:bCs/>
          <w:szCs w:val="24"/>
        </w:rPr>
        <w:t>一、电梯概况</w:t>
      </w:r>
    </w:p>
    <w:tbl>
      <w:tblPr>
        <w:tblStyle w:val="2"/>
        <w:tblpPr w:leftFromText="180" w:rightFromText="180" w:vertAnchor="text" w:horzAnchor="page" w:tblpX="1680"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37"/>
        <w:gridCol w:w="1865"/>
        <w:gridCol w:w="985"/>
        <w:gridCol w:w="725"/>
        <w:gridCol w:w="700"/>
        <w:gridCol w:w="775"/>
        <w:gridCol w:w="1533"/>
      </w:tblGrid>
      <w:tr w14:paraId="549E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9" w:type="dxa"/>
            <w:noWrap w:val="0"/>
            <w:vAlign w:val="center"/>
          </w:tcPr>
          <w:p w14:paraId="03EED766">
            <w:pPr>
              <w:jc w:val="center"/>
              <w:rPr>
                <w:rFonts w:hint="eastAsia" w:ascii="宋体" w:hAnsi="宋体" w:cs="宋体"/>
                <w:szCs w:val="24"/>
              </w:rPr>
            </w:pPr>
            <w:r>
              <w:rPr>
                <w:rFonts w:hint="eastAsia" w:ascii="宋体" w:hAnsi="宋体" w:cs="宋体"/>
                <w:szCs w:val="24"/>
              </w:rPr>
              <w:t>序号</w:t>
            </w:r>
          </w:p>
        </w:tc>
        <w:tc>
          <w:tcPr>
            <w:tcW w:w="1237" w:type="dxa"/>
            <w:noWrap w:val="0"/>
            <w:vAlign w:val="center"/>
          </w:tcPr>
          <w:p w14:paraId="49695E3B">
            <w:pPr>
              <w:jc w:val="center"/>
              <w:rPr>
                <w:rFonts w:hint="eastAsia" w:ascii="宋体" w:hAnsi="宋体" w:cs="宋体"/>
                <w:szCs w:val="24"/>
              </w:rPr>
            </w:pPr>
            <w:r>
              <w:rPr>
                <w:rFonts w:hint="eastAsia" w:ascii="宋体" w:hAnsi="宋体" w:cs="宋体"/>
                <w:szCs w:val="24"/>
              </w:rPr>
              <w:t>电梯名称</w:t>
            </w:r>
          </w:p>
        </w:tc>
        <w:tc>
          <w:tcPr>
            <w:tcW w:w="1865" w:type="dxa"/>
            <w:noWrap w:val="0"/>
            <w:vAlign w:val="center"/>
          </w:tcPr>
          <w:p w14:paraId="0507E612">
            <w:pPr>
              <w:jc w:val="center"/>
              <w:rPr>
                <w:rFonts w:hint="eastAsia" w:ascii="宋体" w:hAnsi="宋体" w:cs="宋体"/>
                <w:szCs w:val="24"/>
              </w:rPr>
            </w:pPr>
            <w:r>
              <w:rPr>
                <w:rFonts w:hint="eastAsia" w:ascii="宋体" w:hAnsi="宋体" w:cs="宋体"/>
                <w:szCs w:val="24"/>
              </w:rPr>
              <w:t>规格型号</w:t>
            </w:r>
          </w:p>
        </w:tc>
        <w:tc>
          <w:tcPr>
            <w:tcW w:w="985" w:type="dxa"/>
            <w:noWrap w:val="0"/>
            <w:vAlign w:val="center"/>
          </w:tcPr>
          <w:p w14:paraId="1170841A">
            <w:pPr>
              <w:jc w:val="center"/>
              <w:rPr>
                <w:rFonts w:hint="eastAsia" w:ascii="宋体" w:hAnsi="宋体" w:cs="宋体"/>
                <w:szCs w:val="24"/>
              </w:rPr>
            </w:pPr>
            <w:r>
              <w:rPr>
                <w:rFonts w:hint="eastAsia" w:ascii="宋体" w:hAnsi="宋体" w:cs="宋体"/>
                <w:szCs w:val="24"/>
              </w:rPr>
              <w:t>层站</w:t>
            </w:r>
          </w:p>
        </w:tc>
        <w:tc>
          <w:tcPr>
            <w:tcW w:w="725" w:type="dxa"/>
            <w:noWrap w:val="0"/>
            <w:vAlign w:val="center"/>
          </w:tcPr>
          <w:p w14:paraId="263706BB">
            <w:pPr>
              <w:jc w:val="center"/>
              <w:rPr>
                <w:rFonts w:hint="eastAsia" w:ascii="宋体" w:hAnsi="宋体" w:cs="宋体"/>
                <w:szCs w:val="24"/>
              </w:rPr>
            </w:pPr>
            <w:r>
              <w:rPr>
                <w:rFonts w:hint="eastAsia" w:ascii="宋体" w:hAnsi="宋体" w:cs="宋体"/>
                <w:szCs w:val="24"/>
              </w:rPr>
              <w:t>台数</w:t>
            </w:r>
          </w:p>
        </w:tc>
        <w:tc>
          <w:tcPr>
            <w:tcW w:w="700" w:type="dxa"/>
            <w:noWrap w:val="0"/>
            <w:vAlign w:val="center"/>
          </w:tcPr>
          <w:p w14:paraId="7155311D">
            <w:pPr>
              <w:jc w:val="center"/>
              <w:rPr>
                <w:rFonts w:hint="eastAsia" w:ascii="宋体" w:hAnsi="宋体" w:cs="宋体"/>
                <w:szCs w:val="24"/>
              </w:rPr>
            </w:pPr>
            <w:r>
              <w:rPr>
                <w:rFonts w:hint="eastAsia" w:ascii="宋体" w:hAnsi="宋体" w:cs="宋体"/>
                <w:szCs w:val="24"/>
              </w:rPr>
              <w:t>品牌</w:t>
            </w:r>
          </w:p>
        </w:tc>
        <w:tc>
          <w:tcPr>
            <w:tcW w:w="775" w:type="dxa"/>
            <w:noWrap w:val="0"/>
            <w:vAlign w:val="center"/>
          </w:tcPr>
          <w:p w14:paraId="1AAB6030">
            <w:pPr>
              <w:jc w:val="center"/>
              <w:rPr>
                <w:rFonts w:hint="eastAsia" w:ascii="宋体" w:hAnsi="宋体" w:cs="宋体"/>
                <w:szCs w:val="24"/>
              </w:rPr>
            </w:pPr>
            <w:r>
              <w:rPr>
                <w:rFonts w:hint="eastAsia" w:ascii="宋体" w:hAnsi="宋体" w:cs="宋体"/>
                <w:szCs w:val="24"/>
              </w:rPr>
              <w:t>投入使用时间</w:t>
            </w:r>
          </w:p>
        </w:tc>
        <w:tc>
          <w:tcPr>
            <w:tcW w:w="1533" w:type="dxa"/>
            <w:noWrap w:val="0"/>
            <w:vAlign w:val="center"/>
          </w:tcPr>
          <w:p w14:paraId="5431D15A">
            <w:pPr>
              <w:jc w:val="center"/>
              <w:rPr>
                <w:rFonts w:hint="eastAsia" w:ascii="宋体" w:hAnsi="宋体" w:cs="宋体"/>
                <w:szCs w:val="24"/>
              </w:rPr>
            </w:pPr>
            <w:r>
              <w:rPr>
                <w:rFonts w:hint="eastAsia" w:ascii="宋体" w:hAnsi="宋体" w:cs="宋体"/>
                <w:szCs w:val="24"/>
              </w:rPr>
              <w:t>位置</w:t>
            </w:r>
          </w:p>
        </w:tc>
      </w:tr>
      <w:tr w14:paraId="361E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9" w:type="dxa"/>
            <w:noWrap w:val="0"/>
            <w:vAlign w:val="center"/>
          </w:tcPr>
          <w:p w14:paraId="2F4B2E57">
            <w:pPr>
              <w:jc w:val="center"/>
              <w:rPr>
                <w:rFonts w:hint="eastAsia" w:ascii="宋体" w:hAnsi="宋体" w:cs="宋体"/>
                <w:szCs w:val="24"/>
              </w:rPr>
            </w:pPr>
            <w:r>
              <w:rPr>
                <w:rFonts w:hint="eastAsia" w:ascii="宋体" w:hAnsi="宋体" w:cs="宋体"/>
                <w:szCs w:val="24"/>
              </w:rPr>
              <w:t>1</w:t>
            </w:r>
          </w:p>
        </w:tc>
        <w:tc>
          <w:tcPr>
            <w:tcW w:w="1237" w:type="dxa"/>
            <w:noWrap w:val="0"/>
            <w:vAlign w:val="center"/>
          </w:tcPr>
          <w:p w14:paraId="546A0DA9">
            <w:pPr>
              <w:jc w:val="center"/>
              <w:rPr>
                <w:rFonts w:hint="eastAsia" w:ascii="宋体" w:hAnsi="宋体" w:cs="宋体"/>
                <w:szCs w:val="24"/>
              </w:rPr>
            </w:pPr>
            <w:r>
              <w:rPr>
                <w:rFonts w:hint="eastAsia" w:ascii="宋体" w:hAnsi="宋体" w:cs="宋体"/>
                <w:szCs w:val="24"/>
              </w:rPr>
              <w:t>有机房，乘客电梯</w:t>
            </w:r>
          </w:p>
        </w:tc>
        <w:tc>
          <w:tcPr>
            <w:tcW w:w="1865" w:type="dxa"/>
            <w:noWrap w:val="0"/>
            <w:vAlign w:val="center"/>
          </w:tcPr>
          <w:p w14:paraId="718DACB0">
            <w:pPr>
              <w:jc w:val="center"/>
              <w:rPr>
                <w:rFonts w:hint="eastAsia" w:ascii="宋体" w:hAnsi="宋体" w:cs="宋体"/>
                <w:szCs w:val="24"/>
              </w:rPr>
            </w:pPr>
            <w:r>
              <w:rPr>
                <w:rFonts w:hint="eastAsia" w:ascii="宋体" w:hAnsi="宋体" w:cs="宋体"/>
                <w:szCs w:val="24"/>
              </w:rPr>
              <w:t>ENT-P（1000/2.5m/s)</w:t>
            </w:r>
          </w:p>
        </w:tc>
        <w:tc>
          <w:tcPr>
            <w:tcW w:w="985" w:type="dxa"/>
            <w:noWrap w:val="0"/>
            <w:vAlign w:val="center"/>
          </w:tcPr>
          <w:p w14:paraId="35DF6137">
            <w:pPr>
              <w:jc w:val="center"/>
              <w:rPr>
                <w:rFonts w:hint="eastAsia" w:ascii="宋体" w:hAnsi="宋体" w:cs="宋体"/>
                <w:szCs w:val="24"/>
              </w:rPr>
            </w:pPr>
            <w:r>
              <w:rPr>
                <w:rFonts w:hint="eastAsia" w:ascii="宋体" w:hAnsi="宋体" w:cs="宋体"/>
                <w:szCs w:val="24"/>
              </w:rPr>
              <w:t>22层22站</w:t>
            </w:r>
          </w:p>
        </w:tc>
        <w:tc>
          <w:tcPr>
            <w:tcW w:w="725" w:type="dxa"/>
            <w:noWrap w:val="0"/>
            <w:vAlign w:val="center"/>
          </w:tcPr>
          <w:p w14:paraId="466DD2DC">
            <w:pPr>
              <w:jc w:val="center"/>
              <w:rPr>
                <w:rFonts w:hint="eastAsia" w:ascii="宋体" w:hAnsi="宋体" w:cs="宋体"/>
                <w:szCs w:val="24"/>
              </w:rPr>
            </w:pPr>
            <w:r>
              <w:rPr>
                <w:rFonts w:hint="eastAsia" w:ascii="宋体" w:hAnsi="宋体" w:cs="宋体"/>
                <w:szCs w:val="24"/>
              </w:rPr>
              <w:t>4</w:t>
            </w:r>
          </w:p>
        </w:tc>
        <w:tc>
          <w:tcPr>
            <w:tcW w:w="700" w:type="dxa"/>
            <w:noWrap w:val="0"/>
            <w:vAlign w:val="center"/>
          </w:tcPr>
          <w:p w14:paraId="70F02118">
            <w:pPr>
              <w:jc w:val="center"/>
              <w:rPr>
                <w:rFonts w:hint="eastAsia" w:ascii="宋体" w:hAnsi="宋体" w:cs="宋体"/>
                <w:szCs w:val="24"/>
              </w:rPr>
            </w:pPr>
          </w:p>
          <w:p w14:paraId="4D944E48">
            <w:pPr>
              <w:jc w:val="center"/>
              <w:rPr>
                <w:rFonts w:hint="eastAsia" w:ascii="宋体" w:hAnsi="宋体" w:cs="宋体"/>
                <w:szCs w:val="24"/>
              </w:rPr>
            </w:pPr>
            <w:r>
              <w:rPr>
                <w:rFonts w:hint="eastAsia" w:ascii="宋体" w:hAnsi="宋体" w:cs="宋体"/>
                <w:szCs w:val="24"/>
              </w:rPr>
              <w:t>永大</w:t>
            </w:r>
          </w:p>
          <w:p w14:paraId="49225057">
            <w:pPr>
              <w:ind w:firstLine="339"/>
              <w:jc w:val="center"/>
              <w:rPr>
                <w:rFonts w:hint="eastAsia" w:ascii="宋体" w:hAnsi="宋体" w:cs="宋体"/>
                <w:szCs w:val="24"/>
              </w:rPr>
            </w:pPr>
          </w:p>
        </w:tc>
        <w:tc>
          <w:tcPr>
            <w:tcW w:w="775" w:type="dxa"/>
            <w:noWrap w:val="0"/>
            <w:vAlign w:val="center"/>
          </w:tcPr>
          <w:p w14:paraId="0ACC4C42">
            <w:pPr>
              <w:jc w:val="center"/>
              <w:rPr>
                <w:rFonts w:hint="eastAsia" w:ascii="宋体" w:hAnsi="宋体" w:cs="宋体"/>
                <w:szCs w:val="24"/>
              </w:rPr>
            </w:pPr>
            <w:r>
              <w:rPr>
                <w:rFonts w:hint="eastAsia" w:ascii="宋体" w:hAnsi="宋体" w:cs="宋体"/>
                <w:szCs w:val="24"/>
              </w:rPr>
              <w:t>2012</w:t>
            </w:r>
          </w:p>
        </w:tc>
        <w:tc>
          <w:tcPr>
            <w:tcW w:w="1533" w:type="dxa"/>
            <w:noWrap w:val="0"/>
            <w:vAlign w:val="center"/>
          </w:tcPr>
          <w:p w14:paraId="496E036A">
            <w:pPr>
              <w:jc w:val="center"/>
              <w:rPr>
                <w:rFonts w:hint="eastAsia" w:ascii="宋体" w:hAnsi="宋体" w:cs="宋体"/>
                <w:szCs w:val="24"/>
              </w:rPr>
            </w:pPr>
            <w:r>
              <w:rPr>
                <w:rFonts w:hint="eastAsia" w:ascii="宋体" w:hAnsi="宋体" w:cs="宋体"/>
                <w:szCs w:val="24"/>
              </w:rPr>
              <w:t>恢复楼</w:t>
            </w:r>
          </w:p>
        </w:tc>
      </w:tr>
      <w:tr w14:paraId="4C9B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9" w:type="dxa"/>
            <w:noWrap w:val="0"/>
            <w:vAlign w:val="center"/>
          </w:tcPr>
          <w:p w14:paraId="3718E65C">
            <w:pPr>
              <w:jc w:val="center"/>
              <w:rPr>
                <w:rFonts w:hint="eastAsia" w:ascii="宋体" w:hAnsi="宋体" w:cs="宋体"/>
                <w:szCs w:val="24"/>
              </w:rPr>
            </w:pPr>
            <w:r>
              <w:rPr>
                <w:rFonts w:hint="eastAsia" w:ascii="宋体" w:hAnsi="宋体" w:cs="宋体"/>
                <w:szCs w:val="24"/>
              </w:rPr>
              <w:t>2</w:t>
            </w:r>
          </w:p>
        </w:tc>
        <w:tc>
          <w:tcPr>
            <w:tcW w:w="1237" w:type="dxa"/>
            <w:noWrap w:val="0"/>
            <w:vAlign w:val="center"/>
          </w:tcPr>
          <w:p w14:paraId="3CABAD63">
            <w:pPr>
              <w:jc w:val="center"/>
              <w:rPr>
                <w:rFonts w:hint="eastAsia" w:ascii="宋体" w:hAnsi="宋体" w:cs="宋体"/>
                <w:szCs w:val="24"/>
              </w:rPr>
            </w:pPr>
            <w:r>
              <w:rPr>
                <w:rFonts w:hint="eastAsia" w:ascii="宋体" w:hAnsi="宋体" w:cs="宋体"/>
                <w:szCs w:val="24"/>
              </w:rPr>
              <w:t>有机房，乘客电梯</w:t>
            </w:r>
          </w:p>
        </w:tc>
        <w:tc>
          <w:tcPr>
            <w:tcW w:w="1865" w:type="dxa"/>
            <w:noWrap w:val="0"/>
            <w:vAlign w:val="center"/>
          </w:tcPr>
          <w:p w14:paraId="7294D44F">
            <w:pPr>
              <w:jc w:val="center"/>
              <w:rPr>
                <w:rFonts w:hint="eastAsia" w:ascii="宋体" w:hAnsi="宋体" w:cs="宋体"/>
                <w:szCs w:val="24"/>
              </w:rPr>
            </w:pPr>
            <w:r>
              <w:rPr>
                <w:rFonts w:hint="eastAsia" w:ascii="宋体" w:hAnsi="宋体" w:cs="宋体"/>
                <w:szCs w:val="24"/>
              </w:rPr>
              <w:t>TKJ1000/1.0m/s-VF</w:t>
            </w:r>
          </w:p>
        </w:tc>
        <w:tc>
          <w:tcPr>
            <w:tcW w:w="985" w:type="dxa"/>
            <w:noWrap w:val="0"/>
            <w:vAlign w:val="center"/>
          </w:tcPr>
          <w:p w14:paraId="3CB1AA95">
            <w:pPr>
              <w:jc w:val="center"/>
              <w:rPr>
                <w:rFonts w:hint="eastAsia" w:ascii="宋体" w:hAnsi="宋体" w:cs="宋体"/>
                <w:szCs w:val="24"/>
              </w:rPr>
            </w:pPr>
            <w:r>
              <w:rPr>
                <w:rFonts w:hint="eastAsia" w:ascii="宋体" w:hAnsi="宋体" w:cs="宋体"/>
                <w:szCs w:val="24"/>
              </w:rPr>
              <w:t>5层5站</w:t>
            </w:r>
          </w:p>
        </w:tc>
        <w:tc>
          <w:tcPr>
            <w:tcW w:w="725" w:type="dxa"/>
            <w:noWrap w:val="0"/>
            <w:vAlign w:val="center"/>
          </w:tcPr>
          <w:p w14:paraId="7E403342">
            <w:pPr>
              <w:jc w:val="center"/>
              <w:rPr>
                <w:rFonts w:hint="eastAsia" w:ascii="宋体" w:hAnsi="宋体" w:cs="宋体"/>
                <w:szCs w:val="24"/>
              </w:rPr>
            </w:pPr>
            <w:r>
              <w:rPr>
                <w:rFonts w:hint="eastAsia" w:ascii="宋体" w:hAnsi="宋体" w:cs="宋体"/>
                <w:szCs w:val="24"/>
              </w:rPr>
              <w:t>1</w:t>
            </w:r>
          </w:p>
        </w:tc>
        <w:tc>
          <w:tcPr>
            <w:tcW w:w="700" w:type="dxa"/>
            <w:noWrap w:val="0"/>
            <w:vAlign w:val="center"/>
          </w:tcPr>
          <w:p w14:paraId="0598439A">
            <w:pPr>
              <w:jc w:val="center"/>
              <w:rPr>
                <w:rFonts w:hint="eastAsia" w:ascii="宋体" w:hAnsi="宋体" w:cs="宋体"/>
                <w:szCs w:val="24"/>
              </w:rPr>
            </w:pPr>
            <w:r>
              <w:rPr>
                <w:rFonts w:hint="eastAsia" w:ascii="宋体" w:hAnsi="宋体" w:cs="宋体"/>
                <w:szCs w:val="24"/>
              </w:rPr>
              <w:t>富士精工</w:t>
            </w:r>
          </w:p>
        </w:tc>
        <w:tc>
          <w:tcPr>
            <w:tcW w:w="775" w:type="dxa"/>
            <w:noWrap w:val="0"/>
            <w:vAlign w:val="center"/>
          </w:tcPr>
          <w:p w14:paraId="4C06223D">
            <w:pPr>
              <w:jc w:val="center"/>
              <w:rPr>
                <w:rFonts w:hint="eastAsia" w:ascii="宋体" w:hAnsi="宋体" w:cs="宋体"/>
                <w:szCs w:val="24"/>
              </w:rPr>
            </w:pPr>
            <w:r>
              <w:rPr>
                <w:rFonts w:hint="eastAsia" w:ascii="宋体" w:hAnsi="宋体" w:cs="宋体"/>
                <w:szCs w:val="24"/>
              </w:rPr>
              <w:t>2014</w:t>
            </w:r>
          </w:p>
        </w:tc>
        <w:tc>
          <w:tcPr>
            <w:tcW w:w="1533" w:type="dxa"/>
            <w:noWrap w:val="0"/>
            <w:vAlign w:val="center"/>
          </w:tcPr>
          <w:p w14:paraId="187136B6">
            <w:pPr>
              <w:jc w:val="center"/>
              <w:rPr>
                <w:rFonts w:hint="eastAsia" w:ascii="宋体" w:hAnsi="宋体" w:cs="宋体"/>
                <w:szCs w:val="24"/>
              </w:rPr>
            </w:pPr>
            <w:r>
              <w:rPr>
                <w:rFonts w:hint="eastAsia" w:ascii="宋体" w:hAnsi="宋体" w:cs="宋体"/>
                <w:szCs w:val="24"/>
              </w:rPr>
              <w:t>8号楼</w:t>
            </w:r>
          </w:p>
        </w:tc>
      </w:tr>
    </w:tbl>
    <w:p w14:paraId="4A859E1F">
      <w:pPr>
        <w:rPr>
          <w:rFonts w:hint="eastAsia" w:ascii="宋体" w:hAnsi="宋体" w:cs="宋体"/>
          <w:b/>
          <w:bCs/>
          <w:szCs w:val="24"/>
        </w:rPr>
      </w:pPr>
    </w:p>
    <w:p w14:paraId="53FFF95F">
      <w:pPr>
        <w:spacing w:line="480" w:lineRule="exact"/>
        <w:rPr>
          <w:rFonts w:hint="eastAsia" w:ascii="宋体" w:hAnsi="宋体" w:cs="宋体"/>
          <w:b/>
          <w:bCs/>
          <w:szCs w:val="24"/>
        </w:rPr>
      </w:pPr>
      <w:r>
        <w:rPr>
          <w:rFonts w:hint="eastAsia" w:ascii="宋体" w:hAnsi="宋体" w:cs="宋体"/>
          <w:b/>
          <w:bCs/>
          <w:szCs w:val="24"/>
        </w:rPr>
        <w:t>二、维保方式:全包</w:t>
      </w:r>
    </w:p>
    <w:p w14:paraId="6DD51DFD">
      <w:pPr>
        <w:spacing w:line="480" w:lineRule="exact"/>
        <w:rPr>
          <w:rFonts w:hint="eastAsia" w:ascii="宋体" w:hAnsi="宋体" w:cs="宋体"/>
          <w:szCs w:val="24"/>
        </w:rPr>
      </w:pPr>
      <w:r>
        <w:rPr>
          <w:rFonts w:hint="eastAsia" w:ascii="宋体" w:hAnsi="宋体" w:cs="宋体"/>
          <w:szCs w:val="24"/>
        </w:rPr>
        <w:t>1、提供维保所需的工具和劳务，并免费提供所有电梯运行的一切（包含但不限于)主要部件、零配件、电气元器件、易损件、耗材、轿厢照明维护及内装饰件、灯光片、机油更换等。以上材料质量和品牌须和原电梯品牌一致且应当具有产品质量合格证。包含但不限于设备的维保、清洗、全部零部件的更换，完成各项检测（电梯年检费由成交人承担）、试验工作、调试校对并保证通过验收。</w:t>
      </w:r>
    </w:p>
    <w:p w14:paraId="019B7D95">
      <w:pPr>
        <w:spacing w:line="480" w:lineRule="exact"/>
        <w:rPr>
          <w:rFonts w:hint="eastAsia" w:ascii="宋体" w:hAnsi="宋体" w:cs="宋体"/>
          <w:szCs w:val="24"/>
        </w:rPr>
      </w:pPr>
      <w:r>
        <w:rPr>
          <w:rFonts w:hint="eastAsia" w:ascii="宋体" w:hAnsi="宋体" w:cs="宋体"/>
          <w:szCs w:val="24"/>
        </w:rPr>
        <w:t>2、合同签订，维保交接后合同期第一年及第三年更换电梯机油。</w:t>
      </w:r>
    </w:p>
    <w:p w14:paraId="13E0DF42">
      <w:pPr>
        <w:spacing w:line="480" w:lineRule="exact"/>
        <w:rPr>
          <w:rFonts w:hint="eastAsia" w:ascii="宋体" w:hAnsi="宋体" w:cs="宋体"/>
          <w:szCs w:val="24"/>
        </w:rPr>
      </w:pPr>
      <w:r>
        <w:rPr>
          <w:rFonts w:hint="eastAsia" w:ascii="宋体" w:hAnsi="宋体" w:cs="宋体"/>
          <w:szCs w:val="24"/>
        </w:rPr>
        <w:t>3、参选人须承诺电梯一般配件供货期为当天、特殊配件供货期为3个工作日，如违约将进行处罚扣除当期维保费1000元。</w:t>
      </w:r>
    </w:p>
    <w:p w14:paraId="525BF1B2">
      <w:pPr>
        <w:spacing w:line="480" w:lineRule="exact"/>
        <w:rPr>
          <w:rFonts w:hint="eastAsia" w:ascii="宋体" w:hAnsi="宋体" w:cs="宋体"/>
          <w:szCs w:val="24"/>
        </w:rPr>
      </w:pPr>
      <w:r>
        <w:rPr>
          <w:rFonts w:hint="eastAsia" w:ascii="宋体" w:hAnsi="宋体" w:cs="宋体"/>
          <w:szCs w:val="24"/>
        </w:rPr>
        <w:t>4、参选人需要提供原厂家电梯零配件清单（特殊配件要单列）和价格表，零配件价格在维保合同期内不变动；如人为或不可抗力损坏按提供的价格表执行更换。</w:t>
      </w:r>
    </w:p>
    <w:p w14:paraId="4FA2C55B">
      <w:pPr>
        <w:spacing w:line="480" w:lineRule="exact"/>
        <w:rPr>
          <w:rFonts w:hint="eastAsia" w:ascii="宋体" w:hAnsi="宋体" w:cs="宋体"/>
          <w:szCs w:val="24"/>
        </w:rPr>
      </w:pPr>
      <w:r>
        <w:rPr>
          <w:rFonts w:hint="eastAsia" w:ascii="宋体" w:hAnsi="宋体" w:cs="宋体"/>
          <w:szCs w:val="24"/>
        </w:rPr>
        <w:t>5、电梯每年年度的检测费用由成交人承担。具体约定如下：</w:t>
      </w:r>
      <w:r>
        <w:rPr>
          <w:rFonts w:hint="eastAsia" w:ascii="宋体" w:hAnsi="宋体" w:cs="宋体"/>
          <w:kern w:val="0"/>
          <w:szCs w:val="24"/>
        </w:rPr>
        <w:t>电梯检测必须合格，检测相关费用均由成交人承担，直至电梯检测合格；如电梯检测不合格导致采购人无法正常使用则扣除当台电梯年维保费用并且成交人对当台电梯当年免费维保。</w:t>
      </w:r>
    </w:p>
    <w:p w14:paraId="5F800F8E">
      <w:pPr>
        <w:spacing w:line="480" w:lineRule="exact"/>
        <w:rPr>
          <w:rFonts w:hint="eastAsia" w:ascii="宋体" w:hAnsi="宋体" w:cs="宋体"/>
          <w:szCs w:val="24"/>
        </w:rPr>
      </w:pPr>
      <w:r>
        <w:rPr>
          <w:rFonts w:hint="eastAsia" w:ascii="宋体" w:hAnsi="宋体" w:cs="宋体"/>
          <w:kern w:val="0"/>
          <w:szCs w:val="24"/>
        </w:rPr>
        <w:t>6、结合合肥市规定，如需电子维保记录成交人必须无条件执行合肥市要求。</w:t>
      </w:r>
    </w:p>
    <w:p w14:paraId="4097D9E5">
      <w:pPr>
        <w:spacing w:line="480" w:lineRule="exact"/>
        <w:rPr>
          <w:rFonts w:hint="eastAsia" w:ascii="宋体" w:hAnsi="宋体" w:cs="宋体"/>
          <w:szCs w:val="24"/>
        </w:rPr>
      </w:pPr>
      <w:r>
        <w:rPr>
          <w:rFonts w:hint="eastAsia" w:ascii="宋体" w:hAnsi="宋体" w:cs="宋体"/>
          <w:szCs w:val="24"/>
        </w:rPr>
        <w:t>7、电梯报价按单台单</w:t>
      </w:r>
      <w:r>
        <w:rPr>
          <w:rFonts w:hint="eastAsia" w:ascii="宋体" w:hAnsi="宋体" w:cs="宋体"/>
          <w:szCs w:val="24"/>
          <w:lang w:val="en-US" w:eastAsia="zh-CN"/>
        </w:rPr>
        <w:t>天</w:t>
      </w:r>
      <w:r>
        <w:rPr>
          <w:rFonts w:hint="eastAsia" w:ascii="宋体" w:hAnsi="宋体" w:cs="宋体"/>
          <w:szCs w:val="24"/>
        </w:rPr>
        <w:t>报价。医院部分电梯可能随时会拆除，具体电梯维保台数及电梯维保截止时间以采购人通知为准，如拆除按实际维保天数支付维保费。</w:t>
      </w:r>
    </w:p>
    <w:p w14:paraId="12977580">
      <w:pPr>
        <w:spacing w:line="480" w:lineRule="exact"/>
        <w:rPr>
          <w:rFonts w:hint="eastAsia" w:ascii="宋体" w:hAnsi="宋体" w:cs="宋体"/>
          <w:szCs w:val="24"/>
        </w:rPr>
      </w:pPr>
      <w:r>
        <w:rPr>
          <w:rFonts w:hint="eastAsia" w:ascii="宋体" w:hAnsi="宋体" w:cs="宋体"/>
          <w:szCs w:val="24"/>
        </w:rPr>
        <w:t>8、电梯维保员要求，合同期内成交人需安排持证专业维保人员现场24小时驻场，采购人提供辅助用房。</w:t>
      </w:r>
    </w:p>
    <w:p w14:paraId="61BDCB06">
      <w:pPr>
        <w:numPr>
          <w:ilvl w:val="0"/>
          <w:numId w:val="1"/>
        </w:numPr>
        <w:spacing w:line="480" w:lineRule="exact"/>
        <w:rPr>
          <w:rFonts w:hint="eastAsia" w:ascii="宋体" w:hAnsi="宋体" w:cs="宋体"/>
          <w:szCs w:val="24"/>
        </w:rPr>
      </w:pPr>
      <w:r>
        <w:rPr>
          <w:rFonts w:hint="eastAsia" w:ascii="宋体" w:hAnsi="宋体" w:cs="宋体"/>
          <w:b/>
          <w:bCs/>
          <w:szCs w:val="24"/>
        </w:rPr>
        <w:t>合同期：自2026年5月27日起至2027年11月23日止（共546天）。</w:t>
      </w:r>
    </w:p>
    <w:p w14:paraId="3F60F0EA">
      <w:pPr>
        <w:spacing w:line="480" w:lineRule="exact"/>
        <w:rPr>
          <w:rFonts w:hint="eastAsia" w:ascii="宋体" w:hAnsi="宋体" w:cs="宋体"/>
          <w:kern w:val="0"/>
          <w:szCs w:val="24"/>
        </w:rPr>
      </w:pPr>
      <w:r>
        <w:rPr>
          <w:rFonts w:hint="eastAsia" w:ascii="宋体" w:hAnsi="宋体" w:cs="宋体"/>
          <w:b/>
          <w:bCs/>
          <w:kern w:val="0"/>
          <w:szCs w:val="24"/>
          <w:lang w:bidi="ar"/>
        </w:rPr>
        <w:t>四、维保合同服务具体内容:</w:t>
      </w:r>
      <w:r>
        <w:rPr>
          <w:rFonts w:hint="eastAsia" w:ascii="宋体" w:hAnsi="宋体" w:cs="宋体"/>
          <w:b/>
          <w:bCs/>
          <w:kern w:val="0"/>
          <w:szCs w:val="24"/>
          <w:lang w:bidi="ar"/>
        </w:rPr>
        <w:br w:type="textWrapping"/>
      </w:r>
      <w:r>
        <w:rPr>
          <w:rFonts w:hint="eastAsia" w:ascii="宋体" w:hAnsi="宋体" w:cs="宋体"/>
          <w:kern w:val="0"/>
          <w:szCs w:val="24"/>
          <w:lang w:bidi="ar"/>
        </w:rPr>
        <w:t xml:space="preserve">   </w:t>
      </w:r>
      <w:r>
        <w:rPr>
          <w:rFonts w:hint="eastAsia" w:ascii="宋体" w:hAnsi="宋体" w:cs="宋体"/>
          <w:kern w:val="0"/>
          <w:szCs w:val="24"/>
        </w:rPr>
        <w:t>成交人应严格按照(特种设备安全监察条例)、(电梯使用管理和日常维保规则)和(合肥市电梯安全管理办法)的规定进行维护保养，并按照15天、季度、半年、年度进行定期维护，保证维保质量，并按照(电梯使用管理和日常维保规则)要求进行记录和存档。</w:t>
      </w:r>
      <w:r>
        <w:rPr>
          <w:rFonts w:hint="eastAsia" w:ascii="宋体" w:hAnsi="宋体" w:cs="宋体"/>
          <w:kern w:val="0"/>
          <w:szCs w:val="24"/>
        </w:rPr>
        <w:br w:type="textWrapping"/>
      </w:r>
      <w:r>
        <w:rPr>
          <w:rFonts w:hint="eastAsia" w:ascii="宋体" w:hAnsi="宋体" w:cs="宋体"/>
          <w:kern w:val="0"/>
          <w:szCs w:val="24"/>
        </w:rPr>
        <w:t>1、对电梯进行全包维护保养服务，承担相关法规、规则对维修保养单位规定的责任和义务，包含但不限于以下内容：</w:t>
      </w:r>
      <w:r>
        <w:rPr>
          <w:rFonts w:hint="eastAsia" w:ascii="宋体" w:hAnsi="宋体" w:cs="宋体"/>
          <w:kern w:val="0"/>
          <w:szCs w:val="24"/>
        </w:rPr>
        <w:br w:type="textWrapping"/>
      </w:r>
      <w:r>
        <w:rPr>
          <w:rFonts w:hint="eastAsia" w:ascii="宋体" w:hAnsi="宋体" w:cs="宋体"/>
          <w:kern w:val="0"/>
          <w:szCs w:val="24"/>
        </w:rPr>
        <w:t>(1)至少每15天对所属电梯及安全设施进行一次清洁、润滑、调整、按日常维护保养规则所规定的内容检在电梯，更换不符合要求的易损件使电梯达到安全要求。</w:t>
      </w:r>
      <w:r>
        <w:rPr>
          <w:rFonts w:hint="eastAsia" w:ascii="宋体" w:hAnsi="宋体" w:cs="宋体"/>
          <w:kern w:val="0"/>
          <w:szCs w:val="24"/>
        </w:rPr>
        <w:br w:type="textWrapping"/>
      </w:r>
      <w:r>
        <w:rPr>
          <w:rFonts w:hint="eastAsia" w:ascii="宋体" w:hAnsi="宋体" w:cs="宋体"/>
          <w:kern w:val="0"/>
          <w:szCs w:val="24"/>
        </w:rPr>
        <w:t>(2)每季度对电梯安全装置、制动器、接触和其他运行、运转部件的外观和运行情况进行维保，保证电梯能够正常运行并对本次维保记录和存档。</w:t>
      </w:r>
    </w:p>
    <w:p w14:paraId="68520369">
      <w:pPr>
        <w:spacing w:line="480" w:lineRule="exact"/>
        <w:rPr>
          <w:rFonts w:hint="eastAsia" w:ascii="宋体" w:hAnsi="宋体" w:cs="宋体"/>
          <w:kern w:val="0"/>
          <w:szCs w:val="24"/>
        </w:rPr>
      </w:pPr>
      <w:r>
        <w:rPr>
          <w:rFonts w:hint="eastAsia" w:ascii="宋体" w:hAnsi="宋体" w:cs="宋体"/>
          <w:kern w:val="0"/>
          <w:szCs w:val="24"/>
        </w:rPr>
        <w:t>（3）每半年对安全装置、限速器、缓冲器、倾斜角度、提升高度、主机功率进行一次安全试验，保证电梯能够正常运行并对本次维保内容进行详细记录和存当，成交人根据电梯安全状况每半年出具电梯安全评估报告。</w:t>
      </w:r>
      <w:r>
        <w:rPr>
          <w:rFonts w:hint="eastAsia" w:ascii="宋体" w:hAnsi="宋体" w:cs="宋体"/>
          <w:kern w:val="0"/>
          <w:szCs w:val="24"/>
        </w:rPr>
        <w:br w:type="textWrapping"/>
      </w:r>
      <w:r>
        <w:rPr>
          <w:rFonts w:hint="eastAsia" w:ascii="宋体" w:hAnsi="宋体" w:cs="宋体"/>
          <w:kern w:val="0"/>
          <w:szCs w:val="24"/>
        </w:rPr>
        <w:t>(4)每年对所属电梯运行全面维保和安全调试，保证电梯能够运行并对本次维保内容进行详细记录和存档。</w:t>
      </w:r>
      <w:r>
        <w:rPr>
          <w:rFonts w:hint="eastAsia" w:ascii="宋体" w:hAnsi="宋体" w:cs="宋体"/>
          <w:kern w:val="0"/>
          <w:szCs w:val="24"/>
        </w:rPr>
        <w:br w:type="textWrapping"/>
      </w:r>
      <w:r>
        <w:rPr>
          <w:rFonts w:hint="eastAsia" w:ascii="宋体" w:hAnsi="宋体" w:cs="宋体"/>
          <w:kern w:val="0"/>
          <w:szCs w:val="24"/>
        </w:rPr>
        <w:t>(5)每年度进行一次自行检查，自行检查应在特种设备检测机构进行年检之前进行并能保证通过设备检测院检测，取得合格证书。</w:t>
      </w:r>
    </w:p>
    <w:p w14:paraId="13913553">
      <w:pPr>
        <w:spacing w:line="480" w:lineRule="exact"/>
        <w:rPr>
          <w:rFonts w:hint="eastAsia" w:ascii="宋体" w:hAnsi="宋体" w:cs="宋体"/>
          <w:szCs w:val="24"/>
          <w:highlight w:val="none"/>
        </w:rPr>
      </w:pPr>
      <w:r>
        <w:rPr>
          <w:rFonts w:hint="eastAsia" w:ascii="宋体" w:hAnsi="宋体" w:cs="宋体"/>
          <w:kern w:val="0"/>
          <w:szCs w:val="24"/>
        </w:rPr>
        <w:t>2、保证电梯安全运行的一切主要部件、零配件、电器元器件、易损件、耗材等在正常使用管理的情况下发生损坏均由成交人负责更换并承担相应的费用，以确保电梯正常安全性；若有关损坏为人为或不可抗力导致，所需更换材料费由采购人承担。</w:t>
      </w:r>
      <w:r>
        <w:rPr>
          <w:rFonts w:hint="eastAsia" w:ascii="宋体" w:hAnsi="宋体" w:cs="宋体"/>
          <w:kern w:val="0"/>
          <w:szCs w:val="24"/>
        </w:rPr>
        <w:br w:type="textWrapping"/>
      </w:r>
      <w:r>
        <w:rPr>
          <w:rFonts w:hint="eastAsia" w:ascii="宋体" w:hAnsi="宋体" w:cs="宋体"/>
          <w:kern w:val="0"/>
          <w:szCs w:val="24"/>
        </w:rPr>
        <w:t>3、成交人更换电梯主要部件、零配件耗材。材料质量和品牌应当与原电梯品牌一致且应当具有产品质量合格证。</w:t>
      </w:r>
      <w:r>
        <w:rPr>
          <w:rFonts w:hint="eastAsia" w:ascii="宋体" w:hAnsi="宋体" w:cs="宋体"/>
          <w:szCs w:val="24"/>
        </w:rPr>
        <w:t>基于《电梯安全技术规范》（TSG T7001）要求安全部件必须保持原设计性能和参数以及《特种设备安全法》明确使用非原厂配件导致事故需</w:t>
      </w:r>
      <w:r>
        <w:rPr>
          <w:rFonts w:hint="eastAsia" w:ascii="宋体" w:hAnsi="宋体" w:cs="宋体"/>
          <w:szCs w:val="24"/>
          <w:highlight w:val="none"/>
        </w:rPr>
        <w:t>承担法律责任，电梯的安全部件必须严格符合国家标准和制造规范，使用原厂配件。成交人为非设备原厂家的须承诺须承诺成交后为本项目提供全新的原厂配件并提供原厂配件合格证明材料资料并承诺不得使用二手配件和拆装件。</w:t>
      </w:r>
      <w:r>
        <w:rPr>
          <w:rFonts w:hint="eastAsia" w:ascii="宋体" w:hAnsi="宋体" w:cs="宋体"/>
          <w:kern w:val="0"/>
          <w:szCs w:val="24"/>
          <w:highlight w:val="none"/>
        </w:rPr>
        <w:t>安全部件应具有合格检验报告，维修零配件不得以假充真，以次充好，以旧充新，若使用劣质材料造成一切后果，由成交人承担。</w:t>
      </w:r>
      <w:r>
        <w:rPr>
          <w:rFonts w:hint="eastAsia" w:ascii="宋体" w:hAnsi="宋体" w:cs="宋体"/>
          <w:szCs w:val="24"/>
          <w:highlight w:val="none"/>
        </w:rPr>
        <w:t>电梯安全部件如下：如曳引机、钢丝绳、制动器（抱闸）、导向轮、限速器、上下极限开关、厅轿门电气联锁装置、安全钳、超速保护装置、对重和轿厢缓冲器、涨紧轮、门机系统、控制系统的安全回路部件等。</w:t>
      </w:r>
    </w:p>
    <w:p w14:paraId="7BC90F6B">
      <w:pPr>
        <w:spacing w:line="480" w:lineRule="exact"/>
        <w:rPr>
          <w:rFonts w:hint="eastAsia" w:ascii="宋体" w:hAnsi="宋体" w:cs="宋体"/>
          <w:kern w:val="0"/>
          <w:szCs w:val="24"/>
        </w:rPr>
      </w:pPr>
      <w:r>
        <w:rPr>
          <w:rFonts w:hint="eastAsia" w:ascii="宋体" w:hAnsi="宋体" w:cs="宋体"/>
          <w:kern w:val="0"/>
          <w:szCs w:val="24"/>
          <w:highlight w:val="none"/>
        </w:rPr>
        <w:t>4、成交人免费提供24小时应</w:t>
      </w:r>
      <w:r>
        <w:rPr>
          <w:rFonts w:hint="eastAsia" w:ascii="宋体" w:hAnsi="宋体" w:cs="宋体"/>
          <w:kern w:val="0"/>
          <w:szCs w:val="24"/>
        </w:rPr>
        <w:t>急维修服务(24小时服务电话号码:   ),当承包维保电梯发生故障停止运行或发生困人事故时，接到采购人通知，成交人技术人员应在10分钟内到达现场，有能力且能够对紧急情况及时和有效的处理。</w:t>
      </w:r>
      <w:r>
        <w:rPr>
          <w:rFonts w:hint="eastAsia" w:ascii="宋体" w:hAnsi="宋体" w:cs="宋体"/>
          <w:kern w:val="0"/>
          <w:szCs w:val="24"/>
        </w:rPr>
        <w:br w:type="textWrapping"/>
      </w:r>
      <w:r>
        <w:rPr>
          <w:rFonts w:hint="eastAsia" w:ascii="宋体" w:hAnsi="宋体" w:cs="宋体"/>
          <w:kern w:val="0"/>
          <w:szCs w:val="24"/>
        </w:rPr>
        <w:t>5、做好每台电梯的日常维护、保养记录，并为每台电梯建立维保档案，每半年结算维保费用时，采购人对成交人维保质量服务态度进行综合评估打分，根据考评细则进行考核(百分制)。</w:t>
      </w:r>
      <w:r>
        <w:rPr>
          <w:rFonts w:hint="eastAsia" w:ascii="宋体" w:hAnsi="宋体" w:cs="宋体"/>
          <w:kern w:val="0"/>
          <w:szCs w:val="24"/>
        </w:rPr>
        <w:br w:type="textWrapping"/>
      </w:r>
      <w:r>
        <w:rPr>
          <w:rFonts w:hint="eastAsia" w:ascii="宋体" w:hAnsi="宋体" w:cs="宋体"/>
          <w:kern w:val="0"/>
          <w:szCs w:val="24"/>
        </w:rPr>
        <w:t>6、清理机房内卫生，无明显灰尘，清理轿底杂物，无积水，运行无颠簸、异响响声，舒适度达到要求。</w:t>
      </w:r>
    </w:p>
    <w:p w14:paraId="42D93C1E">
      <w:pPr>
        <w:spacing w:line="480" w:lineRule="exact"/>
        <w:rPr>
          <w:rFonts w:hint="eastAsia" w:ascii="宋体" w:hAnsi="宋体" w:cs="宋体"/>
          <w:kern w:val="0"/>
          <w:szCs w:val="24"/>
        </w:rPr>
      </w:pPr>
      <w:r>
        <w:rPr>
          <w:rFonts w:hint="eastAsia" w:ascii="宋体" w:hAnsi="宋体" w:cs="宋体"/>
          <w:kern w:val="0"/>
          <w:szCs w:val="24"/>
        </w:rPr>
        <w:t>7、在电梯机房内统一制作张贴电梯规章制度、电梯应急预案、工作人员证书等市场监管局要求的各类上墙制度。</w:t>
      </w:r>
    </w:p>
    <w:p w14:paraId="66E22A2C">
      <w:pPr>
        <w:spacing w:line="480" w:lineRule="exact"/>
        <w:rPr>
          <w:rFonts w:hint="eastAsia" w:ascii="宋体" w:hAnsi="宋体" w:cs="宋体"/>
          <w:kern w:val="0"/>
          <w:szCs w:val="24"/>
        </w:rPr>
      </w:pPr>
      <w:r>
        <w:rPr>
          <w:rFonts w:hint="eastAsia" w:ascii="宋体" w:hAnsi="宋体" w:cs="宋体"/>
          <w:b/>
          <w:bCs/>
          <w:kern w:val="0"/>
          <w:szCs w:val="24"/>
        </w:rPr>
        <w:t>五、电梯维保要求</w:t>
      </w:r>
      <w:r>
        <w:rPr>
          <w:rFonts w:hint="eastAsia" w:ascii="宋体" w:hAnsi="宋体" w:cs="宋体"/>
          <w:kern w:val="0"/>
          <w:szCs w:val="24"/>
        </w:rPr>
        <w:br w:type="textWrapping"/>
      </w:r>
      <w:r>
        <w:rPr>
          <w:rFonts w:hint="eastAsia" w:ascii="宋体" w:hAnsi="宋体" w:cs="宋体"/>
          <w:kern w:val="0"/>
          <w:szCs w:val="24"/>
        </w:rPr>
        <w:t>1、成交人应在其维保范围内电梯的明显位置标明单位名称、应急维修电话。</w:t>
      </w:r>
      <w:r>
        <w:rPr>
          <w:rFonts w:hint="eastAsia" w:ascii="宋体" w:hAnsi="宋体" w:cs="宋体"/>
          <w:kern w:val="0"/>
          <w:szCs w:val="24"/>
        </w:rPr>
        <w:br w:type="textWrapping"/>
      </w:r>
      <w:r>
        <w:rPr>
          <w:rFonts w:hint="eastAsia" w:ascii="宋体" w:hAnsi="宋体" w:cs="宋体"/>
          <w:kern w:val="0"/>
          <w:szCs w:val="24"/>
        </w:rPr>
        <w:t>2、发现电梯故障应及时予以排除，成交人接到电梯故障通知后10分钟内赶到现场解除故障，如未及时到达，造成轿厢被困人员不良反应的，成交人则承担一切责任。</w:t>
      </w:r>
      <w:r>
        <w:rPr>
          <w:rFonts w:hint="eastAsia" w:ascii="宋体" w:hAnsi="宋体" w:cs="宋体"/>
          <w:kern w:val="0"/>
          <w:szCs w:val="24"/>
        </w:rPr>
        <w:br w:type="textWrapping"/>
      </w:r>
      <w:r>
        <w:rPr>
          <w:rFonts w:hint="eastAsia" w:ascii="宋体" w:hAnsi="宋体" w:cs="宋体"/>
          <w:kern w:val="0"/>
          <w:szCs w:val="24"/>
        </w:rPr>
        <w:t>3、配件更换时限:1.一般常规零配件和元器件以及电气都件时限为24小时内2.主要部件（涡轮、蜗杆、马达、曳引轮、抱闸、钢丝绳、主板）更换时限为3个日历天。特殊情况维修时间需满足采购人要求。</w:t>
      </w:r>
    </w:p>
    <w:p w14:paraId="140362E9">
      <w:pPr>
        <w:spacing w:line="480" w:lineRule="exact"/>
        <w:rPr>
          <w:rFonts w:ascii="宋体" w:hAnsi="宋体" w:cs="宋体"/>
          <w:b/>
          <w:bCs/>
          <w:spacing w:val="-17"/>
          <w:szCs w:val="24"/>
        </w:rPr>
      </w:pPr>
      <w:r>
        <w:rPr>
          <w:rFonts w:hint="eastAsia" w:ascii="宋体" w:hAnsi="宋体" w:cs="宋体"/>
          <w:kern w:val="0"/>
          <w:szCs w:val="24"/>
        </w:rPr>
        <w:t>4、对故障难以消除的应及时书面通知采购人暂停使用电梯，故障排除前不得交付使用，成交人应派遭持有效证件(特种设备作业人员证)的人员持证上岗，并需要有项目负责人及现场维保人员联系电话。</w:t>
      </w:r>
      <w:r>
        <w:rPr>
          <w:rFonts w:hint="eastAsia" w:ascii="宋体" w:hAnsi="宋体" w:cs="宋体"/>
          <w:kern w:val="0"/>
          <w:szCs w:val="24"/>
        </w:rPr>
        <w:br w:type="textWrapping"/>
      </w:r>
      <w:r>
        <w:rPr>
          <w:rFonts w:hint="eastAsia" w:ascii="宋体" w:hAnsi="宋体" w:cs="宋体"/>
          <w:kern w:val="0"/>
          <w:szCs w:val="24"/>
        </w:rPr>
        <w:t>5、维保周期:</w:t>
      </w:r>
      <w:r>
        <w:rPr>
          <w:rFonts w:hint="eastAsia" w:ascii="宋体" w:hAnsi="宋体" w:cs="宋体"/>
          <w:kern w:val="0"/>
          <w:szCs w:val="24"/>
        </w:rPr>
        <w:br w:type="textWrapping"/>
      </w:r>
      <w:r>
        <w:rPr>
          <w:rFonts w:hint="eastAsia" w:ascii="宋体" w:hAnsi="宋体" w:cs="宋体"/>
          <w:kern w:val="0"/>
          <w:szCs w:val="24"/>
        </w:rPr>
        <w:t xml:space="preserve">   每台电梯必须每月至少进行2次维修保养，每次间隔不超过15天，维修保养时间保证错开高峰使用时间，每次维修保养后，应提供书面报告。</w:t>
      </w:r>
      <w:r>
        <w:rPr>
          <w:rFonts w:hint="eastAsia" w:ascii="宋体" w:hAnsi="宋体" w:cs="宋体"/>
          <w:kern w:val="0"/>
          <w:szCs w:val="24"/>
        </w:rPr>
        <w:br w:type="textWrapping"/>
      </w:r>
      <w:r>
        <w:rPr>
          <w:rFonts w:hint="eastAsia" w:ascii="宋体" w:hAnsi="宋体" w:cs="宋体"/>
          <w:kern w:val="0"/>
          <w:szCs w:val="24"/>
        </w:rPr>
        <w:t xml:space="preserve">   特别说明:维保开始时间以发出维保通知为准，如采购人原因部分电梯维保开始时间推迟或取消等，成交人自行考虑此部分费用，采购人不支付成交人因此产生的任何损失。</w:t>
      </w:r>
      <w:r>
        <w:rPr>
          <w:rFonts w:hint="eastAsia" w:ascii="宋体" w:hAnsi="宋体" w:cs="宋体"/>
          <w:kern w:val="0"/>
          <w:szCs w:val="24"/>
        </w:rPr>
        <w:br w:type="textWrapping"/>
      </w:r>
    </w:p>
    <w:p w14:paraId="56CAC4F6">
      <w:pPr>
        <w:spacing w:before="78" w:line="219" w:lineRule="auto"/>
        <w:rPr>
          <w:rFonts w:ascii="宋体" w:hAnsi="宋体" w:cs="宋体"/>
          <w:szCs w:val="24"/>
        </w:rPr>
      </w:pPr>
      <w:r>
        <w:rPr>
          <w:rFonts w:ascii="宋体" w:hAnsi="宋体" w:cs="宋体"/>
          <w:b/>
          <w:bCs/>
          <w:spacing w:val="-17"/>
          <w:szCs w:val="24"/>
        </w:rPr>
        <w:t>附件：《电梯维保考评工作表》</w:t>
      </w:r>
    </w:p>
    <w:p w14:paraId="187B6E4B">
      <w:pPr>
        <w:spacing w:line="467" w:lineRule="auto"/>
        <w:rPr>
          <w:rFonts w:ascii="Arial"/>
          <w:sz w:val="21"/>
        </w:rPr>
      </w:pPr>
    </w:p>
    <w:p w14:paraId="3E94C104">
      <w:pPr>
        <w:spacing w:before="78" w:line="219" w:lineRule="auto"/>
        <w:ind w:left="1565"/>
        <w:rPr>
          <w:rFonts w:ascii="宋体" w:hAnsi="宋体" w:cs="宋体"/>
          <w:szCs w:val="24"/>
        </w:rPr>
      </w:pPr>
      <w:r>
        <w:rPr>
          <w:rFonts w:ascii="宋体" w:hAnsi="宋体" w:cs="宋体"/>
          <w:spacing w:val="10"/>
          <w:szCs w:val="24"/>
        </w:rPr>
        <w:t>中科大附一院</w:t>
      </w:r>
      <w:r>
        <w:rPr>
          <w:rFonts w:hint="eastAsia" w:ascii="宋体" w:hAnsi="宋体" w:cs="宋体"/>
          <w:spacing w:val="10"/>
          <w:szCs w:val="24"/>
        </w:rPr>
        <w:t>西区</w:t>
      </w:r>
      <w:r>
        <w:rPr>
          <w:rFonts w:ascii="宋体" w:hAnsi="宋体" w:cs="宋体"/>
          <w:spacing w:val="10"/>
          <w:szCs w:val="24"/>
        </w:rPr>
        <w:t>电梯维保项目</w:t>
      </w:r>
      <w:r>
        <w:rPr>
          <w:rFonts w:hint="eastAsia" w:ascii="宋体" w:hAnsi="宋体" w:cs="宋体"/>
          <w:spacing w:val="3"/>
          <w:szCs w:val="24"/>
          <w:u w:val="single"/>
        </w:rPr>
        <w:t>半年度</w:t>
      </w:r>
      <w:r>
        <w:rPr>
          <w:rFonts w:ascii="宋体" w:hAnsi="宋体" w:cs="宋体"/>
          <w:spacing w:val="10"/>
          <w:szCs w:val="24"/>
        </w:rPr>
        <w:t>考评工作表</w:t>
      </w:r>
    </w:p>
    <w:p w14:paraId="37469A86"/>
    <w:p w14:paraId="6A8F7867"/>
    <w:p w14:paraId="21B6F889">
      <w:pPr>
        <w:spacing w:line="49" w:lineRule="exact"/>
      </w:pPr>
    </w:p>
    <w:tbl>
      <w:tblPr>
        <w:tblStyle w:val="2"/>
        <w:tblW w:w="0" w:type="auto"/>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539"/>
        <w:gridCol w:w="7073"/>
        <w:gridCol w:w="612"/>
      </w:tblGrid>
      <w:tr w14:paraId="4A41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94" w:type="dxa"/>
            <w:noWrap w:val="0"/>
            <w:vAlign w:val="top"/>
          </w:tcPr>
          <w:p w14:paraId="630EEB21">
            <w:pPr>
              <w:autoSpaceDE w:val="0"/>
              <w:autoSpaceDN w:val="0"/>
              <w:spacing w:before="272" w:line="220" w:lineRule="auto"/>
              <w:ind w:left="255"/>
              <w:rPr>
                <w:rFonts w:ascii="宋体" w:hAnsi="宋体" w:cs="宋体"/>
                <w:sz w:val="18"/>
                <w:szCs w:val="18"/>
              </w:rPr>
            </w:pPr>
            <w:r>
              <w:rPr>
                <w:rFonts w:ascii="宋体" w:hAnsi="宋体" w:cs="宋体"/>
                <w:spacing w:val="-5"/>
                <w:sz w:val="18"/>
                <w:szCs w:val="18"/>
              </w:rPr>
              <w:t>项 目</w:t>
            </w:r>
          </w:p>
        </w:tc>
        <w:tc>
          <w:tcPr>
            <w:tcW w:w="539" w:type="dxa"/>
            <w:noWrap w:val="0"/>
            <w:textDirection w:val="tbRlV"/>
            <w:vAlign w:val="top"/>
          </w:tcPr>
          <w:p w14:paraId="0BDB82D4">
            <w:pPr>
              <w:autoSpaceDE w:val="0"/>
              <w:autoSpaceDN w:val="0"/>
              <w:spacing w:before="124" w:line="210" w:lineRule="auto"/>
              <w:ind w:left="113"/>
              <w:jc w:val="left"/>
              <w:rPr>
                <w:rFonts w:ascii="宋体" w:hAnsi="宋体" w:cs="宋体"/>
                <w:sz w:val="18"/>
                <w:szCs w:val="18"/>
              </w:rPr>
            </w:pPr>
            <w:r>
              <w:rPr>
                <w:rFonts w:ascii="宋体" w:hAnsi="宋体" w:cs="宋体"/>
                <w:spacing w:val="-1"/>
                <w:sz w:val="18"/>
                <w:szCs w:val="18"/>
              </w:rPr>
              <w:t>序</w:t>
            </w:r>
            <w:r>
              <w:rPr>
                <w:rFonts w:hint="eastAsia" w:ascii="宋体" w:hAnsi="宋体" w:cs="宋体"/>
                <w:spacing w:val="-1"/>
                <w:sz w:val="18"/>
                <w:szCs w:val="18"/>
              </w:rPr>
              <w:t xml:space="preserve"> </w:t>
            </w:r>
            <w:r>
              <w:rPr>
                <w:rFonts w:ascii="宋体" w:hAnsi="宋体" w:cs="宋体"/>
                <w:spacing w:val="-1"/>
                <w:sz w:val="18"/>
                <w:szCs w:val="18"/>
              </w:rPr>
              <w:t>号</w:t>
            </w:r>
          </w:p>
        </w:tc>
        <w:tc>
          <w:tcPr>
            <w:tcW w:w="7073" w:type="dxa"/>
            <w:noWrap w:val="0"/>
            <w:vAlign w:val="top"/>
          </w:tcPr>
          <w:p w14:paraId="2D65A412">
            <w:pPr>
              <w:autoSpaceDE w:val="0"/>
              <w:autoSpaceDN w:val="0"/>
              <w:spacing w:before="269" w:line="219" w:lineRule="auto"/>
              <w:ind w:left="2784"/>
              <w:rPr>
                <w:rFonts w:ascii="宋体" w:hAnsi="宋体" w:cs="宋体"/>
                <w:sz w:val="18"/>
                <w:szCs w:val="18"/>
              </w:rPr>
            </w:pPr>
            <w:r>
              <w:rPr>
                <w:rFonts w:ascii="宋体" w:hAnsi="宋体" w:cs="宋体"/>
                <w:b/>
                <w:bCs/>
                <w:spacing w:val="-3"/>
                <w:sz w:val="18"/>
                <w:szCs w:val="18"/>
              </w:rPr>
              <w:t>检查考评具体内容</w:t>
            </w:r>
          </w:p>
        </w:tc>
        <w:tc>
          <w:tcPr>
            <w:tcW w:w="612" w:type="dxa"/>
            <w:noWrap w:val="0"/>
            <w:vAlign w:val="top"/>
          </w:tcPr>
          <w:p w14:paraId="56482097">
            <w:pPr>
              <w:autoSpaceDE w:val="0"/>
              <w:autoSpaceDN w:val="0"/>
              <w:spacing w:before="272" w:line="219" w:lineRule="auto"/>
              <w:ind w:left="409"/>
              <w:rPr>
                <w:rFonts w:ascii="宋体" w:hAnsi="宋体" w:cs="宋体"/>
                <w:sz w:val="18"/>
                <w:szCs w:val="18"/>
              </w:rPr>
            </w:pPr>
            <w:r>
              <w:rPr>
                <w:rFonts w:ascii="宋体" w:hAnsi="宋体" w:cs="宋体"/>
                <w:spacing w:val="-2"/>
                <w:sz w:val="18"/>
                <w:szCs w:val="18"/>
              </w:rPr>
              <w:t>得分</w:t>
            </w:r>
          </w:p>
        </w:tc>
      </w:tr>
      <w:tr w14:paraId="104DB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94" w:type="dxa"/>
            <w:noWrap w:val="0"/>
            <w:vAlign w:val="top"/>
          </w:tcPr>
          <w:p w14:paraId="1764B855">
            <w:pPr>
              <w:autoSpaceDE w:val="0"/>
              <w:autoSpaceDN w:val="0"/>
              <w:spacing w:before="203" w:line="219" w:lineRule="auto"/>
              <w:ind w:left="165"/>
              <w:rPr>
                <w:rFonts w:ascii="宋体" w:hAnsi="宋体" w:cs="宋体"/>
                <w:sz w:val="18"/>
                <w:szCs w:val="18"/>
              </w:rPr>
            </w:pPr>
            <w:r>
              <w:rPr>
                <w:rFonts w:ascii="宋体" w:hAnsi="宋体" w:cs="宋体"/>
                <w:spacing w:val="4"/>
                <w:sz w:val="18"/>
                <w:szCs w:val="18"/>
              </w:rPr>
              <w:t>按计划</w:t>
            </w:r>
          </w:p>
        </w:tc>
        <w:tc>
          <w:tcPr>
            <w:tcW w:w="539" w:type="dxa"/>
            <w:noWrap w:val="0"/>
            <w:vAlign w:val="top"/>
          </w:tcPr>
          <w:p w14:paraId="02CAE9C7">
            <w:pPr>
              <w:autoSpaceDE w:val="0"/>
              <w:autoSpaceDN w:val="0"/>
              <w:spacing w:before="248" w:line="184" w:lineRule="auto"/>
              <w:ind w:left="321"/>
              <w:rPr>
                <w:rFonts w:ascii="宋体" w:hAnsi="宋体" w:cs="宋体"/>
                <w:sz w:val="18"/>
                <w:szCs w:val="18"/>
              </w:rPr>
            </w:pPr>
            <w:r>
              <w:rPr>
                <w:rFonts w:ascii="宋体" w:hAnsi="宋体" w:cs="宋体"/>
                <w:sz w:val="18"/>
                <w:szCs w:val="18"/>
              </w:rPr>
              <w:t>1</w:t>
            </w:r>
          </w:p>
        </w:tc>
        <w:tc>
          <w:tcPr>
            <w:tcW w:w="7073" w:type="dxa"/>
            <w:noWrap w:val="0"/>
            <w:vAlign w:val="top"/>
          </w:tcPr>
          <w:p w14:paraId="672960CB">
            <w:pPr>
              <w:autoSpaceDE w:val="0"/>
              <w:autoSpaceDN w:val="0"/>
              <w:spacing w:before="203" w:line="219" w:lineRule="auto"/>
              <w:ind w:left="102"/>
              <w:rPr>
                <w:rFonts w:ascii="宋体" w:hAnsi="宋体" w:cs="宋体"/>
                <w:sz w:val="18"/>
                <w:szCs w:val="18"/>
              </w:rPr>
            </w:pPr>
            <w:r>
              <w:rPr>
                <w:rFonts w:ascii="宋体" w:hAnsi="宋体" w:cs="宋体"/>
                <w:spacing w:val="-1"/>
                <w:sz w:val="18"/>
                <w:szCs w:val="18"/>
              </w:rPr>
              <w:t>维保单位未编制周、月、季度、年度保养计划每次扣4分</w:t>
            </w:r>
          </w:p>
        </w:tc>
        <w:tc>
          <w:tcPr>
            <w:tcW w:w="612" w:type="dxa"/>
            <w:noWrap w:val="0"/>
            <w:vAlign w:val="top"/>
          </w:tcPr>
          <w:p w14:paraId="0D23F209">
            <w:pPr>
              <w:autoSpaceDE w:val="0"/>
              <w:autoSpaceDN w:val="0"/>
              <w:rPr>
                <w:rFonts w:ascii="Arial" w:hAnsi="Calibri" w:cs="Arial"/>
                <w:sz w:val="21"/>
                <w:szCs w:val="22"/>
              </w:rPr>
            </w:pPr>
          </w:p>
        </w:tc>
      </w:tr>
    </w:tbl>
    <w:p w14:paraId="4493BAF4"/>
    <w:tbl>
      <w:tblPr>
        <w:tblStyle w:val="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529"/>
        <w:gridCol w:w="7063"/>
        <w:gridCol w:w="651"/>
      </w:tblGrid>
      <w:tr w14:paraId="4B02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884" w:type="dxa"/>
            <w:vMerge w:val="restart"/>
            <w:tcBorders>
              <w:bottom w:val="nil"/>
            </w:tcBorders>
            <w:noWrap w:val="0"/>
            <w:vAlign w:val="top"/>
          </w:tcPr>
          <w:p w14:paraId="62670621">
            <w:pPr>
              <w:autoSpaceDE w:val="0"/>
              <w:autoSpaceDN w:val="0"/>
              <w:spacing w:before="122" w:line="219" w:lineRule="auto"/>
              <w:ind w:left="85"/>
              <w:rPr>
                <w:rFonts w:ascii="宋体" w:hAnsi="宋体" w:cs="宋体"/>
                <w:sz w:val="18"/>
                <w:szCs w:val="18"/>
              </w:rPr>
            </w:pPr>
            <w:r>
              <w:rPr>
                <w:rFonts w:ascii="宋体" w:hAnsi="宋体" w:cs="宋体"/>
                <w:spacing w:val="-2"/>
                <w:sz w:val="18"/>
                <w:szCs w:val="18"/>
              </w:rPr>
              <w:t>按要求</w:t>
            </w:r>
          </w:p>
          <w:p w14:paraId="591A9095">
            <w:pPr>
              <w:autoSpaceDE w:val="0"/>
              <w:autoSpaceDN w:val="0"/>
              <w:spacing w:before="136" w:line="220" w:lineRule="auto"/>
              <w:ind w:left="85"/>
              <w:rPr>
                <w:rFonts w:ascii="宋体" w:hAnsi="宋体" w:cs="宋体"/>
                <w:sz w:val="18"/>
                <w:szCs w:val="18"/>
              </w:rPr>
            </w:pPr>
            <w:r>
              <w:rPr>
                <w:rFonts w:ascii="宋体" w:hAnsi="宋体" w:cs="宋体"/>
                <w:spacing w:val="-2"/>
                <w:sz w:val="18"/>
                <w:szCs w:val="18"/>
              </w:rPr>
              <w:t>对电梯</w:t>
            </w:r>
          </w:p>
          <w:p w14:paraId="3A996BA8">
            <w:pPr>
              <w:autoSpaceDE w:val="0"/>
              <w:autoSpaceDN w:val="0"/>
              <w:spacing w:before="155" w:line="220" w:lineRule="auto"/>
              <w:ind w:left="85"/>
              <w:rPr>
                <w:rFonts w:ascii="宋体" w:hAnsi="宋体" w:cs="宋体"/>
                <w:sz w:val="18"/>
                <w:szCs w:val="18"/>
              </w:rPr>
            </w:pPr>
            <w:r>
              <w:rPr>
                <w:rFonts w:ascii="宋体" w:hAnsi="宋体" w:cs="宋体"/>
                <w:spacing w:val="-2"/>
                <w:sz w:val="18"/>
                <w:szCs w:val="18"/>
              </w:rPr>
              <w:t>进行维</w:t>
            </w:r>
          </w:p>
          <w:p w14:paraId="7B913C8A">
            <w:pPr>
              <w:autoSpaceDE w:val="0"/>
              <w:autoSpaceDN w:val="0"/>
              <w:spacing w:before="144" w:line="371" w:lineRule="exact"/>
              <w:ind w:left="75"/>
              <w:rPr>
                <w:rFonts w:ascii="宋体" w:hAnsi="宋体" w:cs="宋体"/>
                <w:sz w:val="18"/>
                <w:szCs w:val="18"/>
              </w:rPr>
            </w:pPr>
            <w:r>
              <w:rPr>
                <w:rFonts w:ascii="宋体" w:hAnsi="宋体" w:cs="宋体"/>
                <w:spacing w:val="-2"/>
                <w:position w:val="14"/>
                <w:sz w:val="18"/>
                <w:szCs w:val="18"/>
              </w:rPr>
              <w:t>修、保养</w:t>
            </w:r>
          </w:p>
          <w:p w14:paraId="638C04B9">
            <w:pPr>
              <w:autoSpaceDE w:val="0"/>
              <w:autoSpaceDN w:val="0"/>
              <w:spacing w:line="220" w:lineRule="auto"/>
              <w:ind w:left="85"/>
              <w:rPr>
                <w:rFonts w:ascii="宋体" w:hAnsi="宋体" w:cs="宋体"/>
                <w:sz w:val="18"/>
                <w:szCs w:val="18"/>
              </w:rPr>
            </w:pPr>
            <w:r>
              <w:rPr>
                <w:rFonts w:ascii="宋体" w:hAnsi="宋体" w:cs="宋体"/>
                <w:spacing w:val="7"/>
                <w:sz w:val="18"/>
                <w:szCs w:val="18"/>
              </w:rPr>
              <w:t>(20分)</w:t>
            </w:r>
          </w:p>
        </w:tc>
        <w:tc>
          <w:tcPr>
            <w:tcW w:w="529" w:type="dxa"/>
            <w:noWrap w:val="0"/>
            <w:vAlign w:val="top"/>
          </w:tcPr>
          <w:p w14:paraId="4F780631">
            <w:pPr>
              <w:autoSpaceDE w:val="0"/>
              <w:autoSpaceDN w:val="0"/>
              <w:spacing w:before="248" w:line="183" w:lineRule="auto"/>
              <w:ind w:left="211"/>
              <w:rPr>
                <w:rFonts w:ascii="宋体" w:hAnsi="宋体" w:cs="宋体"/>
                <w:sz w:val="18"/>
                <w:szCs w:val="18"/>
              </w:rPr>
            </w:pPr>
            <w:r>
              <w:rPr>
                <w:rFonts w:ascii="宋体" w:hAnsi="宋体" w:cs="宋体"/>
                <w:sz w:val="18"/>
                <w:szCs w:val="18"/>
              </w:rPr>
              <w:t>2</w:t>
            </w:r>
          </w:p>
        </w:tc>
        <w:tc>
          <w:tcPr>
            <w:tcW w:w="7063" w:type="dxa"/>
            <w:noWrap w:val="0"/>
            <w:vAlign w:val="top"/>
          </w:tcPr>
          <w:p w14:paraId="62C7E510">
            <w:pPr>
              <w:autoSpaceDE w:val="0"/>
              <w:autoSpaceDN w:val="0"/>
              <w:spacing w:before="202" w:line="219" w:lineRule="auto"/>
              <w:ind w:left="111"/>
              <w:rPr>
                <w:rFonts w:ascii="宋体" w:hAnsi="宋体" w:cs="宋体"/>
                <w:sz w:val="18"/>
                <w:szCs w:val="18"/>
              </w:rPr>
            </w:pPr>
            <w:r>
              <w:rPr>
                <w:rFonts w:ascii="宋体" w:hAnsi="宋体" w:cs="宋体"/>
                <w:spacing w:val="7"/>
                <w:sz w:val="18"/>
                <w:szCs w:val="18"/>
              </w:rPr>
              <w:t>每15日未对电梯进行安全装置检查和加润滑油每次扣4分</w:t>
            </w:r>
          </w:p>
        </w:tc>
        <w:tc>
          <w:tcPr>
            <w:tcW w:w="651" w:type="dxa"/>
            <w:noWrap w:val="0"/>
            <w:vAlign w:val="top"/>
          </w:tcPr>
          <w:p w14:paraId="430E5B7F">
            <w:pPr>
              <w:autoSpaceDE w:val="0"/>
              <w:autoSpaceDN w:val="0"/>
              <w:rPr>
                <w:rFonts w:ascii="Arial" w:hAnsi="Calibri" w:cs="Arial"/>
                <w:sz w:val="21"/>
                <w:szCs w:val="22"/>
              </w:rPr>
            </w:pPr>
          </w:p>
        </w:tc>
      </w:tr>
      <w:tr w14:paraId="64BB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84" w:type="dxa"/>
            <w:vMerge w:val="continue"/>
            <w:tcBorders>
              <w:top w:val="nil"/>
              <w:bottom w:val="nil"/>
            </w:tcBorders>
            <w:noWrap w:val="0"/>
            <w:vAlign w:val="top"/>
          </w:tcPr>
          <w:p w14:paraId="4E8A73D2">
            <w:pPr>
              <w:autoSpaceDE w:val="0"/>
              <w:autoSpaceDN w:val="0"/>
              <w:rPr>
                <w:rFonts w:ascii="Arial" w:hAnsi="Calibri" w:cs="Arial"/>
                <w:sz w:val="21"/>
                <w:szCs w:val="22"/>
              </w:rPr>
            </w:pPr>
          </w:p>
        </w:tc>
        <w:tc>
          <w:tcPr>
            <w:tcW w:w="529" w:type="dxa"/>
            <w:noWrap w:val="0"/>
            <w:vAlign w:val="top"/>
          </w:tcPr>
          <w:p w14:paraId="3A40C4E3">
            <w:pPr>
              <w:autoSpaceDE w:val="0"/>
              <w:autoSpaceDN w:val="0"/>
              <w:spacing w:before="243" w:line="183" w:lineRule="auto"/>
              <w:ind w:left="211"/>
              <w:rPr>
                <w:rFonts w:ascii="宋体" w:hAnsi="宋体" w:cs="宋体"/>
                <w:sz w:val="18"/>
                <w:szCs w:val="18"/>
              </w:rPr>
            </w:pPr>
            <w:r>
              <w:rPr>
                <w:rFonts w:ascii="宋体" w:hAnsi="宋体" w:cs="宋体"/>
                <w:sz w:val="18"/>
                <w:szCs w:val="18"/>
              </w:rPr>
              <w:t>3</w:t>
            </w:r>
          </w:p>
        </w:tc>
        <w:tc>
          <w:tcPr>
            <w:tcW w:w="7063" w:type="dxa"/>
            <w:noWrap w:val="0"/>
            <w:vAlign w:val="top"/>
          </w:tcPr>
          <w:p w14:paraId="02412F1F">
            <w:pPr>
              <w:autoSpaceDE w:val="0"/>
              <w:autoSpaceDN w:val="0"/>
              <w:spacing w:before="197" w:line="219" w:lineRule="auto"/>
              <w:ind w:left="111"/>
              <w:rPr>
                <w:rFonts w:ascii="宋体" w:hAnsi="宋体" w:cs="宋体"/>
                <w:sz w:val="18"/>
                <w:szCs w:val="18"/>
              </w:rPr>
            </w:pPr>
            <w:r>
              <w:rPr>
                <w:rFonts w:ascii="宋体" w:hAnsi="宋体" w:cs="宋体"/>
                <w:spacing w:val="5"/>
                <w:sz w:val="18"/>
                <w:szCs w:val="18"/>
              </w:rPr>
              <w:t>保养记录不齐全或记录有偏差每次扣4分</w:t>
            </w:r>
          </w:p>
        </w:tc>
        <w:tc>
          <w:tcPr>
            <w:tcW w:w="651" w:type="dxa"/>
            <w:noWrap w:val="0"/>
            <w:vAlign w:val="top"/>
          </w:tcPr>
          <w:p w14:paraId="08BB5B21">
            <w:pPr>
              <w:autoSpaceDE w:val="0"/>
              <w:autoSpaceDN w:val="0"/>
              <w:rPr>
                <w:rFonts w:ascii="Arial" w:hAnsi="Calibri" w:cs="Arial"/>
                <w:sz w:val="21"/>
                <w:szCs w:val="22"/>
              </w:rPr>
            </w:pPr>
          </w:p>
        </w:tc>
      </w:tr>
      <w:tr w14:paraId="1509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84" w:type="dxa"/>
            <w:vMerge w:val="continue"/>
            <w:tcBorders>
              <w:top w:val="nil"/>
              <w:bottom w:val="nil"/>
            </w:tcBorders>
            <w:noWrap w:val="0"/>
            <w:vAlign w:val="top"/>
          </w:tcPr>
          <w:p w14:paraId="1D8B78B6">
            <w:pPr>
              <w:autoSpaceDE w:val="0"/>
              <w:autoSpaceDN w:val="0"/>
              <w:rPr>
                <w:rFonts w:ascii="Arial" w:hAnsi="Calibri" w:cs="Arial"/>
                <w:sz w:val="21"/>
                <w:szCs w:val="22"/>
              </w:rPr>
            </w:pPr>
          </w:p>
        </w:tc>
        <w:tc>
          <w:tcPr>
            <w:tcW w:w="529" w:type="dxa"/>
            <w:noWrap w:val="0"/>
            <w:vAlign w:val="top"/>
          </w:tcPr>
          <w:p w14:paraId="643BC4E7">
            <w:pPr>
              <w:autoSpaceDE w:val="0"/>
              <w:autoSpaceDN w:val="0"/>
              <w:spacing w:before="253" w:line="183" w:lineRule="auto"/>
              <w:ind w:left="211"/>
              <w:rPr>
                <w:rFonts w:ascii="宋体" w:hAnsi="宋体" w:cs="宋体"/>
                <w:sz w:val="18"/>
                <w:szCs w:val="18"/>
              </w:rPr>
            </w:pPr>
            <w:r>
              <w:rPr>
                <w:rFonts w:ascii="宋体" w:hAnsi="宋体" w:cs="宋体"/>
                <w:sz w:val="18"/>
                <w:szCs w:val="18"/>
              </w:rPr>
              <w:t>4</w:t>
            </w:r>
          </w:p>
        </w:tc>
        <w:tc>
          <w:tcPr>
            <w:tcW w:w="7063" w:type="dxa"/>
            <w:noWrap w:val="0"/>
            <w:vAlign w:val="top"/>
          </w:tcPr>
          <w:p w14:paraId="18C7EF17">
            <w:pPr>
              <w:autoSpaceDE w:val="0"/>
              <w:autoSpaceDN w:val="0"/>
              <w:spacing w:before="207" w:line="219" w:lineRule="auto"/>
              <w:ind w:left="111"/>
              <w:rPr>
                <w:rFonts w:ascii="宋体" w:hAnsi="宋体" w:cs="宋体"/>
                <w:sz w:val="18"/>
                <w:szCs w:val="18"/>
              </w:rPr>
            </w:pPr>
            <w:r>
              <w:rPr>
                <w:rFonts w:ascii="宋体" w:hAnsi="宋体" w:cs="宋体"/>
                <w:spacing w:val="6"/>
                <w:sz w:val="18"/>
                <w:szCs w:val="18"/>
              </w:rPr>
              <w:t>发现故障或隐患未及时处理每次扣4分</w:t>
            </w:r>
          </w:p>
        </w:tc>
        <w:tc>
          <w:tcPr>
            <w:tcW w:w="651" w:type="dxa"/>
            <w:noWrap w:val="0"/>
            <w:vAlign w:val="top"/>
          </w:tcPr>
          <w:p w14:paraId="4C80095A">
            <w:pPr>
              <w:autoSpaceDE w:val="0"/>
              <w:autoSpaceDN w:val="0"/>
              <w:rPr>
                <w:rFonts w:ascii="Arial" w:hAnsi="Calibri" w:cs="Arial"/>
                <w:sz w:val="21"/>
                <w:szCs w:val="22"/>
              </w:rPr>
            </w:pPr>
          </w:p>
        </w:tc>
      </w:tr>
      <w:tr w14:paraId="1F94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84" w:type="dxa"/>
            <w:vMerge w:val="continue"/>
            <w:tcBorders>
              <w:top w:val="nil"/>
            </w:tcBorders>
            <w:noWrap w:val="0"/>
            <w:vAlign w:val="top"/>
          </w:tcPr>
          <w:p w14:paraId="5BD0DFF3">
            <w:pPr>
              <w:autoSpaceDE w:val="0"/>
              <w:autoSpaceDN w:val="0"/>
              <w:rPr>
                <w:rFonts w:ascii="Arial" w:hAnsi="Calibri" w:cs="Arial"/>
                <w:sz w:val="21"/>
                <w:szCs w:val="22"/>
              </w:rPr>
            </w:pPr>
          </w:p>
        </w:tc>
        <w:tc>
          <w:tcPr>
            <w:tcW w:w="529" w:type="dxa"/>
            <w:noWrap w:val="0"/>
            <w:vAlign w:val="top"/>
          </w:tcPr>
          <w:p w14:paraId="3CFBF3CF">
            <w:pPr>
              <w:autoSpaceDE w:val="0"/>
              <w:autoSpaceDN w:val="0"/>
              <w:spacing w:line="255" w:lineRule="auto"/>
              <w:rPr>
                <w:rFonts w:ascii="Arial" w:hAnsi="Calibri" w:cs="Arial"/>
                <w:sz w:val="21"/>
                <w:szCs w:val="22"/>
              </w:rPr>
            </w:pPr>
          </w:p>
          <w:p w14:paraId="26E2ED87">
            <w:pPr>
              <w:autoSpaceDE w:val="0"/>
              <w:autoSpaceDN w:val="0"/>
              <w:spacing w:before="59" w:line="182" w:lineRule="auto"/>
              <w:ind w:left="211"/>
              <w:rPr>
                <w:rFonts w:ascii="宋体" w:hAnsi="宋体" w:cs="宋体"/>
                <w:sz w:val="18"/>
                <w:szCs w:val="18"/>
              </w:rPr>
            </w:pPr>
            <w:r>
              <w:rPr>
                <w:rFonts w:ascii="宋体" w:hAnsi="宋体" w:cs="宋体"/>
                <w:sz w:val="18"/>
                <w:szCs w:val="18"/>
              </w:rPr>
              <w:t>5</w:t>
            </w:r>
          </w:p>
        </w:tc>
        <w:tc>
          <w:tcPr>
            <w:tcW w:w="7063" w:type="dxa"/>
            <w:noWrap w:val="0"/>
            <w:vAlign w:val="top"/>
          </w:tcPr>
          <w:p w14:paraId="171FB67B">
            <w:pPr>
              <w:autoSpaceDE w:val="0"/>
              <w:autoSpaceDN w:val="0"/>
              <w:spacing w:before="128" w:line="370" w:lineRule="exact"/>
              <w:ind w:left="111"/>
              <w:rPr>
                <w:rFonts w:ascii="宋体" w:hAnsi="宋体" w:cs="宋体"/>
                <w:sz w:val="18"/>
                <w:szCs w:val="18"/>
              </w:rPr>
            </w:pPr>
            <w:r>
              <w:rPr>
                <w:rFonts w:ascii="宋体" w:hAnsi="宋体" w:cs="宋体"/>
                <w:spacing w:val="8"/>
                <w:position w:val="14"/>
                <w:sz w:val="18"/>
                <w:szCs w:val="18"/>
              </w:rPr>
              <w:t>各台电梯月故障率控制在2次以下(使用不当或环境因素除外)、超出一次扣4分(此项</w:t>
            </w:r>
          </w:p>
          <w:p w14:paraId="7A689683">
            <w:pPr>
              <w:autoSpaceDE w:val="0"/>
              <w:autoSpaceDN w:val="0"/>
              <w:spacing w:line="216" w:lineRule="auto"/>
              <w:ind w:left="111"/>
              <w:rPr>
                <w:rFonts w:ascii="宋体" w:hAnsi="宋体" w:cs="宋体"/>
                <w:sz w:val="18"/>
                <w:szCs w:val="18"/>
              </w:rPr>
            </w:pPr>
            <w:r>
              <w:rPr>
                <w:rFonts w:ascii="宋体" w:hAnsi="宋体" w:cs="宋体"/>
                <w:spacing w:val="3"/>
                <w:sz w:val="18"/>
                <w:szCs w:val="18"/>
              </w:rPr>
              <w:t>扣分无上限限制，按实际次数扣分)</w:t>
            </w:r>
          </w:p>
        </w:tc>
        <w:tc>
          <w:tcPr>
            <w:tcW w:w="651" w:type="dxa"/>
            <w:noWrap w:val="0"/>
            <w:vAlign w:val="top"/>
          </w:tcPr>
          <w:p w14:paraId="3A0964EF">
            <w:pPr>
              <w:autoSpaceDE w:val="0"/>
              <w:autoSpaceDN w:val="0"/>
              <w:rPr>
                <w:rFonts w:ascii="Arial" w:hAnsi="Calibri" w:cs="Arial"/>
                <w:sz w:val="21"/>
                <w:szCs w:val="22"/>
              </w:rPr>
            </w:pPr>
          </w:p>
        </w:tc>
      </w:tr>
      <w:tr w14:paraId="1BB3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4" w:type="dxa"/>
            <w:vMerge w:val="restart"/>
            <w:tcBorders>
              <w:bottom w:val="nil"/>
            </w:tcBorders>
            <w:noWrap w:val="0"/>
            <w:vAlign w:val="top"/>
          </w:tcPr>
          <w:p w14:paraId="540FF4F8">
            <w:pPr>
              <w:autoSpaceDE w:val="0"/>
              <w:autoSpaceDN w:val="0"/>
              <w:spacing w:line="265" w:lineRule="auto"/>
              <w:rPr>
                <w:rFonts w:ascii="Arial" w:hAnsi="Calibri" w:cs="Arial"/>
                <w:sz w:val="21"/>
                <w:szCs w:val="22"/>
              </w:rPr>
            </w:pPr>
          </w:p>
          <w:p w14:paraId="79B3457D">
            <w:pPr>
              <w:autoSpaceDE w:val="0"/>
              <w:autoSpaceDN w:val="0"/>
              <w:spacing w:line="265" w:lineRule="auto"/>
              <w:rPr>
                <w:rFonts w:ascii="Arial" w:hAnsi="Calibri" w:cs="Arial"/>
                <w:sz w:val="21"/>
                <w:szCs w:val="22"/>
              </w:rPr>
            </w:pPr>
          </w:p>
          <w:p w14:paraId="25C0AB8D">
            <w:pPr>
              <w:autoSpaceDE w:val="0"/>
              <w:autoSpaceDN w:val="0"/>
              <w:spacing w:before="58" w:line="372" w:lineRule="auto"/>
              <w:ind w:left="85" w:right="166" w:firstLine="169"/>
              <w:rPr>
                <w:rFonts w:ascii="宋体" w:hAnsi="宋体" w:cs="宋体"/>
                <w:sz w:val="18"/>
                <w:szCs w:val="18"/>
              </w:rPr>
            </w:pPr>
            <w:r>
              <w:rPr>
                <w:rFonts w:ascii="宋体" w:hAnsi="宋体" w:cs="宋体"/>
                <w:spacing w:val="15"/>
                <w:sz w:val="18"/>
                <w:szCs w:val="18"/>
              </w:rPr>
              <w:t>曳引</w:t>
            </w:r>
            <w:r>
              <w:rPr>
                <w:rFonts w:ascii="宋体" w:hAnsi="宋体" w:cs="宋体"/>
                <w:sz w:val="18"/>
                <w:szCs w:val="18"/>
              </w:rPr>
              <w:t xml:space="preserve"> </w:t>
            </w:r>
            <w:r>
              <w:rPr>
                <w:rFonts w:ascii="宋体" w:hAnsi="宋体" w:cs="宋体"/>
                <w:spacing w:val="-3"/>
                <w:sz w:val="18"/>
                <w:szCs w:val="18"/>
              </w:rPr>
              <w:t>机维修</w:t>
            </w:r>
            <w:r>
              <w:rPr>
                <w:rFonts w:ascii="宋体" w:hAnsi="宋体" w:cs="宋体"/>
                <w:sz w:val="18"/>
                <w:szCs w:val="18"/>
              </w:rPr>
              <w:t xml:space="preserve">  </w:t>
            </w:r>
            <w:r>
              <w:rPr>
                <w:rFonts w:ascii="宋体" w:hAnsi="宋体" w:cs="宋体"/>
                <w:spacing w:val="-2"/>
                <w:sz w:val="18"/>
                <w:szCs w:val="18"/>
              </w:rPr>
              <w:t>保养(20</w:t>
            </w:r>
          </w:p>
          <w:p w14:paraId="4D5817C4">
            <w:pPr>
              <w:autoSpaceDE w:val="0"/>
              <w:autoSpaceDN w:val="0"/>
              <w:spacing w:line="220" w:lineRule="auto"/>
              <w:ind w:left="85"/>
              <w:rPr>
                <w:rFonts w:ascii="宋体" w:hAnsi="宋体" w:cs="宋体"/>
                <w:sz w:val="18"/>
                <w:szCs w:val="18"/>
              </w:rPr>
            </w:pPr>
            <w:r>
              <w:rPr>
                <w:rFonts w:ascii="宋体" w:hAnsi="宋体" w:cs="宋体"/>
                <w:spacing w:val="-5"/>
                <w:sz w:val="18"/>
                <w:szCs w:val="18"/>
              </w:rPr>
              <w:t>分</w:t>
            </w:r>
            <w:r>
              <w:rPr>
                <w:rFonts w:ascii="宋体" w:hAnsi="宋体" w:cs="宋体"/>
                <w:spacing w:val="-34"/>
                <w:sz w:val="18"/>
                <w:szCs w:val="18"/>
              </w:rPr>
              <w:t xml:space="preserve"> </w:t>
            </w:r>
            <w:r>
              <w:rPr>
                <w:rFonts w:ascii="宋体" w:hAnsi="宋体" w:cs="宋体"/>
                <w:spacing w:val="-5"/>
                <w:sz w:val="18"/>
                <w:szCs w:val="18"/>
              </w:rPr>
              <w:t>)</w:t>
            </w:r>
          </w:p>
        </w:tc>
        <w:tc>
          <w:tcPr>
            <w:tcW w:w="529" w:type="dxa"/>
            <w:noWrap w:val="0"/>
            <w:vAlign w:val="top"/>
          </w:tcPr>
          <w:p w14:paraId="36DA0341">
            <w:pPr>
              <w:autoSpaceDE w:val="0"/>
              <w:autoSpaceDN w:val="0"/>
              <w:spacing w:before="254" w:line="184" w:lineRule="auto"/>
              <w:ind w:left="211"/>
              <w:rPr>
                <w:rFonts w:ascii="宋体" w:hAnsi="宋体" w:cs="宋体"/>
                <w:sz w:val="18"/>
                <w:szCs w:val="18"/>
              </w:rPr>
            </w:pPr>
            <w:r>
              <w:rPr>
                <w:rFonts w:ascii="宋体" w:hAnsi="宋体" w:cs="宋体"/>
                <w:sz w:val="18"/>
                <w:szCs w:val="18"/>
              </w:rPr>
              <w:t>1</w:t>
            </w:r>
          </w:p>
        </w:tc>
        <w:tc>
          <w:tcPr>
            <w:tcW w:w="7063" w:type="dxa"/>
            <w:noWrap w:val="0"/>
            <w:vAlign w:val="top"/>
          </w:tcPr>
          <w:p w14:paraId="1616D34D">
            <w:pPr>
              <w:autoSpaceDE w:val="0"/>
              <w:autoSpaceDN w:val="0"/>
              <w:spacing w:before="208" w:line="219" w:lineRule="auto"/>
              <w:ind w:left="111"/>
              <w:rPr>
                <w:rFonts w:ascii="宋体" w:hAnsi="宋体" w:cs="宋体"/>
                <w:sz w:val="18"/>
                <w:szCs w:val="18"/>
              </w:rPr>
            </w:pPr>
            <w:r>
              <w:rPr>
                <w:rFonts w:ascii="宋体" w:hAnsi="宋体" w:cs="宋体"/>
                <w:spacing w:val="3"/>
                <w:sz w:val="18"/>
                <w:szCs w:val="18"/>
              </w:rPr>
              <w:t>每年未检查曳引机蜗轮箱内油质、油位及蜗轮、蜗杆的齿合情况每次扣5分</w:t>
            </w:r>
          </w:p>
        </w:tc>
        <w:tc>
          <w:tcPr>
            <w:tcW w:w="651" w:type="dxa"/>
            <w:noWrap w:val="0"/>
            <w:vAlign w:val="top"/>
          </w:tcPr>
          <w:p w14:paraId="6B00B992">
            <w:pPr>
              <w:autoSpaceDE w:val="0"/>
              <w:autoSpaceDN w:val="0"/>
              <w:rPr>
                <w:rFonts w:ascii="Arial" w:hAnsi="Calibri" w:cs="Arial"/>
                <w:sz w:val="21"/>
                <w:szCs w:val="22"/>
              </w:rPr>
            </w:pPr>
          </w:p>
        </w:tc>
      </w:tr>
      <w:tr w14:paraId="22CA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84" w:type="dxa"/>
            <w:vMerge w:val="continue"/>
            <w:tcBorders>
              <w:top w:val="nil"/>
              <w:bottom w:val="nil"/>
            </w:tcBorders>
            <w:noWrap w:val="0"/>
            <w:vAlign w:val="top"/>
          </w:tcPr>
          <w:p w14:paraId="34CF6ED6">
            <w:pPr>
              <w:autoSpaceDE w:val="0"/>
              <w:autoSpaceDN w:val="0"/>
              <w:rPr>
                <w:rFonts w:ascii="Arial" w:hAnsi="Calibri" w:cs="Arial"/>
                <w:sz w:val="21"/>
                <w:szCs w:val="22"/>
              </w:rPr>
            </w:pPr>
          </w:p>
        </w:tc>
        <w:tc>
          <w:tcPr>
            <w:tcW w:w="529" w:type="dxa"/>
            <w:noWrap w:val="0"/>
            <w:vAlign w:val="top"/>
          </w:tcPr>
          <w:p w14:paraId="3236F299">
            <w:pPr>
              <w:autoSpaceDE w:val="0"/>
              <w:autoSpaceDN w:val="0"/>
              <w:spacing w:before="245" w:line="183" w:lineRule="auto"/>
              <w:ind w:left="211"/>
              <w:rPr>
                <w:rFonts w:ascii="宋体" w:hAnsi="宋体" w:cs="宋体"/>
                <w:sz w:val="18"/>
                <w:szCs w:val="18"/>
              </w:rPr>
            </w:pPr>
            <w:r>
              <w:rPr>
                <w:rFonts w:ascii="宋体" w:hAnsi="宋体" w:cs="宋体"/>
                <w:sz w:val="18"/>
                <w:szCs w:val="18"/>
              </w:rPr>
              <w:t>2</w:t>
            </w:r>
          </w:p>
        </w:tc>
        <w:tc>
          <w:tcPr>
            <w:tcW w:w="7063" w:type="dxa"/>
            <w:noWrap w:val="0"/>
            <w:vAlign w:val="top"/>
          </w:tcPr>
          <w:p w14:paraId="7B50A62E">
            <w:pPr>
              <w:autoSpaceDE w:val="0"/>
              <w:autoSpaceDN w:val="0"/>
              <w:spacing w:before="198" w:line="219" w:lineRule="auto"/>
              <w:ind w:left="111"/>
              <w:rPr>
                <w:rFonts w:ascii="宋体" w:hAnsi="宋体" w:cs="宋体"/>
                <w:sz w:val="18"/>
                <w:szCs w:val="18"/>
              </w:rPr>
            </w:pPr>
            <w:r>
              <w:rPr>
                <w:rFonts w:ascii="宋体" w:hAnsi="宋体" w:cs="宋体"/>
                <w:spacing w:val="5"/>
                <w:sz w:val="18"/>
                <w:szCs w:val="18"/>
              </w:rPr>
              <w:t>每月未对曳引机复绕轮、过桥轮加油每次扣5分</w:t>
            </w:r>
          </w:p>
        </w:tc>
        <w:tc>
          <w:tcPr>
            <w:tcW w:w="651" w:type="dxa"/>
            <w:noWrap w:val="0"/>
            <w:vAlign w:val="top"/>
          </w:tcPr>
          <w:p w14:paraId="4F0FDF91">
            <w:pPr>
              <w:autoSpaceDE w:val="0"/>
              <w:autoSpaceDN w:val="0"/>
              <w:rPr>
                <w:rFonts w:ascii="Arial" w:hAnsi="Calibri" w:cs="Arial"/>
                <w:sz w:val="21"/>
                <w:szCs w:val="22"/>
              </w:rPr>
            </w:pPr>
          </w:p>
        </w:tc>
      </w:tr>
      <w:tr w14:paraId="54AD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4" w:type="dxa"/>
            <w:vMerge w:val="continue"/>
            <w:tcBorders>
              <w:top w:val="nil"/>
              <w:bottom w:val="nil"/>
            </w:tcBorders>
            <w:noWrap w:val="0"/>
            <w:vAlign w:val="top"/>
          </w:tcPr>
          <w:p w14:paraId="40A9D1DE">
            <w:pPr>
              <w:autoSpaceDE w:val="0"/>
              <w:autoSpaceDN w:val="0"/>
              <w:rPr>
                <w:rFonts w:ascii="Arial" w:hAnsi="Calibri" w:cs="Arial"/>
                <w:sz w:val="21"/>
                <w:szCs w:val="22"/>
              </w:rPr>
            </w:pPr>
          </w:p>
        </w:tc>
        <w:tc>
          <w:tcPr>
            <w:tcW w:w="529" w:type="dxa"/>
            <w:noWrap w:val="0"/>
            <w:vAlign w:val="top"/>
          </w:tcPr>
          <w:p w14:paraId="496802C6">
            <w:pPr>
              <w:autoSpaceDE w:val="0"/>
              <w:autoSpaceDN w:val="0"/>
              <w:spacing w:before="255" w:line="183" w:lineRule="auto"/>
              <w:ind w:left="211"/>
              <w:rPr>
                <w:rFonts w:ascii="宋体" w:hAnsi="宋体" w:cs="宋体"/>
                <w:sz w:val="18"/>
                <w:szCs w:val="18"/>
              </w:rPr>
            </w:pPr>
            <w:r>
              <w:rPr>
                <w:rFonts w:ascii="宋体" w:hAnsi="宋体" w:cs="宋体"/>
                <w:sz w:val="18"/>
                <w:szCs w:val="18"/>
              </w:rPr>
              <w:t>3</w:t>
            </w:r>
          </w:p>
        </w:tc>
        <w:tc>
          <w:tcPr>
            <w:tcW w:w="7063" w:type="dxa"/>
            <w:noWrap w:val="0"/>
            <w:vAlign w:val="top"/>
          </w:tcPr>
          <w:p w14:paraId="1FF3B8C5">
            <w:pPr>
              <w:autoSpaceDE w:val="0"/>
              <w:autoSpaceDN w:val="0"/>
              <w:spacing w:before="208" w:line="219" w:lineRule="auto"/>
              <w:ind w:left="111"/>
              <w:rPr>
                <w:rFonts w:ascii="宋体" w:hAnsi="宋体" w:cs="宋体"/>
                <w:sz w:val="18"/>
                <w:szCs w:val="18"/>
              </w:rPr>
            </w:pPr>
            <w:r>
              <w:rPr>
                <w:rFonts w:ascii="宋体" w:hAnsi="宋体" w:cs="宋体"/>
                <w:spacing w:val="5"/>
                <w:sz w:val="18"/>
                <w:szCs w:val="18"/>
              </w:rPr>
              <w:t>未检查曳引机制动器手动松闸凸轮并紧固每次扣5分</w:t>
            </w:r>
          </w:p>
        </w:tc>
        <w:tc>
          <w:tcPr>
            <w:tcW w:w="651" w:type="dxa"/>
            <w:noWrap w:val="0"/>
            <w:vAlign w:val="top"/>
          </w:tcPr>
          <w:p w14:paraId="060C9E69">
            <w:pPr>
              <w:autoSpaceDE w:val="0"/>
              <w:autoSpaceDN w:val="0"/>
              <w:rPr>
                <w:rFonts w:ascii="Arial" w:hAnsi="Calibri" w:cs="Arial"/>
                <w:sz w:val="21"/>
                <w:szCs w:val="22"/>
              </w:rPr>
            </w:pPr>
          </w:p>
        </w:tc>
      </w:tr>
      <w:tr w14:paraId="10455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4" w:type="dxa"/>
            <w:vMerge w:val="continue"/>
            <w:tcBorders>
              <w:top w:val="nil"/>
            </w:tcBorders>
            <w:noWrap w:val="0"/>
            <w:vAlign w:val="top"/>
          </w:tcPr>
          <w:p w14:paraId="5BD99D1D">
            <w:pPr>
              <w:autoSpaceDE w:val="0"/>
              <w:autoSpaceDN w:val="0"/>
              <w:rPr>
                <w:rFonts w:ascii="Arial" w:hAnsi="Calibri" w:cs="Arial"/>
                <w:sz w:val="21"/>
                <w:szCs w:val="22"/>
              </w:rPr>
            </w:pPr>
          </w:p>
        </w:tc>
        <w:tc>
          <w:tcPr>
            <w:tcW w:w="529" w:type="dxa"/>
            <w:noWrap w:val="0"/>
            <w:vAlign w:val="top"/>
          </w:tcPr>
          <w:p w14:paraId="563F0104">
            <w:pPr>
              <w:autoSpaceDE w:val="0"/>
              <w:autoSpaceDN w:val="0"/>
              <w:spacing w:before="255" w:line="183" w:lineRule="auto"/>
              <w:ind w:left="211"/>
              <w:rPr>
                <w:rFonts w:ascii="宋体" w:hAnsi="宋体" w:cs="宋体"/>
                <w:sz w:val="18"/>
                <w:szCs w:val="18"/>
              </w:rPr>
            </w:pPr>
            <w:r>
              <w:rPr>
                <w:rFonts w:ascii="宋体" w:hAnsi="宋体" w:cs="宋体"/>
                <w:sz w:val="18"/>
                <w:szCs w:val="18"/>
              </w:rPr>
              <w:t>4</w:t>
            </w:r>
          </w:p>
        </w:tc>
        <w:tc>
          <w:tcPr>
            <w:tcW w:w="7063" w:type="dxa"/>
            <w:noWrap w:val="0"/>
            <w:vAlign w:val="top"/>
          </w:tcPr>
          <w:p w14:paraId="5279C330">
            <w:pPr>
              <w:autoSpaceDE w:val="0"/>
              <w:autoSpaceDN w:val="0"/>
              <w:spacing w:before="208" w:line="219" w:lineRule="auto"/>
              <w:ind w:left="111"/>
              <w:rPr>
                <w:rFonts w:ascii="宋体" w:hAnsi="宋体" w:cs="宋体"/>
                <w:sz w:val="18"/>
                <w:szCs w:val="18"/>
              </w:rPr>
            </w:pPr>
            <w:r>
              <w:rPr>
                <w:rFonts w:ascii="宋体" w:hAnsi="宋体" w:cs="宋体"/>
                <w:spacing w:val="4"/>
                <w:sz w:val="18"/>
                <w:szCs w:val="18"/>
              </w:rPr>
              <w:t>未检查紧固曳引机座和箱体螺栓及曳引机清洁每次扣5分</w:t>
            </w:r>
          </w:p>
        </w:tc>
        <w:tc>
          <w:tcPr>
            <w:tcW w:w="651" w:type="dxa"/>
            <w:noWrap w:val="0"/>
            <w:vAlign w:val="top"/>
          </w:tcPr>
          <w:p w14:paraId="71D09E7B">
            <w:pPr>
              <w:autoSpaceDE w:val="0"/>
              <w:autoSpaceDN w:val="0"/>
              <w:rPr>
                <w:rFonts w:ascii="Arial" w:hAnsi="Calibri" w:cs="Arial"/>
                <w:sz w:val="21"/>
                <w:szCs w:val="22"/>
              </w:rPr>
            </w:pPr>
          </w:p>
        </w:tc>
      </w:tr>
      <w:tr w14:paraId="39C8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84" w:type="dxa"/>
            <w:vMerge w:val="restart"/>
            <w:tcBorders>
              <w:bottom w:val="nil"/>
            </w:tcBorders>
            <w:noWrap w:val="0"/>
            <w:vAlign w:val="top"/>
          </w:tcPr>
          <w:p w14:paraId="6795855B">
            <w:pPr>
              <w:autoSpaceDE w:val="0"/>
              <w:autoSpaceDN w:val="0"/>
              <w:spacing w:before="128" w:line="362" w:lineRule="exact"/>
              <w:ind w:left="85"/>
              <w:rPr>
                <w:rFonts w:ascii="宋体" w:hAnsi="宋体" w:cs="宋体"/>
                <w:sz w:val="18"/>
                <w:szCs w:val="18"/>
              </w:rPr>
            </w:pPr>
            <w:r>
              <w:rPr>
                <w:rFonts w:ascii="宋体" w:hAnsi="宋体" w:cs="宋体"/>
                <w:spacing w:val="2"/>
                <w:position w:val="13"/>
                <w:sz w:val="18"/>
                <w:szCs w:val="18"/>
              </w:rPr>
              <w:t>电梯机</w:t>
            </w:r>
          </w:p>
          <w:p w14:paraId="1D7AF63A">
            <w:pPr>
              <w:autoSpaceDE w:val="0"/>
              <w:autoSpaceDN w:val="0"/>
              <w:spacing w:line="220" w:lineRule="auto"/>
              <w:ind w:left="85"/>
              <w:rPr>
                <w:rFonts w:ascii="宋体" w:hAnsi="宋体" w:cs="宋体"/>
                <w:sz w:val="18"/>
                <w:szCs w:val="18"/>
              </w:rPr>
            </w:pPr>
            <w:r>
              <w:rPr>
                <w:rFonts w:ascii="宋体" w:hAnsi="宋体" w:cs="宋体"/>
                <w:spacing w:val="-2"/>
                <w:sz w:val="18"/>
                <w:szCs w:val="18"/>
              </w:rPr>
              <w:t>房环境</w:t>
            </w:r>
          </w:p>
          <w:p w14:paraId="45008D18">
            <w:pPr>
              <w:autoSpaceDE w:val="0"/>
              <w:autoSpaceDN w:val="0"/>
              <w:spacing w:before="134" w:line="219" w:lineRule="auto"/>
              <w:ind w:left="85"/>
              <w:rPr>
                <w:rFonts w:ascii="宋体" w:hAnsi="宋体" w:cs="宋体"/>
                <w:sz w:val="18"/>
                <w:szCs w:val="18"/>
              </w:rPr>
            </w:pPr>
            <w:r>
              <w:rPr>
                <w:rFonts w:ascii="宋体" w:hAnsi="宋体" w:cs="宋体"/>
                <w:spacing w:val="-2"/>
                <w:sz w:val="18"/>
                <w:szCs w:val="18"/>
              </w:rPr>
              <w:t>卫生符</w:t>
            </w:r>
          </w:p>
          <w:p w14:paraId="033EEC37">
            <w:pPr>
              <w:autoSpaceDE w:val="0"/>
              <w:autoSpaceDN w:val="0"/>
              <w:spacing w:before="157" w:line="221" w:lineRule="auto"/>
              <w:ind w:left="85"/>
              <w:rPr>
                <w:rFonts w:ascii="宋体" w:hAnsi="宋体" w:cs="宋体"/>
                <w:sz w:val="18"/>
                <w:szCs w:val="18"/>
              </w:rPr>
            </w:pPr>
            <w:r>
              <w:rPr>
                <w:rFonts w:ascii="宋体" w:hAnsi="宋体" w:cs="宋体"/>
                <w:spacing w:val="-2"/>
                <w:sz w:val="18"/>
                <w:szCs w:val="18"/>
              </w:rPr>
              <w:t>合设备</w:t>
            </w:r>
          </w:p>
          <w:p w14:paraId="60DD518A">
            <w:pPr>
              <w:autoSpaceDE w:val="0"/>
              <w:autoSpaceDN w:val="0"/>
              <w:spacing w:before="144" w:line="221" w:lineRule="auto"/>
              <w:ind w:left="85"/>
              <w:rPr>
                <w:rFonts w:ascii="宋体" w:hAnsi="宋体" w:cs="宋体"/>
                <w:sz w:val="18"/>
                <w:szCs w:val="18"/>
              </w:rPr>
            </w:pPr>
            <w:r>
              <w:rPr>
                <w:rFonts w:ascii="宋体" w:hAnsi="宋体" w:cs="宋体"/>
                <w:spacing w:val="-3"/>
                <w:sz w:val="18"/>
                <w:szCs w:val="18"/>
              </w:rPr>
              <w:t>安全要</w:t>
            </w:r>
          </w:p>
          <w:p w14:paraId="6AF32D2A">
            <w:pPr>
              <w:autoSpaceDE w:val="0"/>
              <w:autoSpaceDN w:val="0"/>
              <w:spacing w:before="134" w:line="221" w:lineRule="auto"/>
              <w:ind w:left="85"/>
              <w:rPr>
                <w:rFonts w:ascii="宋体" w:hAnsi="宋体" w:cs="宋体"/>
                <w:sz w:val="18"/>
                <w:szCs w:val="18"/>
              </w:rPr>
            </w:pPr>
            <w:r>
              <w:rPr>
                <w:rFonts w:ascii="宋体" w:hAnsi="宋体" w:cs="宋体"/>
                <w:sz w:val="18"/>
                <w:szCs w:val="18"/>
              </w:rPr>
              <w:t>求</w:t>
            </w:r>
          </w:p>
          <w:p w14:paraId="4C5953FC">
            <w:pPr>
              <w:autoSpaceDE w:val="0"/>
              <w:autoSpaceDN w:val="0"/>
              <w:spacing w:before="144" w:line="220" w:lineRule="auto"/>
              <w:ind w:left="85"/>
              <w:rPr>
                <w:rFonts w:ascii="宋体" w:hAnsi="宋体" w:cs="宋体"/>
                <w:sz w:val="18"/>
                <w:szCs w:val="18"/>
              </w:rPr>
            </w:pPr>
            <w:r>
              <w:rPr>
                <w:rFonts w:ascii="宋体" w:hAnsi="宋体" w:cs="宋体"/>
                <w:spacing w:val="7"/>
                <w:sz w:val="18"/>
                <w:szCs w:val="18"/>
              </w:rPr>
              <w:t>(20分)</w:t>
            </w:r>
          </w:p>
        </w:tc>
        <w:tc>
          <w:tcPr>
            <w:tcW w:w="529" w:type="dxa"/>
            <w:noWrap w:val="0"/>
            <w:vAlign w:val="top"/>
          </w:tcPr>
          <w:p w14:paraId="2F279225">
            <w:pPr>
              <w:autoSpaceDE w:val="0"/>
              <w:autoSpaceDN w:val="0"/>
              <w:spacing w:before="244" w:line="184" w:lineRule="auto"/>
              <w:ind w:left="211"/>
              <w:rPr>
                <w:rFonts w:ascii="宋体" w:hAnsi="宋体" w:cs="宋体"/>
                <w:sz w:val="18"/>
                <w:szCs w:val="18"/>
              </w:rPr>
            </w:pPr>
            <w:r>
              <w:rPr>
                <w:rFonts w:ascii="宋体" w:hAnsi="宋体" w:cs="宋体"/>
                <w:sz w:val="18"/>
                <w:szCs w:val="18"/>
              </w:rPr>
              <w:t>1</w:t>
            </w:r>
          </w:p>
        </w:tc>
        <w:tc>
          <w:tcPr>
            <w:tcW w:w="7063" w:type="dxa"/>
            <w:noWrap w:val="0"/>
            <w:vAlign w:val="top"/>
          </w:tcPr>
          <w:p w14:paraId="15538C08">
            <w:pPr>
              <w:autoSpaceDE w:val="0"/>
              <w:autoSpaceDN w:val="0"/>
              <w:spacing w:before="198" w:line="219" w:lineRule="auto"/>
              <w:ind w:left="111"/>
              <w:rPr>
                <w:rFonts w:ascii="宋体" w:hAnsi="宋体" w:cs="宋体"/>
                <w:sz w:val="18"/>
                <w:szCs w:val="18"/>
              </w:rPr>
            </w:pPr>
            <w:r>
              <w:rPr>
                <w:rFonts w:ascii="宋体" w:hAnsi="宋体" w:cs="宋体"/>
                <w:spacing w:val="5"/>
                <w:sz w:val="18"/>
                <w:szCs w:val="18"/>
              </w:rPr>
              <w:t>电梯机房严重不清洁每次扣5分；</w:t>
            </w:r>
          </w:p>
        </w:tc>
        <w:tc>
          <w:tcPr>
            <w:tcW w:w="651" w:type="dxa"/>
            <w:noWrap w:val="0"/>
            <w:vAlign w:val="top"/>
          </w:tcPr>
          <w:p w14:paraId="4141CBDF">
            <w:pPr>
              <w:autoSpaceDE w:val="0"/>
              <w:autoSpaceDN w:val="0"/>
              <w:rPr>
                <w:rFonts w:ascii="Arial" w:hAnsi="Calibri" w:cs="Arial"/>
                <w:sz w:val="21"/>
                <w:szCs w:val="22"/>
              </w:rPr>
            </w:pPr>
          </w:p>
        </w:tc>
      </w:tr>
      <w:tr w14:paraId="2BC1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4" w:type="dxa"/>
            <w:vMerge w:val="continue"/>
            <w:tcBorders>
              <w:top w:val="nil"/>
              <w:bottom w:val="nil"/>
            </w:tcBorders>
            <w:noWrap w:val="0"/>
            <w:vAlign w:val="top"/>
          </w:tcPr>
          <w:p w14:paraId="4437C36C">
            <w:pPr>
              <w:autoSpaceDE w:val="0"/>
              <w:autoSpaceDN w:val="0"/>
              <w:rPr>
                <w:rFonts w:ascii="Arial" w:hAnsi="Calibri" w:cs="Arial"/>
                <w:sz w:val="21"/>
                <w:szCs w:val="22"/>
              </w:rPr>
            </w:pPr>
          </w:p>
        </w:tc>
        <w:tc>
          <w:tcPr>
            <w:tcW w:w="529" w:type="dxa"/>
            <w:noWrap w:val="0"/>
            <w:vAlign w:val="top"/>
          </w:tcPr>
          <w:p w14:paraId="18DB7BDC">
            <w:pPr>
              <w:autoSpaceDE w:val="0"/>
              <w:autoSpaceDN w:val="0"/>
              <w:spacing w:before="256" w:line="183" w:lineRule="auto"/>
              <w:ind w:left="211"/>
              <w:rPr>
                <w:rFonts w:ascii="宋体" w:hAnsi="宋体" w:cs="宋体"/>
                <w:sz w:val="18"/>
                <w:szCs w:val="18"/>
              </w:rPr>
            </w:pPr>
            <w:r>
              <w:rPr>
                <w:rFonts w:ascii="宋体" w:hAnsi="宋体" w:cs="宋体"/>
                <w:sz w:val="18"/>
                <w:szCs w:val="18"/>
              </w:rPr>
              <w:t>2</w:t>
            </w:r>
          </w:p>
        </w:tc>
        <w:tc>
          <w:tcPr>
            <w:tcW w:w="7063" w:type="dxa"/>
            <w:noWrap w:val="0"/>
            <w:vAlign w:val="top"/>
          </w:tcPr>
          <w:p w14:paraId="5E784C25">
            <w:pPr>
              <w:autoSpaceDE w:val="0"/>
              <w:autoSpaceDN w:val="0"/>
              <w:spacing w:before="210" w:line="219" w:lineRule="auto"/>
              <w:ind w:left="111"/>
              <w:rPr>
                <w:rFonts w:ascii="宋体" w:hAnsi="宋体" w:cs="宋体"/>
                <w:sz w:val="18"/>
                <w:szCs w:val="18"/>
              </w:rPr>
            </w:pPr>
            <w:r>
              <w:rPr>
                <w:rFonts w:ascii="宋体" w:hAnsi="宋体" w:cs="宋体"/>
                <w:spacing w:val="5"/>
                <w:sz w:val="18"/>
                <w:szCs w:val="18"/>
              </w:rPr>
              <w:t>平层标识不齐或标示不准确每次扣5分；</w:t>
            </w:r>
          </w:p>
        </w:tc>
        <w:tc>
          <w:tcPr>
            <w:tcW w:w="651" w:type="dxa"/>
            <w:noWrap w:val="0"/>
            <w:vAlign w:val="top"/>
          </w:tcPr>
          <w:p w14:paraId="19E5F0A6">
            <w:pPr>
              <w:autoSpaceDE w:val="0"/>
              <w:autoSpaceDN w:val="0"/>
              <w:rPr>
                <w:rFonts w:ascii="Arial" w:hAnsi="Calibri" w:cs="Arial"/>
                <w:sz w:val="21"/>
                <w:szCs w:val="22"/>
              </w:rPr>
            </w:pPr>
          </w:p>
        </w:tc>
      </w:tr>
      <w:tr w14:paraId="0F52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4" w:type="dxa"/>
            <w:vMerge w:val="continue"/>
            <w:tcBorders>
              <w:top w:val="nil"/>
              <w:bottom w:val="nil"/>
            </w:tcBorders>
            <w:noWrap w:val="0"/>
            <w:vAlign w:val="top"/>
          </w:tcPr>
          <w:p w14:paraId="25FDC00D">
            <w:pPr>
              <w:autoSpaceDE w:val="0"/>
              <w:autoSpaceDN w:val="0"/>
              <w:rPr>
                <w:rFonts w:ascii="Arial" w:hAnsi="Calibri" w:cs="Arial"/>
                <w:sz w:val="21"/>
                <w:szCs w:val="22"/>
              </w:rPr>
            </w:pPr>
          </w:p>
        </w:tc>
        <w:tc>
          <w:tcPr>
            <w:tcW w:w="529" w:type="dxa"/>
            <w:noWrap w:val="0"/>
            <w:vAlign w:val="top"/>
          </w:tcPr>
          <w:p w14:paraId="44191ED2">
            <w:pPr>
              <w:autoSpaceDE w:val="0"/>
              <w:autoSpaceDN w:val="0"/>
              <w:spacing w:before="256" w:line="183" w:lineRule="auto"/>
              <w:ind w:left="211"/>
              <w:rPr>
                <w:rFonts w:ascii="宋体" w:hAnsi="宋体" w:cs="宋体"/>
                <w:sz w:val="18"/>
                <w:szCs w:val="18"/>
              </w:rPr>
            </w:pPr>
            <w:r>
              <w:rPr>
                <w:rFonts w:ascii="宋体" w:hAnsi="宋体" w:cs="宋体"/>
                <w:sz w:val="18"/>
                <w:szCs w:val="18"/>
              </w:rPr>
              <w:t>3</w:t>
            </w:r>
          </w:p>
        </w:tc>
        <w:tc>
          <w:tcPr>
            <w:tcW w:w="7063" w:type="dxa"/>
            <w:noWrap w:val="0"/>
            <w:vAlign w:val="top"/>
          </w:tcPr>
          <w:p w14:paraId="3CB08A9B">
            <w:pPr>
              <w:autoSpaceDE w:val="0"/>
              <w:autoSpaceDN w:val="0"/>
              <w:spacing w:before="210" w:line="219" w:lineRule="auto"/>
              <w:ind w:left="111"/>
              <w:rPr>
                <w:rFonts w:ascii="宋体" w:hAnsi="宋体" w:cs="宋体"/>
                <w:sz w:val="18"/>
                <w:szCs w:val="18"/>
              </w:rPr>
            </w:pPr>
            <w:r>
              <w:rPr>
                <w:rFonts w:ascii="宋体" w:hAnsi="宋体" w:cs="宋体"/>
                <w:spacing w:val="7"/>
                <w:sz w:val="18"/>
                <w:szCs w:val="18"/>
              </w:rPr>
              <w:t>未设防小动物措施每处扣5分；</w:t>
            </w:r>
          </w:p>
        </w:tc>
        <w:tc>
          <w:tcPr>
            <w:tcW w:w="651" w:type="dxa"/>
            <w:noWrap w:val="0"/>
            <w:vAlign w:val="top"/>
          </w:tcPr>
          <w:p w14:paraId="247F6A83">
            <w:pPr>
              <w:autoSpaceDE w:val="0"/>
              <w:autoSpaceDN w:val="0"/>
              <w:rPr>
                <w:rFonts w:ascii="Arial" w:hAnsi="Calibri" w:cs="Arial"/>
                <w:sz w:val="21"/>
                <w:szCs w:val="22"/>
              </w:rPr>
            </w:pPr>
          </w:p>
        </w:tc>
      </w:tr>
      <w:tr w14:paraId="15EE2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84" w:type="dxa"/>
            <w:vMerge w:val="continue"/>
            <w:tcBorders>
              <w:top w:val="nil"/>
            </w:tcBorders>
            <w:noWrap w:val="0"/>
            <w:vAlign w:val="top"/>
          </w:tcPr>
          <w:p w14:paraId="49396953">
            <w:pPr>
              <w:autoSpaceDE w:val="0"/>
              <w:autoSpaceDN w:val="0"/>
              <w:rPr>
                <w:rFonts w:ascii="Arial" w:hAnsi="Calibri" w:cs="Arial"/>
                <w:sz w:val="21"/>
                <w:szCs w:val="22"/>
              </w:rPr>
            </w:pPr>
          </w:p>
        </w:tc>
        <w:tc>
          <w:tcPr>
            <w:tcW w:w="529" w:type="dxa"/>
            <w:noWrap w:val="0"/>
            <w:vAlign w:val="top"/>
          </w:tcPr>
          <w:p w14:paraId="259CD2E3">
            <w:pPr>
              <w:autoSpaceDE w:val="0"/>
              <w:autoSpaceDN w:val="0"/>
              <w:spacing w:line="266" w:lineRule="auto"/>
              <w:rPr>
                <w:rFonts w:ascii="Arial" w:hAnsi="Calibri" w:cs="Arial"/>
                <w:sz w:val="21"/>
                <w:szCs w:val="22"/>
              </w:rPr>
            </w:pPr>
          </w:p>
          <w:p w14:paraId="1E15A552">
            <w:pPr>
              <w:autoSpaceDE w:val="0"/>
              <w:autoSpaceDN w:val="0"/>
              <w:spacing w:before="59" w:line="183" w:lineRule="auto"/>
              <w:ind w:left="211"/>
              <w:rPr>
                <w:rFonts w:ascii="宋体" w:hAnsi="宋体" w:cs="宋体"/>
                <w:sz w:val="18"/>
                <w:szCs w:val="18"/>
              </w:rPr>
            </w:pPr>
            <w:r>
              <w:rPr>
                <w:rFonts w:ascii="宋体" w:hAnsi="宋体" w:cs="宋体"/>
                <w:sz w:val="18"/>
                <w:szCs w:val="18"/>
              </w:rPr>
              <w:t>4</w:t>
            </w:r>
          </w:p>
        </w:tc>
        <w:tc>
          <w:tcPr>
            <w:tcW w:w="7063" w:type="dxa"/>
            <w:noWrap w:val="0"/>
            <w:vAlign w:val="top"/>
          </w:tcPr>
          <w:p w14:paraId="7000EC4B">
            <w:pPr>
              <w:autoSpaceDE w:val="0"/>
              <w:autoSpaceDN w:val="0"/>
              <w:spacing w:before="280" w:line="219" w:lineRule="auto"/>
              <w:ind w:left="111"/>
              <w:rPr>
                <w:rFonts w:ascii="宋体" w:hAnsi="宋体" w:cs="宋体"/>
                <w:sz w:val="18"/>
                <w:szCs w:val="18"/>
              </w:rPr>
            </w:pPr>
            <w:r>
              <w:rPr>
                <w:rFonts w:ascii="宋体" w:hAnsi="宋体" w:cs="宋体"/>
                <w:spacing w:val="5"/>
                <w:sz w:val="18"/>
                <w:szCs w:val="18"/>
              </w:rPr>
              <w:t>未对电梯进行快慢车检查每次扣5分；</w:t>
            </w:r>
          </w:p>
        </w:tc>
        <w:tc>
          <w:tcPr>
            <w:tcW w:w="651" w:type="dxa"/>
            <w:noWrap w:val="0"/>
            <w:vAlign w:val="top"/>
          </w:tcPr>
          <w:p w14:paraId="70EF343A">
            <w:pPr>
              <w:autoSpaceDE w:val="0"/>
              <w:autoSpaceDN w:val="0"/>
              <w:rPr>
                <w:rFonts w:ascii="Arial" w:hAnsi="Calibri" w:cs="Arial"/>
                <w:sz w:val="21"/>
                <w:szCs w:val="22"/>
              </w:rPr>
            </w:pPr>
          </w:p>
        </w:tc>
      </w:tr>
      <w:tr w14:paraId="0670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84" w:type="dxa"/>
            <w:vMerge w:val="restart"/>
            <w:tcBorders>
              <w:bottom w:val="nil"/>
            </w:tcBorders>
            <w:noWrap w:val="0"/>
            <w:vAlign w:val="top"/>
          </w:tcPr>
          <w:p w14:paraId="763817DF">
            <w:pPr>
              <w:autoSpaceDE w:val="0"/>
              <w:autoSpaceDN w:val="0"/>
              <w:spacing w:line="265" w:lineRule="auto"/>
              <w:rPr>
                <w:rFonts w:ascii="Arial" w:hAnsi="Calibri" w:cs="Arial"/>
                <w:sz w:val="21"/>
                <w:szCs w:val="22"/>
              </w:rPr>
            </w:pPr>
          </w:p>
          <w:p w14:paraId="55E4D1AE">
            <w:pPr>
              <w:autoSpaceDE w:val="0"/>
              <w:autoSpaceDN w:val="0"/>
              <w:spacing w:line="265" w:lineRule="auto"/>
              <w:rPr>
                <w:rFonts w:ascii="Arial" w:hAnsi="Calibri" w:cs="Arial"/>
                <w:sz w:val="21"/>
                <w:szCs w:val="22"/>
              </w:rPr>
            </w:pPr>
          </w:p>
          <w:p w14:paraId="1C8CCB5B">
            <w:pPr>
              <w:autoSpaceDE w:val="0"/>
              <w:autoSpaceDN w:val="0"/>
              <w:spacing w:before="58" w:line="360" w:lineRule="exact"/>
              <w:ind w:left="85"/>
              <w:rPr>
                <w:rFonts w:ascii="宋体" w:hAnsi="宋体" w:cs="宋体"/>
                <w:sz w:val="18"/>
                <w:szCs w:val="18"/>
              </w:rPr>
            </w:pPr>
            <w:r>
              <w:rPr>
                <w:rFonts w:ascii="宋体" w:hAnsi="宋体" w:cs="宋体"/>
                <w:spacing w:val="3"/>
                <w:position w:val="13"/>
                <w:sz w:val="18"/>
                <w:szCs w:val="18"/>
              </w:rPr>
              <w:t>电梯安</w:t>
            </w:r>
          </w:p>
          <w:p w14:paraId="1D4395B0">
            <w:pPr>
              <w:autoSpaceDE w:val="0"/>
              <w:autoSpaceDN w:val="0"/>
              <w:spacing w:line="220" w:lineRule="auto"/>
              <w:ind w:left="85"/>
              <w:rPr>
                <w:rFonts w:ascii="宋体" w:hAnsi="宋体" w:cs="宋体"/>
                <w:sz w:val="18"/>
                <w:szCs w:val="18"/>
              </w:rPr>
            </w:pPr>
            <w:r>
              <w:rPr>
                <w:rFonts w:ascii="宋体" w:hAnsi="宋体" w:cs="宋体"/>
                <w:spacing w:val="-2"/>
                <w:sz w:val="18"/>
                <w:szCs w:val="18"/>
              </w:rPr>
              <w:t>全运行</w:t>
            </w:r>
          </w:p>
          <w:p w14:paraId="63A1ACB8">
            <w:pPr>
              <w:autoSpaceDE w:val="0"/>
              <w:autoSpaceDN w:val="0"/>
              <w:spacing w:before="145" w:line="219" w:lineRule="auto"/>
              <w:ind w:left="85"/>
              <w:rPr>
                <w:rFonts w:ascii="宋体" w:hAnsi="宋体" w:cs="宋体"/>
                <w:sz w:val="18"/>
                <w:szCs w:val="18"/>
              </w:rPr>
            </w:pPr>
            <w:r>
              <w:rPr>
                <w:rFonts w:ascii="宋体" w:hAnsi="宋体" w:cs="宋体"/>
                <w:spacing w:val="-3"/>
                <w:sz w:val="18"/>
                <w:szCs w:val="18"/>
              </w:rPr>
              <w:t>管理</w:t>
            </w:r>
          </w:p>
          <w:p w14:paraId="745C8AC7">
            <w:pPr>
              <w:autoSpaceDE w:val="0"/>
              <w:autoSpaceDN w:val="0"/>
              <w:spacing w:before="146" w:line="220" w:lineRule="auto"/>
              <w:ind w:left="85"/>
              <w:rPr>
                <w:rFonts w:ascii="宋体" w:hAnsi="宋体" w:cs="宋体"/>
                <w:sz w:val="18"/>
                <w:szCs w:val="18"/>
              </w:rPr>
            </w:pPr>
            <w:r>
              <w:rPr>
                <w:rFonts w:ascii="宋体" w:hAnsi="宋体" w:cs="宋体"/>
                <w:spacing w:val="7"/>
                <w:sz w:val="18"/>
                <w:szCs w:val="18"/>
              </w:rPr>
              <w:t>(20分)</w:t>
            </w:r>
          </w:p>
        </w:tc>
        <w:tc>
          <w:tcPr>
            <w:tcW w:w="529" w:type="dxa"/>
            <w:noWrap w:val="0"/>
            <w:vAlign w:val="top"/>
          </w:tcPr>
          <w:p w14:paraId="480EC884">
            <w:pPr>
              <w:autoSpaceDE w:val="0"/>
              <w:autoSpaceDN w:val="0"/>
              <w:spacing w:before="246" w:line="184" w:lineRule="auto"/>
              <w:ind w:left="211"/>
              <w:rPr>
                <w:rFonts w:ascii="宋体" w:hAnsi="宋体" w:cs="宋体"/>
                <w:sz w:val="18"/>
                <w:szCs w:val="18"/>
              </w:rPr>
            </w:pPr>
            <w:r>
              <w:rPr>
                <w:rFonts w:ascii="宋体" w:hAnsi="宋体" w:cs="宋体"/>
                <w:sz w:val="18"/>
                <w:szCs w:val="18"/>
              </w:rPr>
              <w:t>1</w:t>
            </w:r>
          </w:p>
        </w:tc>
        <w:tc>
          <w:tcPr>
            <w:tcW w:w="7063" w:type="dxa"/>
            <w:noWrap w:val="0"/>
            <w:vAlign w:val="top"/>
          </w:tcPr>
          <w:p w14:paraId="5B2BA259">
            <w:pPr>
              <w:autoSpaceDE w:val="0"/>
              <w:autoSpaceDN w:val="0"/>
              <w:spacing w:before="199" w:line="218" w:lineRule="auto"/>
              <w:ind w:left="111"/>
              <w:rPr>
                <w:rFonts w:ascii="宋体" w:hAnsi="宋体" w:cs="宋体"/>
                <w:sz w:val="18"/>
                <w:szCs w:val="18"/>
              </w:rPr>
            </w:pPr>
            <w:r>
              <w:rPr>
                <w:rFonts w:ascii="宋体" w:hAnsi="宋体" w:cs="宋体"/>
                <w:spacing w:val="3"/>
                <w:sz w:val="18"/>
                <w:szCs w:val="18"/>
              </w:rPr>
              <w:t>电梯进行保养检修时、需要摆放“电梯保养、检修”告示牌未做到</w:t>
            </w:r>
            <w:r>
              <w:rPr>
                <w:rFonts w:ascii="宋体" w:hAnsi="宋体" w:cs="宋体"/>
                <w:spacing w:val="2"/>
                <w:sz w:val="18"/>
                <w:szCs w:val="18"/>
              </w:rPr>
              <w:t>每次扣5分</w:t>
            </w:r>
          </w:p>
        </w:tc>
        <w:tc>
          <w:tcPr>
            <w:tcW w:w="651" w:type="dxa"/>
            <w:noWrap w:val="0"/>
            <w:vAlign w:val="top"/>
          </w:tcPr>
          <w:p w14:paraId="1730499B">
            <w:pPr>
              <w:autoSpaceDE w:val="0"/>
              <w:autoSpaceDN w:val="0"/>
              <w:rPr>
                <w:rFonts w:ascii="Arial" w:hAnsi="Calibri" w:cs="Arial"/>
                <w:sz w:val="21"/>
                <w:szCs w:val="22"/>
              </w:rPr>
            </w:pPr>
          </w:p>
        </w:tc>
      </w:tr>
      <w:tr w14:paraId="75B0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4" w:type="dxa"/>
            <w:vMerge w:val="continue"/>
            <w:tcBorders>
              <w:top w:val="nil"/>
              <w:bottom w:val="nil"/>
            </w:tcBorders>
            <w:noWrap w:val="0"/>
            <w:vAlign w:val="top"/>
          </w:tcPr>
          <w:p w14:paraId="3A2A7247">
            <w:pPr>
              <w:autoSpaceDE w:val="0"/>
              <w:autoSpaceDN w:val="0"/>
              <w:rPr>
                <w:rFonts w:ascii="Arial" w:hAnsi="Calibri" w:cs="Arial"/>
                <w:sz w:val="21"/>
                <w:szCs w:val="22"/>
              </w:rPr>
            </w:pPr>
          </w:p>
        </w:tc>
        <w:tc>
          <w:tcPr>
            <w:tcW w:w="529" w:type="dxa"/>
            <w:noWrap w:val="0"/>
            <w:vAlign w:val="top"/>
          </w:tcPr>
          <w:p w14:paraId="248C52B1">
            <w:pPr>
              <w:autoSpaceDE w:val="0"/>
              <w:autoSpaceDN w:val="0"/>
              <w:spacing w:before="258" w:line="183" w:lineRule="auto"/>
              <w:ind w:left="211"/>
              <w:rPr>
                <w:rFonts w:ascii="宋体" w:hAnsi="宋体" w:cs="宋体"/>
                <w:sz w:val="18"/>
                <w:szCs w:val="18"/>
              </w:rPr>
            </w:pPr>
            <w:r>
              <w:rPr>
                <w:rFonts w:ascii="宋体" w:hAnsi="宋体" w:cs="宋体"/>
                <w:sz w:val="18"/>
                <w:szCs w:val="18"/>
              </w:rPr>
              <w:t>2</w:t>
            </w:r>
          </w:p>
        </w:tc>
        <w:tc>
          <w:tcPr>
            <w:tcW w:w="7063" w:type="dxa"/>
            <w:noWrap w:val="0"/>
            <w:vAlign w:val="top"/>
          </w:tcPr>
          <w:p w14:paraId="3B7B94AA">
            <w:pPr>
              <w:autoSpaceDE w:val="0"/>
              <w:autoSpaceDN w:val="0"/>
              <w:spacing w:before="212" w:line="219" w:lineRule="auto"/>
              <w:ind w:left="111"/>
              <w:rPr>
                <w:rFonts w:ascii="宋体" w:hAnsi="宋体" w:cs="宋体"/>
                <w:sz w:val="18"/>
                <w:szCs w:val="18"/>
              </w:rPr>
            </w:pPr>
            <w:r>
              <w:rPr>
                <w:rFonts w:ascii="宋体" w:hAnsi="宋体" w:cs="宋体"/>
                <w:spacing w:val="3"/>
                <w:sz w:val="18"/>
                <w:szCs w:val="18"/>
              </w:rPr>
              <w:t>电梯突发故障时、维保单位未按合同规定及时到场处理每次扣5分</w:t>
            </w:r>
            <w:r>
              <w:rPr>
                <w:rFonts w:ascii="宋体" w:hAnsi="宋体" w:cs="宋体"/>
                <w:spacing w:val="2"/>
                <w:sz w:val="18"/>
                <w:szCs w:val="18"/>
              </w:rPr>
              <w:t>；</w:t>
            </w:r>
          </w:p>
        </w:tc>
        <w:tc>
          <w:tcPr>
            <w:tcW w:w="651" w:type="dxa"/>
            <w:noWrap w:val="0"/>
            <w:vAlign w:val="top"/>
          </w:tcPr>
          <w:p w14:paraId="2DBBBA42">
            <w:pPr>
              <w:autoSpaceDE w:val="0"/>
              <w:autoSpaceDN w:val="0"/>
              <w:rPr>
                <w:rFonts w:ascii="Arial" w:hAnsi="Calibri" w:cs="Arial"/>
                <w:sz w:val="21"/>
                <w:szCs w:val="22"/>
              </w:rPr>
            </w:pPr>
          </w:p>
        </w:tc>
      </w:tr>
      <w:tr w14:paraId="65D3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84" w:type="dxa"/>
            <w:vMerge w:val="continue"/>
            <w:tcBorders>
              <w:top w:val="nil"/>
              <w:bottom w:val="nil"/>
            </w:tcBorders>
            <w:noWrap w:val="0"/>
            <w:vAlign w:val="top"/>
          </w:tcPr>
          <w:p w14:paraId="6044F87F">
            <w:pPr>
              <w:autoSpaceDE w:val="0"/>
              <w:autoSpaceDN w:val="0"/>
              <w:rPr>
                <w:rFonts w:ascii="Arial" w:hAnsi="Calibri" w:cs="Arial"/>
                <w:sz w:val="21"/>
                <w:szCs w:val="22"/>
              </w:rPr>
            </w:pPr>
          </w:p>
        </w:tc>
        <w:tc>
          <w:tcPr>
            <w:tcW w:w="529" w:type="dxa"/>
            <w:noWrap w:val="0"/>
            <w:vAlign w:val="top"/>
          </w:tcPr>
          <w:p w14:paraId="6B5863AD">
            <w:pPr>
              <w:autoSpaceDE w:val="0"/>
              <w:autoSpaceDN w:val="0"/>
              <w:spacing w:before="249" w:line="183" w:lineRule="auto"/>
              <w:ind w:left="211"/>
              <w:rPr>
                <w:rFonts w:ascii="宋体" w:hAnsi="宋体" w:cs="宋体"/>
                <w:sz w:val="18"/>
                <w:szCs w:val="18"/>
              </w:rPr>
            </w:pPr>
            <w:r>
              <w:rPr>
                <w:rFonts w:ascii="宋体" w:hAnsi="宋体" w:cs="宋体"/>
                <w:sz w:val="18"/>
                <w:szCs w:val="18"/>
              </w:rPr>
              <w:t>3</w:t>
            </w:r>
          </w:p>
        </w:tc>
        <w:tc>
          <w:tcPr>
            <w:tcW w:w="7063" w:type="dxa"/>
            <w:noWrap w:val="0"/>
            <w:vAlign w:val="top"/>
          </w:tcPr>
          <w:p w14:paraId="1FD9A99E">
            <w:pPr>
              <w:autoSpaceDE w:val="0"/>
              <w:autoSpaceDN w:val="0"/>
              <w:spacing w:before="203" w:line="219" w:lineRule="auto"/>
              <w:ind w:left="111"/>
              <w:rPr>
                <w:rFonts w:ascii="宋体" w:hAnsi="宋体" w:cs="宋体"/>
                <w:sz w:val="18"/>
                <w:szCs w:val="18"/>
              </w:rPr>
            </w:pPr>
            <w:r>
              <w:rPr>
                <w:rFonts w:ascii="宋体" w:hAnsi="宋体" w:cs="宋体"/>
                <w:spacing w:val="3"/>
                <w:sz w:val="18"/>
                <w:szCs w:val="18"/>
              </w:rPr>
              <w:t>电梯停电或发生故障造成停梯困人时未按相关规定进行有效救援每次扣5</w:t>
            </w:r>
            <w:r>
              <w:rPr>
                <w:rFonts w:ascii="宋体" w:hAnsi="宋体" w:cs="宋体"/>
                <w:spacing w:val="2"/>
                <w:sz w:val="18"/>
                <w:szCs w:val="18"/>
              </w:rPr>
              <w:t>分</w:t>
            </w:r>
          </w:p>
        </w:tc>
        <w:tc>
          <w:tcPr>
            <w:tcW w:w="651" w:type="dxa"/>
            <w:noWrap w:val="0"/>
            <w:vAlign w:val="top"/>
          </w:tcPr>
          <w:p w14:paraId="5F7E2725">
            <w:pPr>
              <w:autoSpaceDE w:val="0"/>
              <w:autoSpaceDN w:val="0"/>
              <w:rPr>
                <w:rFonts w:ascii="Arial" w:hAnsi="Calibri" w:cs="Arial"/>
                <w:sz w:val="21"/>
                <w:szCs w:val="22"/>
              </w:rPr>
            </w:pPr>
          </w:p>
        </w:tc>
      </w:tr>
      <w:tr w14:paraId="2FF5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84" w:type="dxa"/>
            <w:vMerge w:val="continue"/>
            <w:tcBorders>
              <w:top w:val="nil"/>
            </w:tcBorders>
            <w:noWrap w:val="0"/>
            <w:vAlign w:val="top"/>
          </w:tcPr>
          <w:p w14:paraId="4FA81567">
            <w:pPr>
              <w:autoSpaceDE w:val="0"/>
              <w:autoSpaceDN w:val="0"/>
              <w:rPr>
                <w:rFonts w:ascii="Arial" w:hAnsi="Calibri" w:cs="Arial"/>
                <w:sz w:val="21"/>
                <w:szCs w:val="22"/>
              </w:rPr>
            </w:pPr>
          </w:p>
        </w:tc>
        <w:tc>
          <w:tcPr>
            <w:tcW w:w="529" w:type="dxa"/>
            <w:noWrap w:val="0"/>
            <w:vAlign w:val="top"/>
          </w:tcPr>
          <w:p w14:paraId="787AEB35">
            <w:pPr>
              <w:autoSpaceDE w:val="0"/>
              <w:autoSpaceDN w:val="0"/>
              <w:spacing w:before="249" w:line="183" w:lineRule="auto"/>
              <w:ind w:left="211"/>
              <w:rPr>
                <w:rFonts w:ascii="宋体" w:hAnsi="宋体" w:cs="宋体"/>
                <w:sz w:val="18"/>
                <w:szCs w:val="18"/>
              </w:rPr>
            </w:pPr>
            <w:r>
              <w:rPr>
                <w:rFonts w:ascii="宋体" w:hAnsi="宋体" w:cs="宋体"/>
                <w:sz w:val="18"/>
                <w:szCs w:val="18"/>
              </w:rPr>
              <w:t>4</w:t>
            </w:r>
          </w:p>
        </w:tc>
        <w:tc>
          <w:tcPr>
            <w:tcW w:w="7063" w:type="dxa"/>
            <w:noWrap w:val="0"/>
            <w:vAlign w:val="top"/>
          </w:tcPr>
          <w:p w14:paraId="09AB4A71">
            <w:pPr>
              <w:autoSpaceDE w:val="0"/>
              <w:autoSpaceDN w:val="0"/>
              <w:spacing w:before="202" w:line="219" w:lineRule="auto"/>
              <w:ind w:left="111"/>
              <w:rPr>
                <w:rFonts w:ascii="宋体" w:hAnsi="宋体" w:cs="宋体"/>
                <w:sz w:val="18"/>
                <w:szCs w:val="18"/>
              </w:rPr>
            </w:pPr>
            <w:r>
              <w:rPr>
                <w:rFonts w:ascii="宋体" w:hAnsi="宋体" w:cs="宋体"/>
                <w:spacing w:val="8"/>
                <w:sz w:val="18"/>
                <w:szCs w:val="18"/>
              </w:rPr>
              <w:t>电梯机房无消防设施扣每次5分</w:t>
            </w:r>
          </w:p>
        </w:tc>
        <w:tc>
          <w:tcPr>
            <w:tcW w:w="651" w:type="dxa"/>
            <w:noWrap w:val="0"/>
            <w:vAlign w:val="top"/>
          </w:tcPr>
          <w:p w14:paraId="5C910107">
            <w:pPr>
              <w:autoSpaceDE w:val="0"/>
              <w:autoSpaceDN w:val="0"/>
              <w:rPr>
                <w:rFonts w:ascii="Arial" w:hAnsi="Calibri" w:cs="Arial"/>
                <w:sz w:val="21"/>
                <w:szCs w:val="22"/>
              </w:rPr>
            </w:pPr>
          </w:p>
        </w:tc>
      </w:tr>
      <w:tr w14:paraId="3C10D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4" w:type="dxa"/>
            <w:vMerge w:val="restart"/>
            <w:tcBorders>
              <w:bottom w:val="nil"/>
            </w:tcBorders>
            <w:noWrap w:val="0"/>
            <w:vAlign w:val="top"/>
          </w:tcPr>
          <w:p w14:paraId="35AB08C9">
            <w:pPr>
              <w:autoSpaceDE w:val="0"/>
              <w:autoSpaceDN w:val="0"/>
              <w:spacing w:before="254" w:line="220" w:lineRule="auto"/>
              <w:ind w:left="85"/>
              <w:rPr>
                <w:rFonts w:ascii="宋体" w:hAnsi="宋体" w:cs="宋体"/>
                <w:sz w:val="18"/>
                <w:szCs w:val="18"/>
              </w:rPr>
            </w:pPr>
            <w:r>
              <w:rPr>
                <w:rFonts w:ascii="宋体" w:hAnsi="宋体" w:cs="宋体"/>
                <w:spacing w:val="-2"/>
                <w:sz w:val="18"/>
                <w:szCs w:val="18"/>
              </w:rPr>
              <w:t>配备专</w:t>
            </w:r>
          </w:p>
          <w:p w14:paraId="1D44C3E5">
            <w:pPr>
              <w:autoSpaceDE w:val="0"/>
              <w:autoSpaceDN w:val="0"/>
              <w:spacing w:before="136" w:line="358" w:lineRule="exact"/>
              <w:ind w:left="85"/>
              <w:rPr>
                <w:rFonts w:ascii="宋体" w:hAnsi="宋体" w:cs="宋体"/>
                <w:sz w:val="17"/>
                <w:szCs w:val="17"/>
              </w:rPr>
            </w:pPr>
            <w:r>
              <w:rPr>
                <w:rFonts w:ascii="宋体" w:hAnsi="宋体" w:cs="宋体"/>
                <w:spacing w:val="-13"/>
                <w:position w:val="14"/>
                <w:sz w:val="17"/>
                <w:szCs w:val="17"/>
              </w:rPr>
              <w:t>业</w:t>
            </w:r>
            <w:r>
              <w:rPr>
                <w:rFonts w:ascii="宋体" w:hAnsi="宋体" w:cs="宋体"/>
                <w:spacing w:val="-31"/>
                <w:position w:val="14"/>
                <w:sz w:val="17"/>
                <w:szCs w:val="17"/>
              </w:rPr>
              <w:t xml:space="preserve"> </w:t>
            </w:r>
            <w:r>
              <w:rPr>
                <w:rFonts w:ascii="宋体" w:hAnsi="宋体" w:cs="宋体"/>
                <w:spacing w:val="-13"/>
                <w:position w:val="14"/>
                <w:sz w:val="17"/>
                <w:szCs w:val="17"/>
              </w:rPr>
              <w:t>人</w:t>
            </w:r>
            <w:r>
              <w:rPr>
                <w:rFonts w:ascii="宋体" w:hAnsi="宋体" w:cs="宋体"/>
                <w:spacing w:val="-27"/>
                <w:position w:val="14"/>
                <w:sz w:val="17"/>
                <w:szCs w:val="17"/>
              </w:rPr>
              <w:t xml:space="preserve"> </w:t>
            </w:r>
            <w:r>
              <w:rPr>
                <w:rFonts w:ascii="宋体" w:hAnsi="宋体" w:cs="宋体"/>
                <w:spacing w:val="-13"/>
                <w:position w:val="14"/>
                <w:sz w:val="17"/>
                <w:szCs w:val="17"/>
              </w:rPr>
              <w:t>员</w:t>
            </w:r>
            <w:r>
              <w:rPr>
                <w:rFonts w:ascii="宋体" w:hAnsi="宋体" w:cs="宋体"/>
                <w:spacing w:val="-40"/>
                <w:position w:val="14"/>
                <w:sz w:val="17"/>
                <w:szCs w:val="17"/>
              </w:rPr>
              <w:t xml:space="preserve"> </w:t>
            </w:r>
            <w:r>
              <w:rPr>
                <w:rFonts w:ascii="宋体" w:hAnsi="宋体" w:cs="宋体"/>
                <w:spacing w:val="-13"/>
                <w:position w:val="14"/>
                <w:sz w:val="17"/>
                <w:szCs w:val="17"/>
              </w:rPr>
              <w:t>，</w:t>
            </w:r>
          </w:p>
          <w:p w14:paraId="6A26BA58">
            <w:pPr>
              <w:autoSpaceDE w:val="0"/>
              <w:autoSpaceDN w:val="0"/>
              <w:spacing w:line="230" w:lineRule="auto"/>
              <w:ind w:left="85"/>
              <w:rPr>
                <w:rFonts w:ascii="宋体" w:hAnsi="宋体" w:cs="宋体"/>
                <w:sz w:val="17"/>
                <w:szCs w:val="17"/>
              </w:rPr>
            </w:pPr>
            <w:r>
              <w:rPr>
                <w:rFonts w:ascii="宋体" w:hAnsi="宋体" w:cs="宋体"/>
                <w:spacing w:val="2"/>
                <w:sz w:val="17"/>
                <w:szCs w:val="17"/>
              </w:rPr>
              <w:t>严格履</w:t>
            </w:r>
          </w:p>
          <w:p w14:paraId="067DEC0B">
            <w:pPr>
              <w:autoSpaceDE w:val="0"/>
              <w:autoSpaceDN w:val="0"/>
              <w:spacing w:before="158" w:line="220" w:lineRule="auto"/>
              <w:ind w:left="85"/>
              <w:rPr>
                <w:rFonts w:ascii="宋体" w:hAnsi="宋体" w:cs="宋体"/>
                <w:sz w:val="18"/>
                <w:szCs w:val="18"/>
              </w:rPr>
            </w:pPr>
            <w:r>
              <w:rPr>
                <w:rFonts w:ascii="宋体" w:hAnsi="宋体" w:cs="宋体"/>
                <w:spacing w:val="-3"/>
                <w:sz w:val="18"/>
                <w:szCs w:val="18"/>
              </w:rPr>
              <w:t>行维保</w:t>
            </w:r>
          </w:p>
          <w:p w14:paraId="7A2C0F45">
            <w:pPr>
              <w:autoSpaceDE w:val="0"/>
              <w:autoSpaceDN w:val="0"/>
              <w:spacing w:before="136" w:line="220" w:lineRule="auto"/>
              <w:ind w:left="85"/>
              <w:rPr>
                <w:rFonts w:ascii="宋体" w:hAnsi="宋体" w:cs="宋体"/>
                <w:sz w:val="18"/>
                <w:szCs w:val="18"/>
              </w:rPr>
            </w:pPr>
            <w:r>
              <w:rPr>
                <w:rFonts w:ascii="宋体" w:hAnsi="宋体" w:cs="宋体"/>
                <w:spacing w:val="-2"/>
                <w:sz w:val="18"/>
                <w:szCs w:val="18"/>
              </w:rPr>
              <w:t>规程</w:t>
            </w:r>
          </w:p>
          <w:p w14:paraId="6A86CBDA">
            <w:pPr>
              <w:autoSpaceDE w:val="0"/>
              <w:autoSpaceDN w:val="0"/>
              <w:spacing w:before="155" w:line="220" w:lineRule="auto"/>
              <w:ind w:left="85"/>
              <w:rPr>
                <w:rFonts w:ascii="宋体" w:hAnsi="宋体" w:cs="宋体"/>
                <w:sz w:val="18"/>
                <w:szCs w:val="18"/>
              </w:rPr>
            </w:pPr>
            <w:r>
              <w:rPr>
                <w:rFonts w:ascii="宋体" w:hAnsi="宋体" w:cs="宋体"/>
                <w:spacing w:val="7"/>
                <w:sz w:val="18"/>
                <w:szCs w:val="18"/>
              </w:rPr>
              <w:t>(20分)</w:t>
            </w:r>
          </w:p>
        </w:tc>
        <w:tc>
          <w:tcPr>
            <w:tcW w:w="529" w:type="dxa"/>
            <w:noWrap w:val="0"/>
            <w:vAlign w:val="top"/>
          </w:tcPr>
          <w:p w14:paraId="422E57B9">
            <w:pPr>
              <w:autoSpaceDE w:val="0"/>
              <w:autoSpaceDN w:val="0"/>
              <w:spacing w:before="259" w:line="184" w:lineRule="auto"/>
              <w:ind w:left="211"/>
              <w:rPr>
                <w:rFonts w:ascii="宋体" w:hAnsi="宋体" w:cs="宋体"/>
                <w:sz w:val="18"/>
                <w:szCs w:val="18"/>
              </w:rPr>
            </w:pPr>
            <w:r>
              <w:rPr>
                <w:rFonts w:ascii="宋体" w:hAnsi="宋体" w:cs="宋体"/>
                <w:sz w:val="18"/>
                <w:szCs w:val="18"/>
              </w:rPr>
              <w:t>1</w:t>
            </w:r>
          </w:p>
        </w:tc>
        <w:tc>
          <w:tcPr>
            <w:tcW w:w="7063" w:type="dxa"/>
            <w:noWrap w:val="0"/>
            <w:vAlign w:val="top"/>
          </w:tcPr>
          <w:p w14:paraId="13BA55BB">
            <w:pPr>
              <w:autoSpaceDE w:val="0"/>
              <w:autoSpaceDN w:val="0"/>
              <w:spacing w:before="214" w:line="219" w:lineRule="auto"/>
              <w:ind w:left="111"/>
              <w:rPr>
                <w:rFonts w:ascii="宋体" w:hAnsi="宋体" w:cs="宋体"/>
                <w:sz w:val="18"/>
                <w:szCs w:val="18"/>
              </w:rPr>
            </w:pPr>
            <w:r>
              <w:rPr>
                <w:rFonts w:ascii="宋体" w:hAnsi="宋体" w:cs="宋体"/>
                <w:spacing w:val="4"/>
                <w:sz w:val="18"/>
                <w:szCs w:val="18"/>
              </w:rPr>
              <w:t>电梯维修人员没有按要求持证上岗每次扣5分</w:t>
            </w:r>
          </w:p>
        </w:tc>
        <w:tc>
          <w:tcPr>
            <w:tcW w:w="651" w:type="dxa"/>
            <w:noWrap w:val="0"/>
            <w:vAlign w:val="top"/>
          </w:tcPr>
          <w:p w14:paraId="4255CB11">
            <w:pPr>
              <w:autoSpaceDE w:val="0"/>
              <w:autoSpaceDN w:val="0"/>
              <w:rPr>
                <w:rFonts w:ascii="Arial" w:hAnsi="Calibri" w:cs="Arial"/>
                <w:sz w:val="21"/>
                <w:szCs w:val="22"/>
              </w:rPr>
            </w:pPr>
          </w:p>
        </w:tc>
      </w:tr>
      <w:tr w14:paraId="2F66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84" w:type="dxa"/>
            <w:vMerge w:val="continue"/>
            <w:tcBorders>
              <w:top w:val="nil"/>
              <w:bottom w:val="nil"/>
            </w:tcBorders>
            <w:noWrap w:val="0"/>
            <w:vAlign w:val="top"/>
          </w:tcPr>
          <w:p w14:paraId="6B903149">
            <w:pPr>
              <w:autoSpaceDE w:val="0"/>
              <w:autoSpaceDN w:val="0"/>
              <w:rPr>
                <w:rFonts w:ascii="Arial" w:hAnsi="Calibri" w:cs="Arial"/>
                <w:sz w:val="21"/>
                <w:szCs w:val="22"/>
              </w:rPr>
            </w:pPr>
          </w:p>
        </w:tc>
        <w:tc>
          <w:tcPr>
            <w:tcW w:w="529" w:type="dxa"/>
            <w:noWrap w:val="0"/>
            <w:vAlign w:val="top"/>
          </w:tcPr>
          <w:p w14:paraId="45F4F1C7">
            <w:pPr>
              <w:autoSpaceDE w:val="0"/>
              <w:autoSpaceDN w:val="0"/>
              <w:spacing w:before="251" w:line="183" w:lineRule="auto"/>
              <w:ind w:left="211"/>
              <w:rPr>
                <w:rFonts w:ascii="宋体" w:hAnsi="宋体" w:cs="宋体"/>
                <w:sz w:val="18"/>
                <w:szCs w:val="18"/>
              </w:rPr>
            </w:pPr>
            <w:r>
              <w:rPr>
                <w:rFonts w:ascii="宋体" w:hAnsi="宋体" w:cs="宋体"/>
                <w:sz w:val="18"/>
                <w:szCs w:val="18"/>
              </w:rPr>
              <w:t>2</w:t>
            </w:r>
          </w:p>
        </w:tc>
        <w:tc>
          <w:tcPr>
            <w:tcW w:w="7063" w:type="dxa"/>
            <w:noWrap w:val="0"/>
            <w:vAlign w:val="top"/>
          </w:tcPr>
          <w:p w14:paraId="32165966">
            <w:pPr>
              <w:autoSpaceDE w:val="0"/>
              <w:autoSpaceDN w:val="0"/>
              <w:spacing w:before="205" w:line="219" w:lineRule="auto"/>
              <w:ind w:left="111"/>
              <w:rPr>
                <w:rFonts w:ascii="宋体" w:hAnsi="宋体" w:cs="宋体"/>
                <w:sz w:val="18"/>
                <w:szCs w:val="18"/>
              </w:rPr>
            </w:pPr>
            <w:r>
              <w:rPr>
                <w:rFonts w:ascii="宋体" w:hAnsi="宋体" w:cs="宋体"/>
                <w:spacing w:val="3"/>
                <w:sz w:val="18"/>
                <w:szCs w:val="18"/>
              </w:rPr>
              <w:t>电梯维修人员维修保养时未统一着装，佩戴标志每次扣4分</w:t>
            </w:r>
          </w:p>
        </w:tc>
        <w:tc>
          <w:tcPr>
            <w:tcW w:w="651" w:type="dxa"/>
            <w:noWrap w:val="0"/>
            <w:vAlign w:val="top"/>
          </w:tcPr>
          <w:p w14:paraId="61FBD047">
            <w:pPr>
              <w:autoSpaceDE w:val="0"/>
              <w:autoSpaceDN w:val="0"/>
              <w:rPr>
                <w:rFonts w:ascii="Arial" w:hAnsi="Calibri" w:cs="Arial"/>
                <w:sz w:val="21"/>
                <w:szCs w:val="22"/>
              </w:rPr>
            </w:pPr>
          </w:p>
        </w:tc>
      </w:tr>
      <w:tr w14:paraId="3A5E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84" w:type="dxa"/>
            <w:vMerge w:val="continue"/>
            <w:tcBorders>
              <w:top w:val="nil"/>
              <w:bottom w:val="nil"/>
            </w:tcBorders>
            <w:noWrap w:val="0"/>
            <w:vAlign w:val="top"/>
          </w:tcPr>
          <w:p w14:paraId="13682092">
            <w:pPr>
              <w:autoSpaceDE w:val="0"/>
              <w:autoSpaceDN w:val="0"/>
              <w:rPr>
                <w:rFonts w:ascii="Arial" w:hAnsi="Calibri" w:cs="Arial"/>
                <w:sz w:val="21"/>
                <w:szCs w:val="22"/>
              </w:rPr>
            </w:pPr>
          </w:p>
        </w:tc>
        <w:tc>
          <w:tcPr>
            <w:tcW w:w="529" w:type="dxa"/>
            <w:noWrap w:val="0"/>
            <w:vAlign w:val="top"/>
          </w:tcPr>
          <w:p w14:paraId="1B9B45F0">
            <w:pPr>
              <w:autoSpaceDE w:val="0"/>
              <w:autoSpaceDN w:val="0"/>
              <w:spacing w:before="251" w:line="183" w:lineRule="auto"/>
              <w:ind w:left="211"/>
              <w:rPr>
                <w:rFonts w:ascii="宋体" w:hAnsi="宋体" w:cs="宋体"/>
                <w:sz w:val="18"/>
                <w:szCs w:val="18"/>
              </w:rPr>
            </w:pPr>
            <w:r>
              <w:rPr>
                <w:rFonts w:ascii="宋体" w:hAnsi="宋体" w:cs="宋体"/>
                <w:sz w:val="18"/>
                <w:szCs w:val="18"/>
              </w:rPr>
              <w:t>3</w:t>
            </w:r>
          </w:p>
        </w:tc>
        <w:tc>
          <w:tcPr>
            <w:tcW w:w="7063" w:type="dxa"/>
            <w:noWrap w:val="0"/>
            <w:vAlign w:val="top"/>
          </w:tcPr>
          <w:p w14:paraId="7D0010D0">
            <w:pPr>
              <w:autoSpaceDE w:val="0"/>
              <w:autoSpaceDN w:val="0"/>
              <w:spacing w:before="205" w:line="219" w:lineRule="auto"/>
              <w:ind w:left="111"/>
              <w:rPr>
                <w:rFonts w:ascii="宋体" w:hAnsi="宋体" w:cs="宋体"/>
                <w:sz w:val="18"/>
                <w:szCs w:val="18"/>
              </w:rPr>
            </w:pPr>
            <w:r>
              <w:rPr>
                <w:rFonts w:ascii="宋体" w:hAnsi="宋体" w:cs="宋体"/>
                <w:spacing w:val="4"/>
                <w:sz w:val="18"/>
                <w:szCs w:val="18"/>
              </w:rPr>
              <w:t>专业技术人员工作不规范，作业不严谨扣5分</w:t>
            </w:r>
          </w:p>
        </w:tc>
        <w:tc>
          <w:tcPr>
            <w:tcW w:w="651" w:type="dxa"/>
            <w:noWrap w:val="0"/>
            <w:vAlign w:val="top"/>
          </w:tcPr>
          <w:p w14:paraId="18F151AB">
            <w:pPr>
              <w:autoSpaceDE w:val="0"/>
              <w:autoSpaceDN w:val="0"/>
              <w:rPr>
                <w:rFonts w:ascii="Arial" w:hAnsi="Calibri" w:cs="Arial"/>
                <w:sz w:val="21"/>
                <w:szCs w:val="22"/>
              </w:rPr>
            </w:pPr>
          </w:p>
        </w:tc>
      </w:tr>
      <w:tr w14:paraId="6AF46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4" w:type="dxa"/>
            <w:vMerge w:val="continue"/>
            <w:tcBorders>
              <w:top w:val="nil"/>
            </w:tcBorders>
            <w:noWrap w:val="0"/>
            <w:vAlign w:val="top"/>
          </w:tcPr>
          <w:p w14:paraId="0E0EC625">
            <w:pPr>
              <w:autoSpaceDE w:val="0"/>
              <w:autoSpaceDN w:val="0"/>
              <w:rPr>
                <w:rFonts w:ascii="Arial" w:hAnsi="Calibri" w:cs="Arial"/>
                <w:sz w:val="21"/>
                <w:szCs w:val="22"/>
              </w:rPr>
            </w:pPr>
          </w:p>
        </w:tc>
        <w:tc>
          <w:tcPr>
            <w:tcW w:w="529" w:type="dxa"/>
            <w:noWrap w:val="0"/>
            <w:vAlign w:val="top"/>
          </w:tcPr>
          <w:p w14:paraId="7BDBB13B">
            <w:pPr>
              <w:autoSpaceDE w:val="0"/>
              <w:autoSpaceDN w:val="0"/>
              <w:spacing w:before="262" w:line="183" w:lineRule="auto"/>
              <w:ind w:left="211"/>
              <w:rPr>
                <w:rFonts w:ascii="宋体" w:hAnsi="宋体" w:cs="宋体"/>
                <w:sz w:val="18"/>
                <w:szCs w:val="18"/>
              </w:rPr>
            </w:pPr>
            <w:r>
              <w:rPr>
                <w:rFonts w:ascii="宋体" w:hAnsi="宋体" w:cs="宋体"/>
                <w:sz w:val="18"/>
                <w:szCs w:val="18"/>
              </w:rPr>
              <w:t>4</w:t>
            </w:r>
          </w:p>
        </w:tc>
        <w:tc>
          <w:tcPr>
            <w:tcW w:w="7063" w:type="dxa"/>
            <w:noWrap w:val="0"/>
            <w:vAlign w:val="top"/>
          </w:tcPr>
          <w:p w14:paraId="664D40A2">
            <w:pPr>
              <w:autoSpaceDE w:val="0"/>
              <w:autoSpaceDN w:val="0"/>
              <w:spacing w:before="215" w:line="219" w:lineRule="auto"/>
              <w:ind w:left="111"/>
              <w:rPr>
                <w:rFonts w:ascii="宋体" w:hAnsi="宋体" w:cs="宋体"/>
                <w:sz w:val="18"/>
                <w:szCs w:val="18"/>
              </w:rPr>
            </w:pPr>
            <w:r>
              <w:rPr>
                <w:rFonts w:ascii="宋体" w:hAnsi="宋体" w:cs="宋体"/>
                <w:spacing w:val="-2"/>
                <w:sz w:val="18"/>
                <w:szCs w:val="18"/>
              </w:rPr>
              <w:t>专业技术人员服务态度良好、文明礼貌用语，如果被投诉，</w:t>
            </w:r>
            <w:r>
              <w:rPr>
                <w:rFonts w:ascii="宋体" w:hAnsi="宋体" w:cs="宋体"/>
                <w:spacing w:val="70"/>
                <w:sz w:val="18"/>
                <w:szCs w:val="18"/>
              </w:rPr>
              <w:t xml:space="preserve"> </w:t>
            </w:r>
            <w:r>
              <w:rPr>
                <w:rFonts w:ascii="宋体" w:hAnsi="宋体" w:cs="宋体"/>
                <w:spacing w:val="-2"/>
                <w:sz w:val="18"/>
                <w:szCs w:val="18"/>
              </w:rPr>
              <w:t>一次扣减6分</w:t>
            </w:r>
          </w:p>
        </w:tc>
        <w:tc>
          <w:tcPr>
            <w:tcW w:w="651" w:type="dxa"/>
            <w:noWrap w:val="0"/>
            <w:vAlign w:val="top"/>
          </w:tcPr>
          <w:p w14:paraId="09349F0F">
            <w:pPr>
              <w:autoSpaceDE w:val="0"/>
              <w:autoSpaceDN w:val="0"/>
              <w:rPr>
                <w:rFonts w:ascii="Arial" w:hAnsi="Calibri" w:cs="Arial"/>
                <w:sz w:val="21"/>
                <w:szCs w:val="22"/>
              </w:rPr>
            </w:pPr>
          </w:p>
        </w:tc>
      </w:tr>
      <w:tr w14:paraId="5228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13" w:type="dxa"/>
            <w:gridSpan w:val="2"/>
            <w:noWrap w:val="0"/>
            <w:vAlign w:val="top"/>
          </w:tcPr>
          <w:p w14:paraId="12E3D752">
            <w:pPr>
              <w:autoSpaceDE w:val="0"/>
              <w:autoSpaceDN w:val="0"/>
              <w:spacing w:before="155" w:line="220" w:lineRule="auto"/>
              <w:ind w:left="337"/>
              <w:rPr>
                <w:rFonts w:ascii="宋体" w:hAnsi="宋体" w:cs="宋体"/>
                <w:sz w:val="18"/>
                <w:szCs w:val="18"/>
              </w:rPr>
            </w:pPr>
            <w:r>
              <w:rPr>
                <w:rFonts w:ascii="宋体" w:hAnsi="宋体" w:cs="宋体"/>
                <w:b/>
                <w:bCs/>
                <w:spacing w:val="-5"/>
                <w:sz w:val="18"/>
                <w:szCs w:val="18"/>
              </w:rPr>
              <w:t>总分合计</w:t>
            </w:r>
          </w:p>
        </w:tc>
        <w:tc>
          <w:tcPr>
            <w:tcW w:w="7063" w:type="dxa"/>
            <w:noWrap w:val="0"/>
            <w:vAlign w:val="top"/>
          </w:tcPr>
          <w:p w14:paraId="4C6C9C06">
            <w:pPr>
              <w:autoSpaceDE w:val="0"/>
              <w:autoSpaceDN w:val="0"/>
              <w:rPr>
                <w:rFonts w:ascii="Arial" w:hAnsi="Calibri" w:cs="Arial"/>
                <w:sz w:val="21"/>
                <w:szCs w:val="22"/>
              </w:rPr>
            </w:pPr>
          </w:p>
        </w:tc>
        <w:tc>
          <w:tcPr>
            <w:tcW w:w="651" w:type="dxa"/>
            <w:noWrap w:val="0"/>
            <w:vAlign w:val="top"/>
          </w:tcPr>
          <w:p w14:paraId="43ADD681">
            <w:pPr>
              <w:autoSpaceDE w:val="0"/>
              <w:autoSpaceDN w:val="0"/>
              <w:rPr>
                <w:rFonts w:ascii="Arial" w:hAnsi="Calibri" w:cs="Arial"/>
                <w:sz w:val="21"/>
                <w:szCs w:val="22"/>
              </w:rPr>
            </w:pPr>
          </w:p>
        </w:tc>
      </w:tr>
    </w:tbl>
    <w:p w14:paraId="377618A9">
      <w:pPr>
        <w:rPr>
          <w:rFonts w:ascii="Arial"/>
          <w:sz w:val="21"/>
        </w:rPr>
      </w:pPr>
    </w:p>
    <w:p w14:paraId="3ED942C9">
      <w:pPr>
        <w:spacing w:before="59" w:line="219" w:lineRule="auto"/>
        <w:rPr>
          <w:rFonts w:ascii="宋体" w:hAnsi="宋体" w:cs="宋体"/>
          <w:sz w:val="20"/>
        </w:rPr>
      </w:pPr>
      <w:r>
        <w:rPr>
          <w:rFonts w:ascii="宋体" w:hAnsi="宋体" w:cs="宋体"/>
          <w:b/>
          <w:bCs/>
          <w:spacing w:val="-4"/>
          <w:sz w:val="20"/>
        </w:rPr>
        <w:t>监管考核机制：</w:t>
      </w:r>
    </w:p>
    <w:p w14:paraId="74F74F61">
      <w:pPr>
        <w:spacing w:before="202" w:line="360" w:lineRule="auto"/>
        <w:ind w:left="111"/>
        <w:rPr>
          <w:rFonts w:ascii="宋体" w:hAnsi="宋体" w:cs="宋体"/>
          <w:spacing w:val="8"/>
          <w:sz w:val="18"/>
          <w:szCs w:val="18"/>
        </w:rPr>
      </w:pPr>
      <w:r>
        <w:rPr>
          <w:rFonts w:ascii="宋体" w:hAnsi="宋体" w:cs="宋体"/>
          <w:spacing w:val="8"/>
          <w:sz w:val="18"/>
          <w:szCs w:val="18"/>
        </w:rPr>
        <w:t>1.电梯维保项目综合考评实行</w:t>
      </w:r>
      <w:r>
        <w:rPr>
          <w:rFonts w:hint="eastAsia" w:ascii="宋体" w:hAnsi="宋体" w:cs="宋体"/>
          <w:spacing w:val="8"/>
          <w:sz w:val="18"/>
          <w:szCs w:val="18"/>
        </w:rPr>
        <w:t>半年</w:t>
      </w:r>
      <w:r>
        <w:rPr>
          <w:rFonts w:ascii="宋体" w:hAnsi="宋体" w:cs="宋体"/>
          <w:spacing w:val="8"/>
          <w:sz w:val="18"/>
          <w:szCs w:val="18"/>
        </w:rPr>
        <w:t>度考评制。</w:t>
      </w:r>
    </w:p>
    <w:p w14:paraId="79E1FA16">
      <w:r>
        <w:rPr>
          <w:rFonts w:ascii="宋体" w:hAnsi="宋体" w:cs="宋体"/>
          <w:spacing w:val="8"/>
          <w:sz w:val="18"/>
          <w:szCs w:val="18"/>
        </w:rPr>
        <w:t xml:space="preserve">2. </w:t>
      </w:r>
      <w:r>
        <w:rPr>
          <w:rFonts w:hint="eastAsia" w:ascii="宋体" w:hAnsi="宋体" w:cs="宋体"/>
          <w:spacing w:val="8"/>
          <w:sz w:val="18"/>
          <w:szCs w:val="18"/>
        </w:rPr>
        <w:t>半年</w:t>
      </w:r>
      <w:r>
        <w:rPr>
          <w:rFonts w:ascii="宋体" w:hAnsi="宋体" w:cs="宋体"/>
          <w:spacing w:val="8"/>
          <w:sz w:val="18"/>
          <w:szCs w:val="18"/>
        </w:rPr>
        <w:t>度考核得分与维保服务费用直接挂钩；低于90分，每分给予</w:t>
      </w:r>
      <w:r>
        <w:rPr>
          <w:rFonts w:hint="eastAsia" w:ascii="宋体" w:hAnsi="宋体" w:cs="宋体"/>
          <w:spacing w:val="8"/>
          <w:sz w:val="18"/>
          <w:szCs w:val="18"/>
        </w:rPr>
        <w:t>1000</w:t>
      </w:r>
      <w:r>
        <w:rPr>
          <w:rFonts w:ascii="宋体" w:hAnsi="宋体" w:cs="宋体"/>
          <w:spacing w:val="8"/>
          <w:sz w:val="18"/>
          <w:szCs w:val="18"/>
        </w:rPr>
        <w:t>元罚款；低于85分时，加倍处罚，同时向维保</w:t>
      </w:r>
      <w:r>
        <w:rPr>
          <w:rFonts w:hint="eastAsia" w:ascii="宋体" w:hAnsi="宋体" w:cs="宋体"/>
          <w:spacing w:val="8"/>
          <w:sz w:val="18"/>
          <w:szCs w:val="18"/>
        </w:rPr>
        <w:t>单位</w:t>
      </w:r>
      <w:r>
        <w:rPr>
          <w:rFonts w:ascii="宋体" w:hAnsi="宋体" w:cs="宋体"/>
          <w:spacing w:val="8"/>
          <w:sz w:val="18"/>
          <w:szCs w:val="18"/>
        </w:rPr>
        <w:t>位出具书面整改意见，限期整改到位，直至终止合同，专项奖惩另计。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202E1"/>
    <w:multiLevelType w:val="singleLevel"/>
    <w:tmpl w:val="5D2202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05ED3"/>
    <w:rsid w:val="119173B8"/>
    <w:rsid w:val="5270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3150</Words>
  <Characters>3249</Characters>
  <Lines>0</Lines>
  <Paragraphs>0</Paragraphs>
  <TotalTime>0</TotalTime>
  <ScaleCrop>false</ScaleCrop>
  <LinksUpToDate>false</LinksUpToDate>
  <CharactersWithSpaces>3273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2026-04-22T07:16:00Z</dcterms:created>
  <dc:creator>蔡奕</dc:creator>
  <cp:lastModifiedBy>蔡奕</cp:lastModifiedBy>
  <dcterms:modified xsi:type="dcterms:W3CDTF">2026-04-23T08:21:39Z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FE545BC46BE1430FA032FEA0DADA9386_11</vt:lpwstr>
  </property>
  <property fmtid="{D5CDD505-2E9C-101B-9397-08002B2CF9AE}" pid="4" name="KSOTemplateDocerSaveRecord">
    <vt:lpwstr>eyJoZGlkIjoiOTg2ODFmNzYxNzgzOTljYTdmMTFlMDRmYTczMWNlNWQiLCJ1c2VySWQiOiI0NzQxNDY0MDIifQ==</vt:lpwstr>
  </property>
</Properties>
</file>