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CFFB1">
      <w:pPr>
        <w:pStyle w:val="6"/>
        <w:numPr>
          <w:ilvl w:val="0"/>
          <w:numId w:val="2"/>
        </w:numPr>
        <w:spacing w:before="240" w:after="240"/>
        <w:ind w:left="2693"/>
        <w:rPr>
          <w:sz w:val="32"/>
          <w:szCs w:val="32"/>
        </w:rPr>
      </w:pPr>
      <w:bookmarkStart w:id="0" w:name="_Toc6891"/>
      <w:r>
        <w:rPr>
          <w:rFonts w:hint="eastAsia"/>
          <w:sz w:val="32"/>
          <w:szCs w:val="32"/>
        </w:rPr>
        <w:t>采购需求</w:t>
      </w:r>
      <w:bookmarkEnd w:id="0"/>
    </w:p>
    <w:p w14:paraId="52BF428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一、服务需求</w:t>
      </w:r>
    </w:p>
    <w:p w14:paraId="5702237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1.服务质量标准</w:t>
      </w:r>
    </w:p>
    <w:p w14:paraId="12576669">
      <w:pPr>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系统的测评需遵守国家现行的规范和标准，对我国未制定的规范，可参照对应的国际标准执行，对于尚未发布的国家标准、行业标准的检测内容，按照相关文件(初步设计方案、</w:t>
      </w:r>
      <w:r>
        <w:rPr>
          <w:rFonts w:hint="eastAsia" w:ascii="宋体" w:hAnsi="宋体" w:eastAsia="宋体" w:cs="宋体"/>
          <w:sz w:val="24"/>
          <w:szCs w:val="24"/>
          <w:highlight w:val="none"/>
          <w:lang w:eastAsia="zh-CN"/>
        </w:rPr>
        <w:t>比选文件、参选文件</w:t>
      </w:r>
      <w:r>
        <w:rPr>
          <w:rFonts w:hint="eastAsia" w:ascii="宋体" w:hAnsi="宋体" w:eastAsia="宋体" w:cs="宋体"/>
          <w:sz w:val="24"/>
          <w:szCs w:val="24"/>
          <w:highlight w:val="none"/>
        </w:rPr>
        <w:t xml:space="preserve">、建设合同等)要求执行。 </w:t>
      </w:r>
    </w:p>
    <w:p w14:paraId="0F98E92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2.评测实施要求</w:t>
      </w:r>
    </w:p>
    <w:p w14:paraId="68B3349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人应按照采购人的要求制定详细的项目实施方案，</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rPr>
        <w:t>项目实施方案</w:t>
      </w:r>
      <w:r>
        <w:rPr>
          <w:rFonts w:hint="eastAsia" w:ascii="宋体" w:hAnsi="宋体" w:eastAsia="宋体" w:cs="宋体"/>
          <w:sz w:val="24"/>
          <w:szCs w:val="24"/>
          <w:highlight w:val="none"/>
          <w:lang w:val="en-US" w:eastAsia="zh-CN"/>
        </w:rPr>
        <w:t>由</w:t>
      </w:r>
      <w:r>
        <w:rPr>
          <w:rFonts w:hint="eastAsia" w:ascii="宋体" w:hAnsi="宋体" w:eastAsia="宋体" w:cs="宋体"/>
          <w:sz w:val="24"/>
          <w:szCs w:val="24"/>
          <w:highlight w:val="none"/>
        </w:rPr>
        <w:t>采购人确定后，</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人进入实施阶段。</w:t>
      </w:r>
    </w:p>
    <w:p w14:paraId="43BC884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（2）软件评测对象为项目开发的软件和系统，评测内容包括软件产品的功能测试、性能效率测试等方面的测评审核。</w:t>
      </w:r>
    </w:p>
    <w:p w14:paraId="0E8C24DF">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需针对本项目组建项目团队，指派检测项目负责人一名，全权负责本项目的检测活动的组织与管理。评测人员应以公正、科学、客观、准确的态度，严格按照《系统与软件工程系统与软件质量要求和评价（SQuaRE）第51部分：就绪可用软件产品（RUSP）的质量要求和测试细则》（GB/T 25000.51-2016）等国家有关标准规定的评测方法，开展项目软件评测工作。</w:t>
      </w:r>
    </w:p>
    <w:p w14:paraId="64368C63">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评测人员应加强与采购人及承建单位的沟通。在项目软件评测过程中，须及时向采购人及承建单位通报在系统中发现的问题，并于系统评测完成时向采购人提供一份详实的评测报告。如评测中发现要修正的问题，待采购人安排承建单位修改完后，要进行回归评测。</w:t>
      </w:r>
    </w:p>
    <w:p w14:paraId="553E6F9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（5）完成项目的验收测试工作后，根据测试情况，出具加盖CMA的验收评测报告。 </w:t>
      </w:r>
    </w:p>
    <w:p w14:paraId="11F97BF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3.服务内容要求</w:t>
      </w:r>
    </w:p>
    <w:p w14:paraId="05EE8951">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在供应商总体开发完成后，进行验收测试，即确认提供的产品完全达到了预期的用途，对软件进行评价以证实它是否和初步设计方案、</w:t>
      </w:r>
      <w:r>
        <w:rPr>
          <w:rFonts w:hint="eastAsia" w:ascii="宋体" w:hAnsi="宋体" w:eastAsia="宋体" w:cs="宋体"/>
          <w:sz w:val="24"/>
          <w:szCs w:val="24"/>
          <w:highlight w:val="none"/>
          <w:lang w:eastAsia="zh-CN"/>
        </w:rPr>
        <w:t>比选文件、参选文件</w:t>
      </w:r>
      <w:r>
        <w:rPr>
          <w:rFonts w:hint="eastAsia" w:ascii="宋体" w:hAnsi="宋体" w:eastAsia="宋体" w:cs="宋体"/>
          <w:sz w:val="24"/>
          <w:szCs w:val="24"/>
          <w:highlight w:val="none"/>
        </w:rPr>
        <w:t>、建设合同等相一致；</w:t>
      </w:r>
    </w:p>
    <w:p w14:paraId="466B94C0">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对于测试中发现的问题，供应商整改后，检测机构需要进行回归测试，在修改缺陷后验证是否有新的缺陷引入。</w:t>
      </w:r>
    </w:p>
    <w:p w14:paraId="3E51DB8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3.1建筑智能化系统检测:检测工作具体内容包括但不限于：信息网络系统，综合布线系统，公共广播系统，会议系统，信息导引及发布系统，安全技术防范系统，机房工程，防雷与接地系统等。</w:t>
      </w:r>
    </w:p>
    <w:p w14:paraId="67FECB1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（1）信息网络系统</w:t>
      </w:r>
    </w:p>
    <w:p w14:paraId="57B66DB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检验内容包括：系统连通性，链路传输速率，网络吞吐率，传输时延，丢包率。</w:t>
      </w:r>
    </w:p>
    <w:p w14:paraId="07AA6B9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（2）综合布线系统</w:t>
      </w:r>
    </w:p>
    <w:p w14:paraId="6C502B2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检验内容包括：双绞线传输性能，光纤链路性能。</w:t>
      </w:r>
    </w:p>
    <w:p w14:paraId="44EABE7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（3）公共广播系统</w:t>
      </w:r>
    </w:p>
    <w:p w14:paraId="0B4DE25E">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检验内容包括：定时运行，分区管理，强制插入语声信号，广播优先级排序，自动切换，寻呼台站，远程监控。</w:t>
      </w:r>
    </w:p>
    <w:p w14:paraId="580D44E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（4）会议系统</w:t>
      </w:r>
    </w:p>
    <w:p w14:paraId="709BECB6">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检验内容包括：会议扩声系统，会议显示系统，会议灯光系统，会议同声传译系统，会议讨论系统，会议签到系统，会议表决系统，会议集中控制系统，会议录播系统，会议摄像系统。</w:t>
      </w:r>
    </w:p>
    <w:p w14:paraId="4ACEB498">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（5）信息导引及发布系统</w:t>
      </w:r>
    </w:p>
    <w:p w14:paraId="5056587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检验内容包括：信息播控设备功能，信息显示屏，信息导引设施。</w:t>
      </w:r>
    </w:p>
    <w:p w14:paraId="20E1E98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（6）安全技术防范系统</w:t>
      </w:r>
    </w:p>
    <w:p w14:paraId="1E3C2E1E">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检验内容包括：入侵报警系统，视频监控系统，出入口控制系统，电子巡查系统，停车库(场)管理系统。</w:t>
      </w:r>
    </w:p>
    <w:p w14:paraId="4B6EA108">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（7）机房工程</w:t>
      </w:r>
    </w:p>
    <w:p w14:paraId="683BC4AA">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检验内容包括：组成检验，面积、净高，温湿度，机房室内环境，尘埃，照明，噪声，供电电源质量，接地电阻，零地电压，计算机场地防水。</w:t>
      </w:r>
    </w:p>
    <w:p w14:paraId="3A4233A7">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（8）防雷与接地系统</w:t>
      </w:r>
    </w:p>
    <w:p w14:paraId="66D77F4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检验内容包括：接地装置，接地线，等电位联结，屏蔽设施，电涌保护器，接地电阻。</w:t>
      </w:r>
    </w:p>
    <w:p w14:paraId="549877B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3.2.软件系统检测：检测工作具体内容包括但不限于功能测试，性能效率、文档测试，易用性测试，安全性测试，可靠性测试，兼容性测试，系统接口测试。</w:t>
      </w:r>
    </w:p>
    <w:p w14:paraId="4AC48E7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（1）功能测试</w:t>
      </w:r>
    </w:p>
    <w:p w14:paraId="5482FAC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功能评测要求</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人依据初步设计方案、</w:t>
      </w:r>
      <w:r>
        <w:rPr>
          <w:rFonts w:hint="eastAsia" w:ascii="宋体" w:hAnsi="宋体" w:eastAsia="宋体" w:cs="宋体"/>
          <w:sz w:val="24"/>
          <w:szCs w:val="24"/>
          <w:highlight w:val="none"/>
          <w:lang w:eastAsia="zh-CN"/>
        </w:rPr>
        <w:t>比选文件、参选文件</w:t>
      </w:r>
      <w:r>
        <w:rPr>
          <w:rFonts w:hint="eastAsia" w:ascii="宋体" w:hAnsi="宋体" w:eastAsia="宋体" w:cs="宋体"/>
          <w:sz w:val="24"/>
          <w:szCs w:val="24"/>
          <w:highlight w:val="none"/>
        </w:rPr>
        <w:t>、建设合同等文件中的技术要求，并结合用户对系统建设的整体功能方向，对系统涉及到的所有业务逻辑、功能逻辑、功能项的全覆盖评测。包含但不限于以下内容：</w:t>
      </w:r>
    </w:p>
    <w:p w14:paraId="345ED80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适合性：系统为制定的任务和用户目标提供一组核实的功能的能力。</w:t>
      </w:r>
    </w:p>
    <w:p w14:paraId="34066D4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准确性：系统提供具有所需精度的正确或相符的结果或效果的能力。</w:t>
      </w:r>
    </w:p>
    <w:p w14:paraId="2CFB92D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互操作性：系统与一个或更多的规定系统进行交互的能力。</w:t>
      </w:r>
    </w:p>
    <w:p w14:paraId="3193853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一致性：系统功能及数据实现与用户文档相互符合的能力。 </w:t>
      </w:r>
    </w:p>
    <w:p w14:paraId="116A284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（2）性能效率</w:t>
      </w:r>
    </w:p>
    <w:p w14:paraId="56E96B7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性能评测要求</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 xml:space="preserve">人通过站在用户体验的角度，使用专业的负载生成设备，在性能模型的基础上验证系统是否能够达到用户提出的性能指标，是否符合用户文档中对系统设计时的性能关注点。在系统正常交互量及峰值交互量的情况下发现系统中存在的性能瓶颈，优化软件，最后达到优化系统的目的。测试指标包含但不限于以下内容： </w:t>
      </w:r>
    </w:p>
    <w:p w14:paraId="0CFAC446">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并发数：对系统中发生的各项业务，预测正常并发数量和峰值并发数量，对系统进行并发测试。若承建方交付的系统无法完全满足用户并发量的需求，</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 xml:space="preserve">人需提供现有系统目前支持的并发量数目，为优化系统提供参照和依据。 </w:t>
      </w:r>
    </w:p>
    <w:p w14:paraId="12405986">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时间特性：测试系统是否能够及时响应最终用户的指令，能够满足最终用户的及时性要求。响应时间为主要考核指标，响应时间=网络响应时间+应用处理时间。</w:t>
      </w:r>
    </w:p>
    <w:p w14:paraId="66B661FD">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）文档测试</w:t>
      </w:r>
    </w:p>
    <w:p w14:paraId="40832DF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文档也是系统的重要组成部分，可以提供系统开发指导，在系统后期的使用指导、后期维护、二次开发中发挥重要作用。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人应通过文档测试，对系统所属的文档集进行查缺，对单一文档是否可以正确、简明的指引用户对系统的认识、理解、维护的能力进行评价。包含但不限于以下内容：</w:t>
      </w:r>
    </w:p>
    <w:p w14:paraId="6F235067">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完备性：验证系统文档集中的文档类目是否完全可以覆盖系统从立项、设计到后期维护等各生命周期中需要被定义的工作过程。</w:t>
      </w:r>
    </w:p>
    <w:p w14:paraId="6D6F77D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正确性：文档中内容描述正确，无错误、无歧义、无模糊化描述。</w:t>
      </w:r>
    </w:p>
    <w:p w14:paraId="046F7A3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一致性：文档中内容与实际系统的实际要求相符合，无差异化描述。</w:t>
      </w:r>
    </w:p>
    <w:p w14:paraId="0A83480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易理解性：文档中内容以图文并茂的方式进行描述，并应采用该系统读者可理解的术语和文体，用直观、易懂的描述语言。</w:t>
      </w:r>
    </w:p>
    <w:p w14:paraId="07532F0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易学性：文档中内容便于浏览，逻辑关系清晰，应为用户学会如何使用该系统提供必要的信息。</w:t>
      </w:r>
    </w:p>
    <w:p w14:paraId="736862B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可操作性：文档应注明必要的操作模式，并提供目次和索引，对于不常用的数据和首字母缩略语应加以定义。 </w:t>
      </w:r>
    </w:p>
    <w:p w14:paraId="1568A44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）易用性测试</w:t>
      </w:r>
    </w:p>
    <w:p w14:paraId="1779B5D3">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测试系统的功能是否易理解、易浏览、易于操作。</w:t>
      </w:r>
    </w:p>
    <w:p w14:paraId="5464728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易理解性：功能名称易理解，输入、操作方式便捷、易用、易学；系统及功能执行过程中的用户界面、图形、文字、信息和标识友好，没有出现中英文混杂的界面；实现不复杂，操作单一化；软件中的提示信息是否清楚、易理解，不能把程序中出现的技术错误提示信息直接呈现在用户界面中；当一个任务要较长时间执行时，要有进度条呈现完成的进度；没有影响用户理解的书写错误。</w:t>
      </w:r>
    </w:p>
    <w:p w14:paraId="16C4D8AF">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易浏览性：除了提供配套的使用手册或文档，以便用户能够查阅并学习系统的使用以外，系统自身还应为用户提供相应的在线帮助功能，达到边用边学的效果。</w:t>
      </w:r>
    </w:p>
    <w:p w14:paraId="64E89C7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易操作性：菜单不能有太深的层次；从一个状态能容易往前后两个方向迁移；同一软件或不同软件之间的同一操作（快捷键、菜单、操作命名）方法应该一致；相同按钮的放置位置应该一致。</w:t>
      </w:r>
    </w:p>
    <w:p w14:paraId="01E53AB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）安全性测试</w:t>
      </w:r>
    </w:p>
    <w:p w14:paraId="170F386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通过安全机制检查列表对系统进行安全机制检查，并对系统进行漏洞扫描测试。包含但不限于以下内容：</w:t>
      </w:r>
    </w:p>
    <w:p w14:paraId="3C558D8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身份认证：用户认证的密码，具有口令长度要求，复杂度要求以及定期更新的特点；应具有登录失败的处理功能，结束会话以及限制登录次数；应用系统能设置用户鉴别的口令复杂度和鉴别的方式等和对匿名用户应该限制访问应用资源和登录频率。</w:t>
      </w:r>
    </w:p>
    <w:p w14:paraId="64EAE6F3">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传输安全：通信双方支持单向的校验码算法，保证报文的有效性；双方传输过程中，如果一方断开，应支持自动断开会话；双方会话初始化应该有密码等认证方式和通信传输双方的数据应该支持加密通信。</w:t>
      </w:r>
    </w:p>
    <w:p w14:paraId="3A409D5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安全审计：必须覆盖到系统每个用户，包括临时用户；必须记录应用系统的安全相关事件，必须记录重要用户行为和重要系统功能执行状态；必须记录操作时间，类型，事件结果等和安全审计记录必须受到保护，防止遭到篡改和覆盖。</w:t>
      </w:r>
    </w:p>
    <w:p w14:paraId="7BAA351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资源控制：应用系统应支持单个用户的会话限制和应支持对特定用户，ip的会话限制。数据安全：应用系统支持防止对未认证用户的访问；应用系统支持防止认证用户对未授权数据的访问；数据必须支持集中存储，端不留密的原则；系统能检索数据破坏和恶意修改，并且能自动恢复和应用系统提供自动备份和恢复重要数据的机制。</w:t>
      </w:r>
    </w:p>
    <w:p w14:paraId="5ED2EBE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软件容错方面：应提供数据有效性检验功能，保证通过人机接口输入或通过通信接口输入的数据格式或长度符合系统设定要求；应提供自动保护功能，当故障发生时自动保护当前所有状态，保证系统能够进行恢复。 </w:t>
      </w:r>
    </w:p>
    <w:p w14:paraId="0628BD9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）可靠性测试</w:t>
      </w:r>
    </w:p>
    <w:p w14:paraId="2708B3B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对系统的可靠性进行检测，可靠性测试应包含系统成熟性、容错性、易恢复性等要求。</w:t>
      </w:r>
    </w:p>
    <w:p w14:paraId="174818B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成熟性：软件按照用户文档定义的可靠性特征稳定且持续运行，不应丢失数据。</w:t>
      </w:r>
    </w:p>
    <w:p w14:paraId="468F1422">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容错性：存在硬件或软件故障，系统产品或组件的运行符合预期的程度。</w:t>
      </w:r>
    </w:p>
    <w:p w14:paraId="66F62A1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易恢复性：在发生中断或失效时，产品或系统能够恢复直接受影响的数据并重建期望的系统状态的程度。</w:t>
      </w:r>
    </w:p>
    <w:p w14:paraId="5B009693">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）兼容性测试</w:t>
      </w:r>
    </w:p>
    <w:p w14:paraId="39F1890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共存性：系统与其他产品共存的能</w:t>
      </w:r>
      <w:r>
        <w:rPr>
          <w:rFonts w:hint="eastAsia"/>
          <w:lang w:val="en-US" w:eastAsia="zh-CN"/>
        </w:rPr>
        <w:t>力</w:t>
      </w:r>
      <w:r>
        <w:rPr>
          <w:rFonts w:hint="eastAsia" w:ascii="宋体" w:hAnsi="宋体" w:eastAsia="宋体" w:cs="宋体"/>
          <w:sz w:val="24"/>
          <w:szCs w:val="24"/>
          <w:highlight w:val="none"/>
        </w:rPr>
        <w:t>。</w:t>
      </w:r>
    </w:p>
    <w:p w14:paraId="4E1581B8">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）系统接口测试</w:t>
      </w:r>
    </w:p>
    <w:p w14:paraId="2196DD01">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接口测试主要用于检测外部系统与系统之间以及内部各个子系统之间的交互点。测试的重点是要检查数据的交换，传递和控制管理过程，以及系统间的相互逻辑依赖关系等。</w:t>
      </w:r>
    </w:p>
    <w:p w14:paraId="259C54CD">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4.人员要求</w:t>
      </w:r>
    </w:p>
    <w:p w14:paraId="10CED35D">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要求参加本次项目</w:t>
      </w:r>
      <w:r>
        <w:rPr>
          <w:rFonts w:hint="eastAsia" w:ascii="宋体" w:hAnsi="宋体" w:eastAsia="宋体" w:cs="宋体"/>
          <w:b/>
          <w:bCs/>
          <w:sz w:val="24"/>
          <w:szCs w:val="24"/>
          <w:highlight w:val="none"/>
          <w:lang w:val="en-US" w:eastAsia="zh-CN"/>
        </w:rPr>
        <w:t>所配备的团队</w:t>
      </w:r>
      <w:r>
        <w:rPr>
          <w:rFonts w:hint="eastAsia" w:ascii="宋体" w:hAnsi="宋体" w:eastAsia="宋体" w:cs="宋体"/>
          <w:b/>
          <w:bCs/>
          <w:sz w:val="24"/>
          <w:szCs w:val="24"/>
          <w:highlight w:val="none"/>
        </w:rPr>
        <w:t>评测人员不少于8人，</w:t>
      </w:r>
      <w:r>
        <w:rPr>
          <w:rFonts w:hint="eastAsia" w:ascii="宋体" w:hAnsi="宋体" w:eastAsia="宋体" w:cs="宋体"/>
          <w:b/>
          <w:bCs/>
          <w:sz w:val="24"/>
          <w:szCs w:val="24"/>
          <w:highlight w:val="none"/>
          <w:lang w:val="en-US" w:eastAsia="zh-CN"/>
        </w:rPr>
        <w:t>参选时提供测评团队人员名单（同时需要</w:t>
      </w:r>
      <w:r>
        <w:rPr>
          <w:rFonts w:hint="eastAsia" w:ascii="宋体" w:hAnsi="宋体" w:eastAsia="宋体" w:cs="宋体"/>
          <w:b/>
          <w:bCs/>
          <w:strike w:val="0"/>
          <w:dstrike w:val="0"/>
          <w:sz w:val="24"/>
          <w:szCs w:val="24"/>
          <w:highlight w:val="none"/>
        </w:rPr>
        <w:t>提供近3-6个月的社保证明</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测试团队人员一经确定，未经采购人同意，中途不得擅自换人。若确需换人的，更换人员资质不得低于原有人员资质。</w:t>
      </w:r>
    </w:p>
    <w:p w14:paraId="2DC19202">
      <w:pPr>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trike w:val="0"/>
          <w:dstrike w:val="0"/>
          <w:sz w:val="24"/>
          <w:szCs w:val="24"/>
          <w:highlight w:val="none"/>
        </w:rPr>
        <w:t>项目负责人：具有信息系统项目管理师证书。</w:t>
      </w:r>
    </w:p>
    <w:p w14:paraId="2DB8DB4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5.其他要求 </w:t>
      </w:r>
    </w:p>
    <w:p w14:paraId="2C42DAC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本项目采购的检测服务单位在服务期内按</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需求对</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的各个信息化软硬件及服务项目进行检测。不设最低检测项目数量门槛。</w:t>
      </w:r>
    </w:p>
    <w:p w14:paraId="38EFA4E0">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每个项目的具体检测内容，根据各个项目实际的项目初步设计方案、建设合同、</w:t>
      </w:r>
      <w:r>
        <w:rPr>
          <w:rFonts w:hint="eastAsia" w:ascii="宋体" w:hAnsi="宋体" w:eastAsia="宋体" w:cs="宋体"/>
          <w:sz w:val="24"/>
          <w:szCs w:val="24"/>
          <w:highlight w:val="none"/>
          <w:lang w:eastAsia="zh-CN"/>
        </w:rPr>
        <w:t>比选文件、参选文件</w:t>
      </w:r>
      <w:r>
        <w:rPr>
          <w:rFonts w:hint="eastAsia" w:ascii="宋体" w:hAnsi="宋体" w:eastAsia="宋体" w:cs="宋体"/>
          <w:sz w:val="24"/>
          <w:szCs w:val="24"/>
          <w:highlight w:val="none"/>
        </w:rPr>
        <w:t xml:space="preserve">的要求在检测时给予细化和确定。 </w:t>
      </w:r>
    </w:p>
    <w:p w14:paraId="54CFCAC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每个项目具备检测条件后，采购人出具委托检测函，</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 xml:space="preserve">人应在3个工作日组织人员进场检测，并在30个工作日内完成现场检测，7天内出具检测报告。 </w:t>
      </w:r>
    </w:p>
    <w:p w14:paraId="3C9C286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 xml:space="preserve">人应科学、公正、公平的对所有项目进行验收检测，确保检测结果客观，准确，如果出具虚假报告，采购人不支付相应项目的检测费用，并建议相关机构进行处罚或处理。 </w:t>
      </w:r>
    </w:p>
    <w:p w14:paraId="0308ECD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6、范围及期限</w:t>
      </w:r>
    </w:p>
    <w:p w14:paraId="399226C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（1）服务期限：自签订合同之日起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年内委托的项目服务完毕。</w:t>
      </w:r>
    </w:p>
    <w:p w14:paraId="1402883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（2）项目范围：服务期内按</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需要检测的各个项目。</w:t>
      </w:r>
    </w:p>
    <w:p w14:paraId="69C54E7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比选</w:t>
      </w:r>
      <w:r>
        <w:rPr>
          <w:rFonts w:hint="eastAsia" w:ascii="宋体" w:hAnsi="宋体" w:eastAsia="宋体" w:cs="宋体"/>
          <w:sz w:val="24"/>
          <w:szCs w:val="24"/>
          <w:highlight w:val="none"/>
        </w:rPr>
        <w:t>文件规定的其他服务范围。</w:t>
      </w:r>
    </w:p>
    <w:p w14:paraId="5F63FE47">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二、保密要求</w:t>
      </w:r>
    </w:p>
    <w:p w14:paraId="0472AD2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本项目的内容涉及本项目的所有资料都视为内部涉密数据，</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人有责任和义务保证项目所涉及全部内容的保密和安全，不得在其他任何场合以任何手段使用。对于本项目中所涉及的全部内容的安全保密，服务实施前</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人需向采购人提供书面的保密保证。对于</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人未经采购人书面同意，以任何方式和渠道泄露秘密的情况，</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人将承担由此造成的一切损失并承担法律责任。</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人需建立完善的安全和保密体制，在本项目结束后，需将本次安全服务中所使用和拥有的采购人的资料进行归档和清点并归还，对于不能归还的资料进行书面说明由双方进行协商处理，</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人应在项目实施前与采购人签订保密协议。</w:t>
      </w:r>
      <w:r>
        <w:rPr>
          <w:rFonts w:hint="eastAsia" w:ascii="宋体" w:hAnsi="宋体" w:eastAsia="宋体" w:cs="宋体"/>
          <w:sz w:val="24"/>
          <w:szCs w:val="24"/>
          <w:highlight w:val="none"/>
        </w:rPr>
        <w:tab/>
      </w:r>
    </w:p>
    <w:p w14:paraId="2D328B4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三、报价要求</w:t>
      </w:r>
    </w:p>
    <w:p w14:paraId="2A74310D">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本项目采用费率报价，</w:t>
      </w:r>
      <w:r>
        <w:rPr>
          <w:rFonts w:hint="eastAsia" w:ascii="宋体" w:hAnsi="宋体" w:eastAsia="宋体" w:cs="宋体"/>
          <w:sz w:val="24"/>
          <w:szCs w:val="24"/>
          <w:highlight w:val="none"/>
          <w:lang w:val="en-US" w:eastAsia="zh-CN"/>
        </w:rPr>
        <w:t>参选</w:t>
      </w:r>
      <w:r>
        <w:rPr>
          <w:rFonts w:hint="eastAsia" w:ascii="宋体" w:hAnsi="宋体" w:eastAsia="宋体" w:cs="宋体"/>
          <w:sz w:val="24"/>
          <w:szCs w:val="24"/>
          <w:highlight w:val="none"/>
        </w:rPr>
        <w:t>人须按要求报出</w:t>
      </w:r>
      <w:r>
        <w:rPr>
          <w:rFonts w:hint="eastAsia" w:ascii="宋体" w:hAnsi="宋体" w:eastAsia="宋体" w:cs="宋体"/>
          <w:sz w:val="24"/>
          <w:szCs w:val="24"/>
          <w:highlight w:val="none"/>
          <w:lang w:val="en-US" w:eastAsia="zh-CN"/>
        </w:rPr>
        <w:t>参选</w:t>
      </w:r>
      <w:r>
        <w:rPr>
          <w:rFonts w:hint="eastAsia" w:ascii="宋体" w:hAnsi="宋体" w:eastAsia="宋体" w:cs="宋体"/>
          <w:sz w:val="24"/>
          <w:szCs w:val="24"/>
          <w:highlight w:val="none"/>
        </w:rPr>
        <w:t>费率（最高费率限价1.76%）。</w:t>
      </w:r>
      <w:r>
        <w:rPr>
          <w:rFonts w:hint="eastAsia" w:ascii="宋体" w:hAnsi="宋体" w:eastAsia="宋体" w:cs="宋体"/>
          <w:sz w:val="24"/>
          <w:szCs w:val="24"/>
          <w:highlight w:val="none"/>
          <w:lang w:val="en-US" w:eastAsia="zh-CN"/>
        </w:rPr>
        <w:t>参选</w:t>
      </w:r>
      <w:r>
        <w:rPr>
          <w:rFonts w:hint="eastAsia" w:ascii="宋体" w:hAnsi="宋体" w:eastAsia="宋体" w:cs="宋体"/>
          <w:sz w:val="24"/>
          <w:szCs w:val="24"/>
          <w:highlight w:val="none"/>
        </w:rPr>
        <w:t>人的报价包含服务、利润、税金、政策性文件规定及合同包含的所有风险、责任、义务等，即为完成</w:t>
      </w:r>
      <w:r>
        <w:rPr>
          <w:rFonts w:hint="eastAsia" w:ascii="宋体" w:hAnsi="宋体" w:eastAsia="宋体" w:cs="宋体"/>
          <w:sz w:val="24"/>
          <w:szCs w:val="24"/>
          <w:highlight w:val="none"/>
          <w:lang w:val="en-US" w:eastAsia="zh-CN"/>
        </w:rPr>
        <w:t>比选</w:t>
      </w:r>
      <w:r>
        <w:rPr>
          <w:rFonts w:hint="eastAsia" w:ascii="宋体" w:hAnsi="宋体" w:eastAsia="宋体" w:cs="宋体"/>
          <w:sz w:val="24"/>
          <w:szCs w:val="24"/>
          <w:highlight w:val="none"/>
        </w:rPr>
        <w:t>文件要求的服务内容所包含的一切应有费用，采购人后期不再追加费用，</w:t>
      </w:r>
      <w:r>
        <w:rPr>
          <w:rFonts w:hint="eastAsia" w:ascii="宋体" w:hAnsi="宋体" w:eastAsia="宋体" w:cs="宋体"/>
          <w:sz w:val="24"/>
          <w:szCs w:val="24"/>
          <w:highlight w:val="none"/>
          <w:lang w:val="en-US" w:eastAsia="zh-CN"/>
        </w:rPr>
        <w:t>参选</w:t>
      </w:r>
      <w:r>
        <w:rPr>
          <w:rFonts w:hint="eastAsia" w:ascii="宋体" w:hAnsi="宋体" w:eastAsia="宋体" w:cs="宋体"/>
          <w:sz w:val="24"/>
          <w:szCs w:val="24"/>
          <w:highlight w:val="none"/>
        </w:rPr>
        <w:t>人自行考虑投标风险。本项目涉及检测项目费用，按</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需检测的各个项目的合同最终成交价计算。</w:t>
      </w:r>
    </w:p>
    <w:p w14:paraId="298C757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sz w:val="24"/>
          <w:szCs w:val="24"/>
          <w:lang w:val="en-GB"/>
        </w:rPr>
      </w:pPr>
    </w:p>
    <w:p w14:paraId="61D4CDD9">
      <w:pPr>
        <w:pStyle w:val="7"/>
        <w:ind w:firstLine="0" w:firstLineChars="0"/>
        <w:jc w:val="left"/>
        <w:rPr>
          <w:rFonts w:hint="eastAsia" w:ascii="宋体" w:hAnsi="宋体" w:cs="宋体"/>
          <w:b/>
          <w:bCs/>
          <w:szCs w:val="24"/>
          <w:highlight w:val="none"/>
        </w:rPr>
      </w:pPr>
    </w:p>
    <w:p w14:paraId="12784180">
      <w:pPr>
        <w:pStyle w:val="7"/>
        <w:ind w:firstLine="0" w:firstLineChars="0"/>
        <w:jc w:val="left"/>
        <w:rPr>
          <w:highlight w:val="none"/>
        </w:rPr>
      </w:pPr>
      <w:r>
        <w:rPr>
          <w:rFonts w:hint="eastAsia" w:ascii="宋体" w:hAnsi="宋体" w:cs="宋体"/>
          <w:b/>
          <w:bCs/>
          <w:szCs w:val="24"/>
          <w:highlight w:val="none"/>
        </w:rPr>
        <w:t>注：上述采购需求所有条款参选人必须全部响应</w:t>
      </w:r>
      <w:r>
        <w:rPr>
          <w:rFonts w:hint="eastAsia" w:ascii="宋体" w:hAnsi="宋体" w:cs="宋体"/>
          <w:b/>
          <w:bCs/>
          <w:szCs w:val="24"/>
          <w:highlight w:val="none"/>
          <w:lang w:val="en-US" w:eastAsia="zh-CN"/>
        </w:rPr>
        <w:t>满足</w:t>
      </w:r>
      <w:r>
        <w:rPr>
          <w:rFonts w:hint="eastAsia" w:ascii="宋体" w:hAnsi="宋体" w:cs="宋体"/>
          <w:b/>
          <w:bCs/>
          <w:szCs w:val="24"/>
          <w:highlight w:val="none"/>
        </w:rPr>
        <w:t>，不得</w:t>
      </w:r>
      <w:r>
        <w:rPr>
          <w:rFonts w:hint="eastAsia" w:ascii="宋体" w:hAnsi="宋体" w:cs="宋体"/>
          <w:b/>
          <w:bCs/>
          <w:szCs w:val="24"/>
          <w:highlight w:val="none"/>
          <w:lang w:val="en-US" w:eastAsia="zh-CN"/>
        </w:rPr>
        <w:t>负</w:t>
      </w:r>
      <w:r>
        <w:rPr>
          <w:rFonts w:hint="eastAsia" w:ascii="宋体" w:hAnsi="宋体" w:cs="宋体"/>
          <w:b/>
          <w:bCs/>
          <w:szCs w:val="24"/>
          <w:highlight w:val="none"/>
        </w:rPr>
        <w:t>偏离，否则做无效</w:t>
      </w:r>
      <w:r>
        <w:rPr>
          <w:rFonts w:hint="eastAsia" w:ascii="宋体" w:hAnsi="宋体" w:cs="宋体"/>
          <w:b/>
          <w:bCs/>
          <w:szCs w:val="24"/>
          <w:highlight w:val="none"/>
          <w:lang w:val="en-US" w:eastAsia="zh-CN"/>
        </w:rPr>
        <w:t>参选</w:t>
      </w:r>
      <w:r>
        <w:rPr>
          <w:rFonts w:hint="eastAsia" w:ascii="宋体" w:hAnsi="宋体" w:cs="宋体"/>
          <w:b/>
          <w:bCs/>
          <w:szCs w:val="24"/>
          <w:highlight w:val="none"/>
        </w:rPr>
        <w:t>处理。</w:t>
      </w:r>
    </w:p>
    <w:p w14:paraId="25D072D7">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B15E5"/>
    <w:multiLevelType w:val="singleLevel"/>
    <w:tmpl w:val="84AB15E5"/>
    <w:lvl w:ilvl="0" w:tentative="0">
      <w:start w:val="5"/>
      <w:numFmt w:val="chineseCounting"/>
      <w:suff w:val="space"/>
      <w:lvlText w:val="第%1章"/>
      <w:lvlJc w:val="left"/>
      <w:rPr>
        <w:rFonts w:hint="eastAsia"/>
      </w:rPr>
    </w:lvl>
  </w:abstractNum>
  <w:abstractNum w:abstractNumId="1">
    <w:nsid w:val="00000001"/>
    <w:multiLevelType w:val="multilevel"/>
    <w:tmpl w:val="00000001"/>
    <w:lvl w:ilvl="0" w:tentative="0">
      <w:start w:val="1"/>
      <w:numFmt w:val="japaneseCounting"/>
      <w:pStyle w:val="3"/>
      <w:lvlText w:val="第%1章"/>
      <w:lvlJc w:val="left"/>
      <w:pPr>
        <w:tabs>
          <w:tab w:val="left" w:pos="9497"/>
        </w:tabs>
        <w:ind w:left="9497" w:hanging="1275"/>
      </w:pPr>
      <w:rPr>
        <w:rFonts w:hint="default"/>
        <w:b/>
        <w:sz w:val="32"/>
        <w:szCs w:val="32"/>
      </w:rPr>
    </w:lvl>
    <w:lvl w:ilvl="1" w:tentative="0">
      <w:start w:val="1"/>
      <w:numFmt w:val="japaneseCounting"/>
      <w:lvlText w:val="%2、"/>
      <w:lvlJc w:val="left"/>
      <w:pPr>
        <w:tabs>
          <w:tab w:val="left" w:pos="1892"/>
        </w:tabs>
        <w:ind w:left="1920" w:hanging="480"/>
      </w:pPr>
      <w:rPr>
        <w:rFonts w:hint="default"/>
      </w:rPr>
    </w:lvl>
    <w:lvl w:ilvl="2" w:tentative="0">
      <w:start w:val="1"/>
      <w:numFmt w:val="lowerRoman"/>
      <w:lvlText w:val="%3."/>
      <w:lvlJc w:val="right"/>
      <w:pPr>
        <w:tabs>
          <w:tab w:val="left" w:pos="2252"/>
        </w:tabs>
        <w:ind w:left="2252" w:hanging="420"/>
      </w:pPr>
    </w:lvl>
    <w:lvl w:ilvl="3" w:tentative="0">
      <w:start w:val="1"/>
      <w:numFmt w:val="decimal"/>
      <w:pStyle w:val="2"/>
      <w:lvlText w:val="%4."/>
      <w:lvlJc w:val="left"/>
      <w:pPr>
        <w:tabs>
          <w:tab w:val="left" w:pos="2672"/>
        </w:tabs>
        <w:ind w:left="2672" w:hanging="420"/>
      </w:pPr>
    </w:lvl>
    <w:lvl w:ilvl="4" w:tentative="0">
      <w:start w:val="1"/>
      <w:numFmt w:val="lowerLetter"/>
      <w:lvlText w:val="%5)"/>
      <w:lvlJc w:val="left"/>
      <w:pPr>
        <w:tabs>
          <w:tab w:val="left" w:pos="3092"/>
        </w:tabs>
        <w:ind w:left="3092" w:hanging="420"/>
      </w:pPr>
    </w:lvl>
    <w:lvl w:ilvl="5" w:tentative="0">
      <w:start w:val="1"/>
      <w:numFmt w:val="lowerRoman"/>
      <w:lvlText w:val="%6."/>
      <w:lvlJc w:val="right"/>
      <w:pPr>
        <w:tabs>
          <w:tab w:val="left" w:pos="3512"/>
        </w:tabs>
        <w:ind w:left="3512" w:hanging="420"/>
      </w:pPr>
    </w:lvl>
    <w:lvl w:ilvl="6" w:tentative="0">
      <w:start w:val="1"/>
      <w:numFmt w:val="decimal"/>
      <w:lvlText w:val="%7."/>
      <w:lvlJc w:val="left"/>
      <w:pPr>
        <w:tabs>
          <w:tab w:val="left" w:pos="3932"/>
        </w:tabs>
        <w:ind w:left="3932" w:hanging="420"/>
      </w:pPr>
    </w:lvl>
    <w:lvl w:ilvl="7" w:tentative="0">
      <w:start w:val="1"/>
      <w:numFmt w:val="lowerLetter"/>
      <w:lvlText w:val="%8)"/>
      <w:lvlJc w:val="left"/>
      <w:pPr>
        <w:tabs>
          <w:tab w:val="left" w:pos="4352"/>
        </w:tabs>
        <w:ind w:left="4352" w:hanging="420"/>
      </w:pPr>
    </w:lvl>
    <w:lvl w:ilvl="8" w:tentative="0">
      <w:start w:val="1"/>
      <w:numFmt w:val="lowerRoman"/>
      <w:lvlText w:val="%9."/>
      <w:lvlJc w:val="right"/>
      <w:pPr>
        <w:tabs>
          <w:tab w:val="left" w:pos="4772"/>
        </w:tabs>
        <w:ind w:left="477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C42F4"/>
    <w:rsid w:val="019C4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numPr>
        <w:ilvl w:val="0"/>
        <w:numId w:val="1"/>
      </w:numPr>
      <w:tabs>
        <w:tab w:val="left" w:pos="2693"/>
      </w:tabs>
      <w:adjustRightInd w:val="0"/>
      <w:spacing w:before="340" w:after="330" w:line="578" w:lineRule="atLeast"/>
      <w:textAlignment w:val="baseline"/>
      <w:outlineLvl w:val="0"/>
    </w:pPr>
    <w:rPr>
      <w:b/>
      <w:kern w:val="44"/>
      <w:sz w:val="44"/>
    </w:rPr>
  </w:style>
  <w:style w:type="paragraph" w:styleId="2">
    <w:name w:val="heading 4"/>
    <w:basedOn w:val="1"/>
    <w:next w:val="1"/>
    <w:qFormat/>
    <w:uiPriority w:val="0"/>
    <w:pPr>
      <w:keepNext/>
      <w:keepLines/>
      <w:numPr>
        <w:ilvl w:val="3"/>
        <w:numId w:val="1"/>
      </w:numPr>
      <w:adjustRightInd w:val="0"/>
      <w:spacing w:before="280" w:after="290" w:line="376" w:lineRule="atLeast"/>
      <w:textAlignment w:val="baseline"/>
      <w:outlineLvl w:val="3"/>
    </w:pPr>
    <w:rPr>
      <w:rFonts w:ascii="Arial" w:hAnsi="Arial" w:eastAsia="黑体"/>
      <w:b/>
      <w:kern w:val="0"/>
      <w:sz w:val="2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标题1 Ctrl+1"/>
    <w:basedOn w:val="3"/>
    <w:next w:val="7"/>
    <w:qFormat/>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7">
    <w:name w:val="!我的正文 Ctr+Q"/>
    <w:basedOn w:val="1"/>
    <w:uiPriority w:val="0"/>
    <w:pPr>
      <w:adjustRightInd w:val="0"/>
      <w:snapToGrid w:val="0"/>
      <w:spacing w:line="360" w:lineRule="auto"/>
      <w:ind w:firstLine="480" w:firstLineChars="200"/>
    </w:pPr>
    <w:rPr>
      <w:rFonts w:ascii="Arial" w:hAnsi="Arial"/>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2026-05-27T09:50:00Z</dcterms:created>
  <dc:creator>汪宪宜</dc:creator>
  <cp:lastModifiedBy>汪宪宜</cp:lastModifiedBy>
  <dcterms:modified xsi:type="dcterms:W3CDTF">2026-05-27T09:51:17Z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BC3F60427AE043FEAE09BEEF3C904679_11</vt:lpwstr>
  </property>
  <property fmtid="{D5CDD505-2E9C-101B-9397-08002B2CF9AE}" pid="4" name="KSOTemplateDocerSaveRecord">
    <vt:lpwstr>eyJoZGlkIjoiZWUyOTQ1NDM2Zjc0YjU0MjZhMWI3YTAyMzgxNTM2MDQiLCJ1c2VySWQiOiI0NjEyMTI0ODEifQ==</vt:lpwstr>
  </property>
</Properties>
</file>