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33B8B">
      <w:pPr>
        <w:pStyle w:val="6"/>
        <w:numPr>
          <w:ilvl w:val="0"/>
          <w:numId w:val="2"/>
        </w:numPr>
        <w:spacing w:before="240" w:after="240"/>
        <w:ind w:left="2693"/>
        <w:rPr>
          <w:sz w:val="32"/>
          <w:szCs w:val="32"/>
        </w:rPr>
      </w:pPr>
      <w:bookmarkStart w:id="0" w:name="_Toc6891"/>
      <w:r>
        <w:rPr>
          <w:rFonts w:hint="eastAsia"/>
          <w:sz w:val="32"/>
          <w:szCs w:val="32"/>
        </w:rPr>
        <w:t>采购需求</w:t>
      </w:r>
      <w:bookmarkEnd w:id="0"/>
    </w:p>
    <w:p w14:paraId="39103896">
      <w:pPr>
        <w:keepNext w:val="0"/>
        <w:keepLines w:val="0"/>
        <w:pageBreakBefore w:val="0"/>
        <w:widowControl/>
        <w:kinsoku/>
        <w:wordWrap/>
        <w:overflowPunct/>
        <w:topLinePunct w:val="0"/>
        <w:bidi w:val="0"/>
        <w:snapToGrid/>
        <w:spacing w:line="360" w:lineRule="auto"/>
        <w:ind w:left="0" w:firstLine="482" w:firstLineChars="200"/>
        <w:jc w:val="left"/>
        <w:textAlignment w:val="auto"/>
        <w:outlineLvl w:val="0"/>
        <w:rPr>
          <w:rFonts w:hint="eastAsia" w:ascii="宋体" w:hAnsi="宋体" w:eastAsia="宋体" w:cs="宋体"/>
          <w:b/>
          <w:bCs/>
          <w:kern w:val="0"/>
          <w:sz w:val="24"/>
          <w:szCs w:val="24"/>
        </w:rPr>
      </w:pPr>
      <w:r>
        <w:rPr>
          <w:rFonts w:hint="eastAsia" w:ascii="宋体" w:hAnsi="宋体" w:eastAsia="宋体" w:cs="宋体"/>
          <w:b/>
          <w:bCs/>
          <w:kern w:val="0"/>
          <w:sz w:val="24"/>
          <w:szCs w:val="24"/>
        </w:rPr>
        <w:t>一、维保范围、维保期限</w:t>
      </w:r>
    </w:p>
    <w:p w14:paraId="3A7CFCB6">
      <w:pPr>
        <w:keepNext w:val="0"/>
        <w:keepLines w:val="0"/>
        <w:pageBreakBefore w:val="0"/>
        <w:numPr>
          <w:ilvl w:val="0"/>
          <w:numId w:val="0"/>
        </w:numPr>
        <w:kinsoku/>
        <w:wordWrap/>
        <w:overflowPunct/>
        <w:topLinePunct w:val="0"/>
        <w:autoSpaceDE w:val="0"/>
        <w:autoSpaceDN w:val="0"/>
        <w:bidi w:val="0"/>
        <w:adjustRightInd w:val="0"/>
        <w:snapToGrid/>
        <w:spacing w:line="360" w:lineRule="auto"/>
        <w:ind w:left="0" w:leftChars="0" w:firstLine="480" w:firstLineChars="200"/>
        <w:jc w:val="left"/>
        <w:textAlignment w:val="auto"/>
        <w:outlineLvl w:val="0"/>
        <w:rPr>
          <w:rFonts w:hint="eastAsia" w:ascii="宋体" w:hAnsi="宋体" w:eastAsia="宋体" w:cs="宋体"/>
          <w:bCs/>
          <w:color w:val="000000"/>
          <w:sz w:val="24"/>
          <w:szCs w:val="24"/>
        </w:rPr>
      </w:pPr>
      <w:r>
        <w:rPr>
          <w:rFonts w:hint="eastAsia" w:ascii="宋体" w:hAnsi="宋体" w:eastAsia="宋体" w:cs="宋体"/>
          <w:bCs/>
          <w:color w:val="000000"/>
          <w:kern w:val="2"/>
          <w:sz w:val="24"/>
          <w:szCs w:val="24"/>
          <w:lang w:val="en-US" w:eastAsia="zh-CN" w:bidi="ar-SA"/>
        </w:rPr>
        <w:t>1.</w:t>
      </w:r>
      <w:r>
        <w:rPr>
          <w:rFonts w:hint="eastAsia" w:ascii="宋体" w:hAnsi="宋体" w:eastAsia="宋体" w:cs="宋体"/>
          <w:bCs/>
          <w:color w:val="000000"/>
          <w:sz w:val="24"/>
          <w:szCs w:val="24"/>
        </w:rPr>
        <w:t>维保范围：</w:t>
      </w:r>
      <w:r>
        <w:rPr>
          <w:rFonts w:hint="eastAsia" w:ascii="宋体" w:hAnsi="宋体" w:eastAsia="宋体" w:cs="宋体"/>
          <w:bCs/>
          <w:sz w:val="24"/>
          <w:szCs w:val="24"/>
        </w:rPr>
        <w:t>集团院区临床营养系统。</w:t>
      </w:r>
    </w:p>
    <w:p w14:paraId="759DEC3D">
      <w:pPr>
        <w:keepNext w:val="0"/>
        <w:keepLines w:val="0"/>
        <w:pageBreakBefore w:val="0"/>
        <w:numPr>
          <w:ilvl w:val="0"/>
          <w:numId w:val="0"/>
        </w:numPr>
        <w:kinsoku/>
        <w:wordWrap/>
        <w:overflowPunct/>
        <w:topLinePunct w:val="0"/>
        <w:autoSpaceDE w:val="0"/>
        <w:autoSpaceDN w:val="0"/>
        <w:bidi w:val="0"/>
        <w:adjustRightInd w:val="0"/>
        <w:snapToGrid/>
        <w:spacing w:line="360" w:lineRule="auto"/>
        <w:ind w:left="0" w:leftChars="0" w:firstLine="480" w:firstLineChars="200"/>
        <w:jc w:val="left"/>
        <w:textAlignment w:val="auto"/>
        <w:outlineLvl w:val="0"/>
        <w:rPr>
          <w:rFonts w:hint="eastAsia" w:ascii="宋体" w:hAnsi="宋体" w:eastAsia="宋体" w:cs="宋体"/>
          <w:bCs/>
          <w:color w:val="000000"/>
          <w:sz w:val="24"/>
          <w:szCs w:val="24"/>
        </w:rPr>
      </w:pPr>
      <w:r>
        <w:rPr>
          <w:rFonts w:hint="eastAsia" w:ascii="宋体" w:hAnsi="宋体" w:eastAsia="宋体" w:cs="宋体"/>
          <w:bCs/>
          <w:color w:val="000000"/>
          <w:kern w:val="2"/>
          <w:sz w:val="24"/>
          <w:szCs w:val="24"/>
          <w:lang w:val="en-US" w:eastAsia="zh-CN" w:bidi="ar-SA"/>
        </w:rPr>
        <w:t>2.</w:t>
      </w:r>
      <w:r>
        <w:rPr>
          <w:rFonts w:hint="eastAsia" w:ascii="宋体" w:hAnsi="宋体" w:eastAsia="宋体" w:cs="宋体"/>
          <w:bCs/>
          <w:sz w:val="24"/>
          <w:szCs w:val="24"/>
        </w:rPr>
        <w:t>维保期限：3年。</w:t>
      </w:r>
    </w:p>
    <w:p w14:paraId="7E34A073">
      <w:pPr>
        <w:keepNext w:val="0"/>
        <w:keepLines w:val="0"/>
        <w:pageBreakBefore w:val="0"/>
        <w:widowControl/>
        <w:kinsoku/>
        <w:wordWrap/>
        <w:overflowPunct/>
        <w:topLinePunct w:val="0"/>
        <w:bidi w:val="0"/>
        <w:snapToGrid/>
        <w:spacing w:line="360" w:lineRule="auto"/>
        <w:ind w:left="0" w:firstLine="482" w:firstLineChars="200"/>
        <w:jc w:val="left"/>
        <w:textAlignment w:val="auto"/>
        <w:outlineLvl w:val="0"/>
        <w:rPr>
          <w:rFonts w:hint="eastAsia" w:ascii="宋体" w:hAnsi="宋体" w:eastAsia="宋体" w:cs="宋体"/>
          <w:b/>
          <w:bCs/>
          <w:kern w:val="0"/>
          <w:sz w:val="24"/>
          <w:szCs w:val="24"/>
        </w:rPr>
      </w:pPr>
      <w:bookmarkStart w:id="1" w:name="OLE_LINK9"/>
      <w:bookmarkStart w:id="2" w:name="OLE_LINK10"/>
      <w:r>
        <w:rPr>
          <w:rFonts w:hint="eastAsia" w:ascii="宋体" w:hAnsi="宋体" w:eastAsia="宋体" w:cs="宋体"/>
          <w:b/>
          <w:bCs/>
          <w:kern w:val="0"/>
          <w:sz w:val="24"/>
          <w:szCs w:val="24"/>
        </w:rPr>
        <w:t>二、维保</w:t>
      </w:r>
      <w:bookmarkEnd w:id="1"/>
      <w:bookmarkEnd w:id="2"/>
      <w:r>
        <w:rPr>
          <w:rFonts w:hint="eastAsia" w:ascii="宋体" w:hAnsi="宋体" w:eastAsia="宋体" w:cs="宋体"/>
          <w:b/>
          <w:bCs/>
          <w:kern w:val="0"/>
          <w:sz w:val="24"/>
          <w:szCs w:val="24"/>
        </w:rPr>
        <w:t>内容</w:t>
      </w:r>
    </w:p>
    <w:p w14:paraId="41DA5FDD">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维保内容包括但不限于系统日常问题故障处理、改正性维护、完善性维护、预防性维护、操作培训、数据统计、报表修改、应急保障、安全管理等。</w:t>
      </w:r>
    </w:p>
    <w:p w14:paraId="7BCA7733">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（1）故障诊断排除，针对院方提交的软件系统问题进行故障原因诊断，提出排除故障的措施和维护建议，并对问题解决过程进行跟踪查询。</w:t>
      </w:r>
      <w:r>
        <w:rPr>
          <w:rFonts w:hint="eastAsia" w:ascii="宋体" w:hAnsi="宋体" w:eastAsia="宋体" w:cs="宋体"/>
          <w:sz w:val="24"/>
          <w:szCs w:val="24"/>
        </w:rPr>
        <w:t>对不能当天解决的问题，建立专门问题清单，确保问题不遗失。</w:t>
      </w:r>
    </w:p>
    <w:p w14:paraId="330839D9">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（2）维保软件系统的咨询答疑，针对院方软件系统使用过程中的各类问题进行分析解答和咨询支持服务。</w:t>
      </w:r>
    </w:p>
    <w:p w14:paraId="0251E6F1">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（3）</w:t>
      </w:r>
      <w:r>
        <w:rPr>
          <w:rFonts w:hint="eastAsia" w:ascii="宋体" w:hAnsi="宋体" w:eastAsia="宋体" w:cs="宋体"/>
          <w:sz w:val="24"/>
          <w:szCs w:val="24"/>
        </w:rPr>
        <w:t>根据业务科室操作或信息科维护实际需要进行使用和管理培训，保证能够进行日常的业务操作和运行维护。</w:t>
      </w:r>
    </w:p>
    <w:p w14:paraId="3595EC2F">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（4）完善软件系统bug和更新，包括更新系统补丁、修复漏洞等软件安全整改，满足院方安全检测要求。</w:t>
      </w:r>
    </w:p>
    <w:p w14:paraId="4DAD8C91">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（5）因软硬件原因、服务器宕机等造成系统不能运行，提供系统的重装、配置服务，完成数据恢复及更新，确保系统功能正常运行。</w:t>
      </w:r>
    </w:p>
    <w:p w14:paraId="0D340EA3">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（6）根据集团电子病历升级及需求科室的业务与功能要求，配合数据回传、归档、迁移，对错误数据、程序进行修复、完善和优化。</w:t>
      </w:r>
    </w:p>
    <w:p w14:paraId="1E6E98B2">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（7）系统数据维护，</w:t>
      </w:r>
      <w:r>
        <w:rPr>
          <w:rFonts w:hint="eastAsia" w:ascii="宋体" w:hAnsi="宋体" w:eastAsia="宋体" w:cs="宋体"/>
          <w:sz w:val="24"/>
          <w:szCs w:val="24"/>
        </w:rPr>
        <w:t>数据备份、常规数据修复、数据迁移等</w:t>
      </w:r>
      <w:r>
        <w:rPr>
          <w:rFonts w:hint="eastAsia" w:ascii="宋体" w:hAnsi="宋体" w:eastAsia="宋体" w:cs="宋体"/>
          <w:kern w:val="0"/>
          <w:sz w:val="24"/>
          <w:szCs w:val="24"/>
        </w:rPr>
        <w:t>，指导院方系统管理人员定期数据备份，保证数据安全。</w:t>
      </w:r>
    </w:p>
    <w:p w14:paraId="41191D19">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（8）优化系统操作界面，确保系统响应快速、使用流畅；优化和维护系统现有统计报表，提高科室工作效率；优化系统现有功能流程和配置，提升系统使用稳定性。</w:t>
      </w:r>
    </w:p>
    <w:p w14:paraId="4E58D159">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（9）定期巡检（每季度一次），</w:t>
      </w:r>
      <w:r>
        <w:rPr>
          <w:rFonts w:hint="eastAsia" w:ascii="宋体" w:hAnsi="宋体" w:eastAsia="宋体" w:cs="宋体"/>
          <w:sz w:val="24"/>
          <w:szCs w:val="24"/>
        </w:rPr>
        <w:t>巡检内容包括：客户端运行性能、服务器健康性检查、IIS日志清理、数据库服务器备份检查等，</w:t>
      </w:r>
      <w:r>
        <w:rPr>
          <w:rFonts w:hint="eastAsia" w:ascii="宋体" w:hAnsi="宋体" w:eastAsia="宋体" w:cs="宋体"/>
          <w:kern w:val="0"/>
          <w:sz w:val="24"/>
          <w:szCs w:val="24"/>
        </w:rPr>
        <w:t>并提供巡检报告。发现</w:t>
      </w:r>
      <w:r>
        <w:rPr>
          <w:rFonts w:hint="eastAsia" w:ascii="宋体" w:hAnsi="宋体" w:eastAsia="宋体" w:cs="宋体"/>
          <w:sz w:val="24"/>
          <w:szCs w:val="24"/>
        </w:rPr>
        <w:t>空间紧张时及时调整优化，保障系统长期稳定运行。</w:t>
      </w:r>
    </w:p>
    <w:p w14:paraId="4DF250B9">
      <w:pPr>
        <w:keepNext w:val="0"/>
        <w:keepLines w:val="0"/>
        <w:pageBreakBefore w:val="0"/>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（10）根据医院实际需求，提供应急服务和重大事件现场保障服务，最大限度确保业务连续性及数据完整性。</w:t>
      </w:r>
    </w:p>
    <w:p w14:paraId="006B48AF">
      <w:pPr>
        <w:keepNext w:val="0"/>
        <w:keepLines w:val="0"/>
        <w:pageBreakBefore w:val="0"/>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（11）在维保期内，如国家和行业政策、标准、质控指标与报表发生更新变化，在此期间应按照国家及行业政策标准及指标报表要求对软件产品功能进行本地化改造以满足相关要求。</w:t>
      </w:r>
    </w:p>
    <w:p w14:paraId="7C2D29EF">
      <w:pPr>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sz w:val="24"/>
          <w:szCs w:val="24"/>
        </w:rPr>
      </w:pPr>
    </w:p>
    <w:p w14:paraId="70992DA7">
      <w:pPr>
        <w:pStyle w:val="8"/>
        <w:keepNext w:val="0"/>
        <w:keepLines w:val="0"/>
        <w:pageBreakBefore w:val="0"/>
        <w:widowControl/>
        <w:numPr>
          <w:ilvl w:val="1"/>
          <w:numId w:val="0"/>
        </w:numPr>
        <w:kinsoku/>
        <w:wordWrap/>
        <w:overflowPunct/>
        <w:topLinePunct w:val="0"/>
        <w:bidi w:val="0"/>
        <w:snapToGrid/>
        <w:spacing w:line="360" w:lineRule="auto"/>
        <w:ind w:left="0" w:leftChars="0" w:firstLine="482" w:firstLineChars="200"/>
        <w:jc w:val="left"/>
        <w:textAlignment w:val="auto"/>
        <w:outlineLvl w:val="0"/>
        <w:rPr>
          <w:rFonts w:hint="eastAsia" w:ascii="宋体" w:hAnsi="宋体" w:eastAsia="宋体" w:cs="宋体"/>
          <w:b/>
          <w:bCs/>
          <w:kern w:val="0"/>
          <w:sz w:val="24"/>
          <w:szCs w:val="24"/>
        </w:rPr>
      </w:pPr>
      <w:r>
        <w:rPr>
          <w:rFonts w:hint="default" w:ascii="宋体" w:hAnsi="宋体" w:eastAsia="宋体" w:cs="宋体"/>
          <w:b/>
          <w:bCs/>
          <w:kern w:val="0"/>
          <w:sz w:val="24"/>
          <w:szCs w:val="24"/>
          <w:lang w:val="en-US" w:eastAsia="zh-CN" w:bidi="ar-SA"/>
        </w:rPr>
        <w:t>1、</w:t>
      </w:r>
      <w:r>
        <w:rPr>
          <w:rFonts w:hint="eastAsia" w:ascii="宋体" w:hAnsi="宋体" w:eastAsia="宋体" w:cs="宋体"/>
          <w:b/>
          <w:bCs/>
          <w:kern w:val="0"/>
          <w:sz w:val="24"/>
          <w:szCs w:val="24"/>
        </w:rPr>
        <w:t>维保方式</w:t>
      </w:r>
    </w:p>
    <w:p w14:paraId="340A91A2">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rPr>
        <w:t>按需提供电话服务、远程服</w:t>
      </w:r>
      <w:r>
        <w:rPr>
          <w:rFonts w:hint="eastAsia" w:ascii="宋体" w:hAnsi="宋体" w:eastAsia="宋体" w:cs="宋体"/>
          <w:kern w:val="0"/>
          <w:sz w:val="24"/>
          <w:szCs w:val="24"/>
          <w:highlight w:val="none"/>
        </w:rPr>
        <w:t>务、</w:t>
      </w:r>
      <w:r>
        <w:rPr>
          <w:rFonts w:hint="eastAsia" w:ascii="宋体" w:hAnsi="宋体" w:eastAsia="宋体" w:cs="宋体"/>
          <w:kern w:val="0"/>
          <w:sz w:val="24"/>
          <w:szCs w:val="24"/>
          <w:highlight w:val="none"/>
          <w:lang w:val="en-US" w:eastAsia="zh-CN"/>
        </w:rPr>
        <w:t>必要的</w:t>
      </w:r>
      <w:r>
        <w:rPr>
          <w:rFonts w:hint="eastAsia" w:ascii="宋体" w:hAnsi="宋体" w:eastAsia="宋体" w:cs="宋体"/>
          <w:kern w:val="0"/>
          <w:sz w:val="24"/>
          <w:szCs w:val="24"/>
          <w:highlight w:val="none"/>
        </w:rPr>
        <w:t>现场服务等多种服务方式，保障系统出现问题时能够及时得到技术服务支持。</w:t>
      </w:r>
    </w:p>
    <w:p w14:paraId="16C25449">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（1）电话服务：接到院方技术支持请求或故障报障后，立即以电话方式指导用户解决问题。</w:t>
      </w:r>
    </w:p>
    <w:p w14:paraId="3C5BAAEC">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highlight w:val="none"/>
        </w:rPr>
        <w:t>（2）远程服务：接到院方技术支持请求</w:t>
      </w:r>
      <w:r>
        <w:rPr>
          <w:rFonts w:hint="eastAsia" w:ascii="宋体" w:hAnsi="宋体" w:eastAsia="宋体" w:cs="宋体"/>
          <w:kern w:val="0"/>
          <w:sz w:val="24"/>
          <w:szCs w:val="24"/>
        </w:rPr>
        <w:t>或故障报障后，电话服务无法解决的，系统维保技术人员在取得院方授权后，通过远程服务方式解决问题。</w:t>
      </w:r>
    </w:p>
    <w:p w14:paraId="652802CE">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（3）现场服务：接到采购方技术支持请求或故障报障后，通过电话服务和远程服务都无法解决的，安排技术人员到达现场并解决问题。</w:t>
      </w:r>
    </w:p>
    <w:p w14:paraId="573DE0B7">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（4）服务报告机制：</w:t>
      </w:r>
      <w:r>
        <w:rPr>
          <w:rFonts w:hint="eastAsia" w:ascii="宋体" w:hAnsi="宋体" w:eastAsia="宋体" w:cs="宋体"/>
          <w:kern w:val="0"/>
          <w:sz w:val="24"/>
          <w:szCs w:val="24"/>
        </w:rPr>
        <w:t>每季度一份服务季报，总结季度日常维护、故障处理、系统优化等工作回顾与计划。</w:t>
      </w:r>
    </w:p>
    <w:p w14:paraId="1B8E45D8">
      <w:pPr>
        <w:pStyle w:val="8"/>
        <w:keepNext w:val="0"/>
        <w:keepLines w:val="0"/>
        <w:pageBreakBefore w:val="0"/>
        <w:widowControl/>
        <w:numPr>
          <w:ilvl w:val="1"/>
          <w:numId w:val="0"/>
        </w:numPr>
        <w:kinsoku/>
        <w:wordWrap/>
        <w:overflowPunct/>
        <w:topLinePunct w:val="0"/>
        <w:bidi w:val="0"/>
        <w:snapToGrid/>
        <w:spacing w:line="360" w:lineRule="auto"/>
        <w:ind w:left="0" w:leftChars="0" w:firstLine="482" w:firstLineChars="200"/>
        <w:jc w:val="left"/>
        <w:textAlignment w:val="auto"/>
        <w:outlineLvl w:val="0"/>
        <w:rPr>
          <w:rFonts w:hint="eastAsia" w:ascii="宋体" w:hAnsi="宋体" w:eastAsia="宋体" w:cs="宋体"/>
          <w:b/>
          <w:bCs/>
          <w:sz w:val="24"/>
          <w:szCs w:val="24"/>
        </w:rPr>
      </w:pPr>
      <w:r>
        <w:rPr>
          <w:rFonts w:hint="default" w:ascii="宋体" w:hAnsi="宋体" w:eastAsia="宋体" w:cs="宋体"/>
          <w:b/>
          <w:bCs/>
          <w:kern w:val="2"/>
          <w:sz w:val="24"/>
          <w:szCs w:val="24"/>
          <w:lang w:val="en-US" w:eastAsia="zh-CN" w:bidi="ar-SA"/>
        </w:rPr>
        <w:t>2、</w:t>
      </w:r>
      <w:r>
        <w:rPr>
          <w:rFonts w:hint="eastAsia" w:ascii="宋体" w:hAnsi="宋体" w:eastAsia="宋体" w:cs="宋体"/>
          <w:b/>
          <w:bCs/>
          <w:kern w:val="0"/>
          <w:sz w:val="24"/>
          <w:szCs w:val="24"/>
        </w:rPr>
        <w:t>响应时间</w:t>
      </w:r>
    </w:p>
    <w:p w14:paraId="259740A5">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提供的技术支持和维保服务时间为7*24小时。在接到故障通知后，30分钟内做出明确响应和安排，若电话服务和远程服务无法解决时，技术人员须在24小时内到达故障现场进行处理（紧急故障时8小时内到达现场进行处理，影响临床医嘱处理的故障必须在当天工作时段内处理，系统升级、优化安排在需在非高频使用系统的工作时段）。</w:t>
      </w:r>
    </w:p>
    <w:p w14:paraId="6D199C38">
      <w:pPr>
        <w:pStyle w:val="8"/>
        <w:keepNext w:val="0"/>
        <w:keepLines w:val="0"/>
        <w:pageBreakBefore w:val="0"/>
        <w:widowControl/>
        <w:numPr>
          <w:ilvl w:val="1"/>
          <w:numId w:val="0"/>
        </w:numPr>
        <w:kinsoku/>
        <w:wordWrap/>
        <w:overflowPunct/>
        <w:topLinePunct w:val="0"/>
        <w:bidi w:val="0"/>
        <w:snapToGrid/>
        <w:spacing w:line="360" w:lineRule="auto"/>
        <w:ind w:left="0" w:leftChars="0" w:firstLine="482" w:firstLineChars="200"/>
        <w:jc w:val="left"/>
        <w:textAlignment w:val="auto"/>
        <w:outlineLvl w:val="0"/>
        <w:rPr>
          <w:rFonts w:hint="eastAsia" w:ascii="宋体" w:hAnsi="宋体" w:eastAsia="宋体" w:cs="宋体"/>
          <w:b/>
          <w:bCs/>
          <w:kern w:val="0"/>
          <w:sz w:val="24"/>
          <w:szCs w:val="24"/>
        </w:rPr>
      </w:pPr>
      <w:r>
        <w:rPr>
          <w:rFonts w:hint="default" w:ascii="宋体" w:hAnsi="宋体" w:eastAsia="宋体" w:cs="宋体"/>
          <w:b/>
          <w:bCs/>
          <w:kern w:val="0"/>
          <w:sz w:val="24"/>
          <w:szCs w:val="24"/>
          <w:lang w:val="en-US" w:eastAsia="zh-CN" w:bidi="ar-SA"/>
        </w:rPr>
        <w:t>3、</w:t>
      </w:r>
      <w:r>
        <w:rPr>
          <w:rFonts w:hint="eastAsia" w:ascii="宋体" w:hAnsi="宋体" w:eastAsia="宋体" w:cs="宋体"/>
          <w:b/>
          <w:bCs/>
          <w:kern w:val="0"/>
          <w:sz w:val="24"/>
          <w:szCs w:val="24"/>
        </w:rPr>
        <w:t>维保人员配备</w:t>
      </w:r>
    </w:p>
    <w:p w14:paraId="791A1933">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组建针对本系统运维项目的专业化售后服务小组，配备2-4名具备同类项目3年以上服务经验的工程师，熟悉营养系统架构、运维流程及常见故障处理方案。</w:t>
      </w:r>
    </w:p>
    <w:p w14:paraId="4F46D93F">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kern w:val="0"/>
          <w:sz w:val="24"/>
          <w:szCs w:val="24"/>
        </w:rPr>
      </w:pPr>
    </w:p>
    <w:p w14:paraId="31661A96">
      <w:pPr>
        <w:pStyle w:val="8"/>
        <w:keepNext w:val="0"/>
        <w:keepLines w:val="0"/>
        <w:pageBreakBefore w:val="0"/>
        <w:widowControl/>
        <w:numPr>
          <w:ilvl w:val="1"/>
          <w:numId w:val="0"/>
        </w:numPr>
        <w:kinsoku/>
        <w:wordWrap/>
        <w:overflowPunct/>
        <w:topLinePunct w:val="0"/>
        <w:bidi w:val="0"/>
        <w:snapToGrid/>
        <w:spacing w:line="360" w:lineRule="auto"/>
        <w:ind w:left="0" w:leftChars="0" w:firstLine="482" w:firstLineChars="200"/>
        <w:jc w:val="left"/>
        <w:textAlignment w:val="auto"/>
        <w:outlineLvl w:val="0"/>
        <w:rPr>
          <w:rFonts w:hint="eastAsia" w:ascii="宋体" w:hAnsi="宋体" w:eastAsia="宋体" w:cs="宋体"/>
          <w:b/>
          <w:bCs/>
          <w:kern w:val="0"/>
          <w:sz w:val="24"/>
          <w:szCs w:val="24"/>
        </w:rPr>
      </w:pPr>
      <w:r>
        <w:rPr>
          <w:rFonts w:hint="default" w:ascii="宋体" w:hAnsi="宋体" w:eastAsia="宋体" w:cs="宋体"/>
          <w:b/>
          <w:bCs/>
          <w:kern w:val="0"/>
          <w:sz w:val="24"/>
          <w:szCs w:val="24"/>
          <w:lang w:val="en-US" w:eastAsia="zh-CN" w:bidi="ar-SA"/>
        </w:rPr>
        <w:t>4、</w:t>
      </w:r>
      <w:r>
        <w:rPr>
          <w:rFonts w:hint="eastAsia" w:ascii="宋体" w:hAnsi="宋体" w:eastAsia="宋体" w:cs="宋体"/>
          <w:b/>
          <w:bCs/>
          <w:kern w:val="0"/>
          <w:sz w:val="24"/>
          <w:szCs w:val="24"/>
        </w:rPr>
        <w:t>验收标准</w:t>
      </w:r>
    </w:p>
    <w:p w14:paraId="33F98EAA">
      <w:pPr>
        <w:keepNext w:val="0"/>
        <w:keepLines w:val="0"/>
        <w:pageBreakBefore w:val="0"/>
        <w:widowControl/>
        <w:kinsoku/>
        <w:wordWrap/>
        <w:overflowPunct/>
        <w:topLinePunct w:val="0"/>
        <w:bidi w:val="0"/>
        <w:snapToGrid/>
        <w:spacing w:line="360" w:lineRule="auto"/>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trike w:val="0"/>
          <w:dstrike w:val="0"/>
          <w:kern w:val="0"/>
          <w:sz w:val="24"/>
          <w:szCs w:val="24"/>
          <w:highlight w:val="none"/>
          <w:lang w:val="en-US" w:eastAsia="zh-CN"/>
        </w:rPr>
        <w:t>按年度验收，年度服务结束后</w:t>
      </w:r>
      <w:r>
        <w:rPr>
          <w:rFonts w:hint="eastAsia" w:ascii="宋体" w:hAnsi="宋体" w:eastAsia="宋体" w:cs="宋体"/>
          <w:kern w:val="0"/>
          <w:sz w:val="24"/>
          <w:szCs w:val="24"/>
        </w:rPr>
        <w:t>医院根据售后服务要求对供应商交付的服务进行验收，临床营养系统维保验收标准：7*24小时稳定运行、功能上核心模块可用、故障响应及时、符合安全要求，同时维保服务到位、文档完整、流程规范。如因供应商原因致使所提供的服务未能通过验收，应当排除故障，直至提供的服务符合验收。</w:t>
      </w:r>
    </w:p>
    <w:p w14:paraId="3A47D86F">
      <w:pPr>
        <w:pStyle w:val="7"/>
        <w:ind w:firstLine="0" w:firstLineChars="0"/>
        <w:jc w:val="left"/>
        <w:rPr>
          <w:rFonts w:hint="eastAsia" w:ascii="宋体" w:hAnsi="宋体" w:cs="宋体"/>
          <w:b/>
          <w:bCs/>
          <w:szCs w:val="24"/>
          <w:highlight w:val="none"/>
        </w:rPr>
      </w:pPr>
    </w:p>
    <w:p w14:paraId="158410BF">
      <w:pPr>
        <w:pStyle w:val="7"/>
        <w:ind w:firstLine="0" w:firstLineChars="0"/>
        <w:jc w:val="left"/>
        <w:rPr>
          <w:highlight w:val="none"/>
        </w:rPr>
      </w:pPr>
      <w:r>
        <w:rPr>
          <w:rFonts w:hint="eastAsia" w:ascii="宋体" w:hAnsi="宋体" w:cs="宋体"/>
          <w:b/>
          <w:bCs/>
          <w:szCs w:val="24"/>
          <w:highlight w:val="none"/>
        </w:rPr>
        <w:t>注：上述采购需求所有条款参选人必须全部响应</w:t>
      </w:r>
      <w:r>
        <w:rPr>
          <w:rFonts w:hint="eastAsia" w:ascii="宋体" w:hAnsi="宋体" w:cs="宋体"/>
          <w:b/>
          <w:bCs/>
          <w:szCs w:val="24"/>
          <w:highlight w:val="none"/>
          <w:lang w:val="en-US" w:eastAsia="zh-CN"/>
        </w:rPr>
        <w:t>满足</w:t>
      </w:r>
      <w:r>
        <w:rPr>
          <w:rFonts w:hint="eastAsia" w:ascii="宋体" w:hAnsi="宋体" w:cs="宋体"/>
          <w:b/>
          <w:bCs/>
          <w:szCs w:val="24"/>
          <w:highlight w:val="none"/>
        </w:rPr>
        <w:t>，不得</w:t>
      </w:r>
      <w:r>
        <w:rPr>
          <w:rFonts w:hint="eastAsia" w:ascii="宋体" w:hAnsi="宋体" w:cs="宋体"/>
          <w:b/>
          <w:bCs/>
          <w:szCs w:val="24"/>
          <w:highlight w:val="none"/>
          <w:lang w:val="en-US" w:eastAsia="zh-CN"/>
        </w:rPr>
        <w:t>负</w:t>
      </w:r>
      <w:r>
        <w:rPr>
          <w:rFonts w:hint="eastAsia" w:ascii="宋体" w:hAnsi="宋体" w:cs="宋体"/>
          <w:b/>
          <w:bCs/>
          <w:szCs w:val="24"/>
          <w:highlight w:val="none"/>
        </w:rPr>
        <w:t>偏离，否则做无效</w:t>
      </w:r>
      <w:r>
        <w:rPr>
          <w:rFonts w:hint="eastAsia" w:ascii="宋体" w:hAnsi="宋体" w:cs="宋体"/>
          <w:b/>
          <w:bCs/>
          <w:szCs w:val="24"/>
          <w:highlight w:val="none"/>
          <w:lang w:val="en-US" w:eastAsia="zh-CN"/>
        </w:rPr>
        <w:t>参选</w:t>
      </w:r>
      <w:r>
        <w:rPr>
          <w:rFonts w:hint="eastAsia" w:ascii="宋体" w:hAnsi="宋体" w:cs="宋体"/>
          <w:b/>
          <w:bCs/>
          <w:szCs w:val="24"/>
          <w:highlight w:val="none"/>
        </w:rPr>
        <w:t>处理。</w:t>
      </w:r>
    </w:p>
    <w:p w14:paraId="338DE368">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B15E5"/>
    <w:multiLevelType w:val="singleLevel"/>
    <w:tmpl w:val="84AB15E5"/>
    <w:lvl w:ilvl="0" w:tentative="0">
      <w:start w:val="5"/>
      <w:numFmt w:val="chineseCounting"/>
      <w:suff w:val="space"/>
      <w:lvlText w:val="第%1章"/>
      <w:lvlJc w:val="left"/>
      <w:rPr>
        <w:rFonts w:hint="eastAsia"/>
      </w:rPr>
    </w:lvl>
  </w:abstractNum>
  <w:abstractNum w:abstractNumId="1">
    <w:nsid w:val="00000001"/>
    <w:multiLevelType w:val="multilevel"/>
    <w:tmpl w:val="00000001"/>
    <w:lvl w:ilvl="0" w:tentative="0">
      <w:start w:val="1"/>
      <w:numFmt w:val="japaneseCounting"/>
      <w:pStyle w:val="2"/>
      <w:lvlText w:val="第%1章"/>
      <w:lvlJc w:val="left"/>
      <w:pPr>
        <w:tabs>
          <w:tab w:val="left" w:pos="9497"/>
        </w:tabs>
        <w:ind w:left="9497" w:hanging="1275"/>
      </w:pPr>
      <w:rPr>
        <w:rFonts w:hint="default"/>
        <w:b/>
        <w:sz w:val="32"/>
        <w:szCs w:val="32"/>
      </w:rPr>
    </w:lvl>
    <w:lvl w:ilvl="1" w:tentative="0">
      <w:start w:val="1"/>
      <w:numFmt w:val="japaneseCounting"/>
      <w:lvlText w:val="%2、"/>
      <w:lvlJc w:val="left"/>
      <w:pPr>
        <w:tabs>
          <w:tab w:val="left" w:pos="1892"/>
        </w:tabs>
        <w:ind w:left="1920" w:hanging="480"/>
      </w:pPr>
      <w:rPr>
        <w:rFonts w:hint="default"/>
      </w:rPr>
    </w:lvl>
    <w:lvl w:ilvl="2" w:tentative="0">
      <w:start w:val="1"/>
      <w:numFmt w:val="lowerRoman"/>
      <w:lvlText w:val="%3."/>
      <w:lvlJc w:val="right"/>
      <w:pPr>
        <w:tabs>
          <w:tab w:val="left" w:pos="2252"/>
        </w:tabs>
        <w:ind w:left="2252" w:hanging="420"/>
      </w:pPr>
    </w:lvl>
    <w:lvl w:ilvl="3" w:tentative="0">
      <w:start w:val="1"/>
      <w:numFmt w:val="decimal"/>
      <w:lvlText w:val="%4."/>
      <w:lvlJc w:val="left"/>
      <w:pPr>
        <w:tabs>
          <w:tab w:val="left" w:pos="2672"/>
        </w:tabs>
        <w:ind w:left="2672" w:hanging="420"/>
      </w:pPr>
    </w:lvl>
    <w:lvl w:ilvl="4" w:tentative="0">
      <w:start w:val="1"/>
      <w:numFmt w:val="lowerLetter"/>
      <w:lvlText w:val="%5)"/>
      <w:lvlJc w:val="left"/>
      <w:pPr>
        <w:tabs>
          <w:tab w:val="left" w:pos="3092"/>
        </w:tabs>
        <w:ind w:left="3092" w:hanging="420"/>
      </w:pPr>
    </w:lvl>
    <w:lvl w:ilvl="5" w:tentative="0">
      <w:start w:val="1"/>
      <w:numFmt w:val="lowerRoman"/>
      <w:lvlText w:val="%6."/>
      <w:lvlJc w:val="right"/>
      <w:pPr>
        <w:tabs>
          <w:tab w:val="left" w:pos="3512"/>
        </w:tabs>
        <w:ind w:left="3512" w:hanging="420"/>
      </w:pPr>
    </w:lvl>
    <w:lvl w:ilvl="6" w:tentative="0">
      <w:start w:val="1"/>
      <w:numFmt w:val="decimal"/>
      <w:lvlText w:val="%7."/>
      <w:lvlJc w:val="left"/>
      <w:pPr>
        <w:tabs>
          <w:tab w:val="left" w:pos="3932"/>
        </w:tabs>
        <w:ind w:left="3932" w:hanging="420"/>
      </w:pPr>
    </w:lvl>
    <w:lvl w:ilvl="7" w:tentative="0">
      <w:start w:val="1"/>
      <w:numFmt w:val="lowerLetter"/>
      <w:lvlText w:val="%8)"/>
      <w:lvlJc w:val="left"/>
      <w:pPr>
        <w:tabs>
          <w:tab w:val="left" w:pos="4352"/>
        </w:tabs>
        <w:ind w:left="4352" w:hanging="420"/>
      </w:pPr>
    </w:lvl>
    <w:lvl w:ilvl="8" w:tentative="0">
      <w:start w:val="1"/>
      <w:numFmt w:val="lowerRoman"/>
      <w:lvlText w:val="%9."/>
      <w:lvlJc w:val="right"/>
      <w:pPr>
        <w:tabs>
          <w:tab w:val="left" w:pos="4772"/>
        </w:tabs>
        <w:ind w:left="477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E1398"/>
    <w:rsid w:val="346E1398"/>
    <w:rsid w:val="53DC0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numPr>
        <w:ilvl w:val="0"/>
        <w:numId w:val="1"/>
      </w:numPr>
      <w:tabs>
        <w:tab w:val="left" w:pos="2693"/>
      </w:tabs>
      <w:adjustRightInd w:val="0"/>
      <w:spacing w:before="340" w:after="330" w:line="578" w:lineRule="atLeast"/>
      <w:textAlignment w:val="baseline"/>
      <w:outlineLvl w:val="0"/>
    </w:pPr>
    <w:rPr>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bCs/>
      <w:sz w:val="32"/>
      <w:szCs w:val="32"/>
    </w:rPr>
  </w:style>
  <w:style w:type="paragraph" w:customStyle="1" w:styleId="6">
    <w:name w:val="!标题1 Ctrl+1"/>
    <w:basedOn w:val="2"/>
    <w:next w:val="7"/>
    <w:uiPriority w:val="0"/>
    <w:pPr>
      <w:keepNext w:val="0"/>
      <w:keepLines w:val="0"/>
      <w:pageBreakBefore/>
      <w:tabs>
        <w:tab w:val="left" w:pos="1800"/>
      </w:tabs>
      <w:snapToGrid w:val="0"/>
      <w:spacing w:before="312" w:beforeLines="100" w:after="312" w:afterLines="100" w:line="240" w:lineRule="auto"/>
      <w:jc w:val="center"/>
      <w:textAlignment w:val="auto"/>
    </w:pPr>
    <w:rPr>
      <w:rFonts w:ascii="Arial" w:hAnsi="Arial" w:eastAsia="黑体"/>
      <w:bCs/>
      <w:kern w:val="2"/>
      <w:szCs w:val="44"/>
    </w:rPr>
  </w:style>
  <w:style w:type="paragraph" w:customStyle="1" w:styleId="7">
    <w:name w:val="!我的正文 Ctr+Q"/>
    <w:basedOn w:val="1"/>
    <w:qFormat/>
    <w:uiPriority w:val="0"/>
    <w:pPr>
      <w:adjustRightInd w:val="0"/>
      <w:snapToGrid w:val="0"/>
      <w:spacing w:line="360" w:lineRule="auto"/>
      <w:ind w:firstLine="480" w:firstLineChars="200"/>
    </w:pPr>
    <w:rPr>
      <w:rFonts w:ascii="Arial" w:hAnsi="Arial"/>
      <w:szCs w:val="21"/>
    </w:rPr>
  </w:style>
  <w:style w:type="paragraph" w:styleId="8">
    <w:name w:val="List Paragraph"/>
    <w:basedOn w:val="1"/>
    <w:qFormat/>
    <w:uiPriority w:val="0"/>
    <w:pPr>
      <w:ind w:firstLine="420" w:firstLineChars="200"/>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2002</Words>
  <Characters>2426</Characters>
  <Lines>0</Lines>
  <Paragraphs>0</Paragraphs>
  <TotalTime>0</TotalTime>
  <ScaleCrop>false</ScaleCrop>
  <LinksUpToDate>false</LinksUpToDate>
  <CharactersWithSpaces>2462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2026-05-27T09:52:00Z</dcterms:created>
  <dc:creator>汪宪宜</dc:creator>
  <cp:lastModifiedBy>汪宪宜</cp:lastModifiedBy>
  <dcterms:modified xsi:type="dcterms:W3CDTF">2026-05-27T09:56:20Z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F5858E05944B4D86BE3CFDDB89D46078_11</vt:lpwstr>
  </property>
  <property fmtid="{D5CDD505-2E9C-101B-9397-08002B2CF9AE}" pid="4" name="KSOTemplateDocerSaveRecord">
    <vt:lpwstr>eyJoZGlkIjoiZWUyOTQ1NDM2Zjc0YjU0MjZhMWI3YTAyMzgxNTM2MDQiLCJ1c2VySWQiOiI0NjEyMTI0ODEifQ==</vt:lpwstr>
  </property>
</Properties>
</file>