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F649A">
      <w:pPr>
        <w:spacing w:line="360" w:lineRule="auto"/>
        <w:jc w:val="center"/>
        <w:outlineLvl w:val="0"/>
        <w:rPr>
          <w:rFonts w:hint="eastAsia"/>
        </w:rPr>
      </w:pPr>
      <w:bookmarkStart w:id="18" w:name="_GoBack"/>
      <w:r>
        <w:rPr>
          <w:rFonts w:hint="eastAsia"/>
          <w:b/>
          <w:sz w:val="32"/>
          <w:lang w:eastAsia="zh-CN"/>
        </w:rPr>
        <w:t>附件</w:t>
      </w:r>
      <w:r>
        <w:rPr>
          <w:rFonts w:hint="eastAsia"/>
          <w:b/>
          <w:sz w:val="32"/>
          <w:lang w:val="en-US" w:eastAsia="zh-CN"/>
        </w:rPr>
        <w:t xml:space="preserve"> </w:t>
      </w:r>
      <w:r>
        <w:rPr>
          <w:rFonts w:hint="eastAsia"/>
          <w:b/>
          <w:sz w:val="32"/>
        </w:rPr>
        <w:t>采购需求</w:t>
      </w:r>
      <w:bookmarkEnd w:id="18"/>
    </w:p>
    <w:p w14:paraId="5EB9FDCA">
      <w:pPr>
        <w:rPr>
          <w:rFonts w:hint="eastAsia" w:ascii="宋体" w:hAnsi="宋体"/>
          <w:b/>
          <w:color w:val="000000"/>
        </w:rPr>
      </w:pPr>
      <w:bookmarkStart w:id="0" w:name="_Toc553"/>
      <w:bookmarkStart w:id="1" w:name="_Toc17276"/>
      <w:bookmarkStart w:id="2" w:name="_Toc10989"/>
      <w:bookmarkStart w:id="3" w:name="_Toc11247"/>
      <w:bookmarkStart w:id="4" w:name="_Toc8025"/>
      <w:bookmarkStart w:id="5" w:name="_Toc22987"/>
      <w:bookmarkStart w:id="6" w:name="_Toc15170"/>
      <w:bookmarkStart w:id="7" w:name="_Toc10062"/>
      <w:bookmarkStart w:id="8" w:name="_Toc13774"/>
      <w:bookmarkStart w:id="9" w:name="_Toc3792"/>
      <w:bookmarkStart w:id="10" w:name="_Toc26630"/>
      <w:bookmarkStart w:id="11" w:name="_Toc19874"/>
      <w:bookmarkStart w:id="12" w:name="_Toc9203"/>
      <w:bookmarkStart w:id="13" w:name="_Toc26048"/>
      <w:bookmarkStart w:id="14" w:name="_Toc17385"/>
      <w:bookmarkStart w:id="15" w:name="_Toc1042"/>
      <w:r>
        <w:rPr>
          <w:rFonts w:hint="eastAsia" w:ascii="宋体" w:hAnsi="宋体"/>
          <w:b/>
          <w:color w:val="000000"/>
        </w:rPr>
        <w:t>一、要求：以下条款如投标人参与投标，视为投标人自动响应。</w:t>
      </w:r>
      <w:bookmarkEnd w:id="0"/>
      <w:bookmarkEnd w:id="1"/>
      <w:bookmarkEnd w:id="2"/>
      <w:bookmarkEnd w:id="3"/>
      <w:bookmarkEnd w:id="4"/>
      <w:bookmarkEnd w:id="5"/>
      <w:bookmarkEnd w:id="6"/>
      <w:bookmarkEnd w:id="7"/>
    </w:p>
    <w:p w14:paraId="3555EB19">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76BC6F12">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7A99F67F">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74293CC1">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2D4F77BB">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65EDC288">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2436C1CD">
      <w:pPr>
        <w:ind w:firstLine="482" w:firstLineChars="200"/>
        <w:rPr>
          <w:rFonts w:hint="eastAsia" w:ascii="宋体" w:hAnsi="宋体" w:eastAsia="宋体"/>
          <w:b/>
          <w:color w:val="000000"/>
          <w:lang w:val="en-US" w:eastAsia="zh-CN"/>
        </w:rPr>
      </w:pPr>
      <w:r>
        <w:rPr>
          <w:rFonts w:hint="eastAsia" w:ascii="宋体" w:hAnsi="宋体"/>
          <w:b/>
          <w:color w:val="000000"/>
        </w:rPr>
        <w:t>7、中标人须将供应的医用物资包括但不限于医用耗材、检验试剂、后勤物资等，纳入采购人医用物资SPD智慧物流管理模式进行一元化管理，与采购人SPD服务商签订服务协议并承担相关的服务费。其中医用耗材、试剂的具体服务费率由中标人与SPD服务商协商，服务费率不高于医院与 SPD服务商约定的收费标准(现行服务费率为供货金额的1%;如后期采购人与SPD服务商约定的服务费率发生变动，以采购人与SPD服务商签订合同约定的服务费率为准);后勤物资等其他物资，中标人无需承担服务费。如中标人不予配合，采购人有权终止与中标人的医用物资供应关系或选择备选医用物资中标人</w:t>
      </w:r>
      <w:r>
        <w:rPr>
          <w:rFonts w:hint="eastAsia" w:ascii="宋体" w:hAnsi="宋体"/>
          <w:b/>
          <w:color w:val="000000"/>
          <w:lang w:eastAsia="zh-CN"/>
        </w:rPr>
        <w:t>。</w:t>
      </w:r>
    </w:p>
    <w:p w14:paraId="65D3BFAC">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020AC89A">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6" w:name="_Hlk100612830"/>
      <w:r>
        <w:rPr>
          <w:rFonts w:hint="eastAsia"/>
          <w:b/>
          <w:color w:val="000000"/>
        </w:rPr>
        <w:t>如不提供的评标委员会</w:t>
      </w:r>
      <w:bookmarkEnd w:id="16"/>
      <w:r>
        <w:rPr>
          <w:rFonts w:hint="eastAsia"/>
          <w:b/>
          <w:color w:val="000000"/>
        </w:rPr>
        <w:t>有权否决其投标</w:t>
      </w:r>
      <w:r>
        <w:rPr>
          <w:rFonts w:hint="eastAsia" w:ascii="宋体" w:hAnsi="宋体"/>
          <w:b/>
          <w:color w:val="000000"/>
        </w:rPr>
        <w:t>。</w:t>
      </w:r>
    </w:p>
    <w:p w14:paraId="11CECBDA">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26DAEABC">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4420E6A4">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794FB87F">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0B1ABB96">
      <w:pPr>
        <w:rPr>
          <w:rFonts w:hint="eastAsia" w:ascii="宋体" w:hAnsi="宋体"/>
          <w:b/>
          <w:color w:val="000000"/>
        </w:rPr>
      </w:pPr>
    </w:p>
    <w:p w14:paraId="1A45B1FA">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不满足技术要求中“★”参数的,属于重大偏离，会对最终评审产生较大影响。</w:t>
      </w:r>
      <w:bookmarkStart w:id="17" w:name="_Toc19735"/>
    </w:p>
    <w:p w14:paraId="3030F037">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主要技术参数</w:t>
      </w:r>
      <w:bookmarkEnd w:id="8"/>
      <w:bookmarkEnd w:id="9"/>
      <w:bookmarkEnd w:id="10"/>
      <w:bookmarkEnd w:id="11"/>
      <w:bookmarkEnd w:id="12"/>
      <w:bookmarkEnd w:id="13"/>
      <w:bookmarkEnd w:id="14"/>
      <w:bookmarkEnd w:id="15"/>
      <w:bookmarkEnd w:id="17"/>
    </w:p>
    <w:p w14:paraId="51CF9C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1.切片厚度：1-60μm；</w:t>
      </w:r>
    </w:p>
    <w:p w14:paraId="160858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2.修块模式≥2种，修块厚度10μm和30μm；</w:t>
      </w:r>
    </w:p>
    <w:p w14:paraId="5B0CC3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3.手动切片模式≥2种，半刀模式和全手轮旋转模式；</w:t>
      </w:r>
    </w:p>
    <w:p w14:paraId="04BE5C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4.水平进样幅度：≤24mm；</w:t>
      </w:r>
    </w:p>
    <w:p w14:paraId="33F1C7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5.垂直样品行程：≥70mm；</w:t>
      </w:r>
    </w:p>
    <w:p w14:paraId="6A1E3B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6.静音样品回缩：40μm；</w:t>
      </w:r>
    </w:p>
    <w:p w14:paraId="2BBDB2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7.最大样品尺寸（长×高×宽）：68×48×15mm；</w:t>
      </w:r>
    </w:p>
    <w:p w14:paraId="4F4DD6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8.手轮为弹簧原理平衡系统；</w:t>
      </w:r>
    </w:p>
    <w:p w14:paraId="484051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9.可自定义顺时针及逆时针转动方向；</w:t>
      </w:r>
    </w:p>
    <w:p w14:paraId="3B2497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10.可适配同品牌通用样品夹、标准样品夹、电制冷样品夹、超大样品夹；</w:t>
      </w:r>
    </w:p>
    <w:p w14:paraId="12C724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11.带0位的样本定位系统，可X/Y轴调节，8度水平定位样本；</w:t>
      </w:r>
    </w:p>
    <w:p w14:paraId="7CF1BC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12.废屑槽可拆卸；</w:t>
      </w:r>
    </w:p>
    <w:p w14:paraId="72408E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13.具备储物盘功能；</w:t>
      </w:r>
    </w:p>
    <w:p w14:paraId="424800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14.刀座采用双导轨结构设计；</w:t>
      </w:r>
    </w:p>
    <w:p w14:paraId="40828A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15.具备刀架三点锁定及侧向移动功能；</w:t>
      </w:r>
    </w:p>
    <w:p w14:paraId="33EB0D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16.手轮有2个独立的安全锁定系统；</w:t>
      </w:r>
    </w:p>
    <w:p w14:paraId="579505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17.快速转换样本夹；</w:t>
      </w:r>
    </w:p>
    <w:p w14:paraId="4FC871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18.机身具有切片厚度调节旋钮非触摸屏；</w:t>
      </w:r>
    </w:p>
    <w:p w14:paraId="4E2A1C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19.可配置同一品牌刀片；</w:t>
      </w:r>
    </w:p>
    <w:p w14:paraId="55E614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
        </w:rPr>
        <w:t>20.耗材及易损件须单独报价。</w:t>
      </w:r>
    </w:p>
    <w:p w14:paraId="261AF1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43C8"/>
    <w:multiLevelType w:val="singleLevel"/>
    <w:tmpl w:val="948C43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A5937"/>
    <w:rsid w:val="61264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黑体" w:eastAsia="仿宋_GB2312"/>
      <w:sz w:val="28"/>
    </w:rPr>
  </w:style>
  <w:style w:type="paragraph" w:styleId="3">
    <w:name w:val="Body Text First Indent 2"/>
    <w:basedOn w:val="2"/>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1461</Words>
  <Characters>1540</Characters>
  <Lines>0</Lines>
  <Paragraphs>0</Paragraphs>
  <TotalTime>0</TotalTime>
  <ScaleCrop>false</ScaleCrop>
  <LinksUpToDate>false</LinksUpToDate>
  <CharactersWithSpaces>1546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2026-06-25T09:19:00Z</dcterms:created>
  <dc:creator>Administrator</dc:creator>
  <cp:lastModifiedBy>Administrator</cp:lastModifiedBy>
  <dcterms:modified xsi:type="dcterms:W3CDTF">2026-06-25T09:20:18Z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6575ACE16054493594A43FC44EF222FC_12</vt:lpwstr>
  </property>
</Properties>
</file>