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EB830">
      <w:pPr>
        <w:spacing w:line="360" w:lineRule="auto"/>
        <w:jc w:val="center"/>
        <w:outlineLvl w:val="0"/>
        <w:rPr>
          <w:rFonts w:hint="eastAsia"/>
        </w:rPr>
      </w:pPr>
      <w:r>
        <w:rPr>
          <w:rFonts w:hint="eastAsia"/>
          <w:b/>
          <w:sz w:val="32"/>
          <w:lang w:eastAsia="zh-CN"/>
        </w:rPr>
        <w:t>附件</w:t>
      </w:r>
      <w:bookmarkStart w:id="18" w:name="_GoBack"/>
      <w:bookmarkEnd w:id="18"/>
      <w:r>
        <w:rPr>
          <w:rFonts w:hint="eastAsia"/>
          <w:b/>
          <w:sz w:val="32"/>
        </w:rPr>
        <w:t xml:space="preserve"> 采购需求</w:t>
      </w:r>
    </w:p>
    <w:p w14:paraId="72559FBF">
      <w:pPr>
        <w:rPr>
          <w:rFonts w:hint="eastAsia" w:ascii="宋体" w:hAnsi="宋体"/>
          <w:b/>
          <w:color w:val="000000"/>
        </w:rPr>
      </w:pPr>
      <w:bookmarkStart w:id="0" w:name="_Toc15170"/>
      <w:bookmarkStart w:id="1" w:name="_Toc10989"/>
      <w:bookmarkStart w:id="2" w:name="_Toc10062"/>
      <w:bookmarkStart w:id="3" w:name="_Toc17276"/>
      <w:bookmarkStart w:id="4" w:name="_Toc8025"/>
      <w:bookmarkStart w:id="5" w:name="_Toc11247"/>
      <w:bookmarkStart w:id="6" w:name="_Toc22987"/>
      <w:bookmarkStart w:id="7" w:name="_Toc553"/>
      <w:bookmarkStart w:id="8" w:name="_Toc13774"/>
      <w:bookmarkStart w:id="9" w:name="_Toc19874"/>
      <w:bookmarkStart w:id="10" w:name="_Toc26630"/>
      <w:bookmarkStart w:id="11" w:name="_Toc1042"/>
      <w:bookmarkStart w:id="12" w:name="_Toc17385"/>
      <w:bookmarkStart w:id="13" w:name="_Toc26048"/>
      <w:bookmarkStart w:id="14" w:name="_Toc9203"/>
      <w:bookmarkStart w:id="15" w:name="_Toc3792"/>
      <w:r>
        <w:rPr>
          <w:rFonts w:hint="eastAsia" w:ascii="宋体" w:hAnsi="宋体"/>
          <w:b/>
          <w:color w:val="000000"/>
        </w:rPr>
        <w:t>一、要求：以下条款如投标人参与投标，视为投标人自动响应。</w:t>
      </w:r>
      <w:bookmarkEnd w:id="0"/>
      <w:bookmarkEnd w:id="1"/>
      <w:bookmarkEnd w:id="2"/>
      <w:bookmarkEnd w:id="3"/>
      <w:bookmarkEnd w:id="4"/>
      <w:bookmarkEnd w:id="5"/>
      <w:bookmarkEnd w:id="6"/>
      <w:bookmarkEnd w:id="7"/>
    </w:p>
    <w:p w14:paraId="4A5F2F88">
      <w:pPr>
        <w:ind w:firstLine="482" w:firstLineChars="200"/>
        <w:rPr>
          <w:rFonts w:hint="eastAsia" w:ascii="宋体" w:hAnsi="宋体"/>
          <w:b/>
          <w:color w:val="000000"/>
        </w:rPr>
      </w:pPr>
      <w:r>
        <w:rPr>
          <w:rFonts w:hint="eastAsia" w:ascii="宋体" w:hAnsi="宋体"/>
          <w:b/>
          <w:color w:val="000000"/>
        </w:rPr>
        <w:t>1、按照投标方案提供配置清单，标明品牌、型号、产地、数量等并分项报价。</w:t>
      </w:r>
    </w:p>
    <w:p w14:paraId="6ACFCF8B">
      <w:pPr>
        <w:ind w:firstLine="482" w:firstLineChars="200"/>
        <w:rPr>
          <w:rFonts w:hint="eastAsia" w:ascii="宋体" w:hAnsi="宋体"/>
          <w:b/>
          <w:color w:val="000000"/>
        </w:rPr>
      </w:pPr>
      <w:r>
        <w:rPr>
          <w:rFonts w:hint="eastAsia" w:ascii="宋体" w:hAnsi="宋体"/>
          <w:b/>
          <w:color w:val="000000"/>
        </w:rPr>
        <w:t>2、提供产品日常使用的所有配套专用耗材清单，确保产品正常使用。标明品牌、型号、产地、规格、最小供货单位等并分项报价，报价不计入投标总价。在中标后如发现有漏报、瞒报的配套专用耗材，一律视为已包含在投标总价内。耗材供应期按照医院相关耗材管理规定执行。</w:t>
      </w:r>
    </w:p>
    <w:p w14:paraId="7C92AD65">
      <w:pPr>
        <w:ind w:firstLine="482" w:firstLineChars="200"/>
        <w:rPr>
          <w:rFonts w:hint="eastAsia" w:ascii="宋体" w:hAnsi="宋体"/>
          <w:b/>
          <w:color w:val="000000"/>
        </w:rPr>
      </w:pPr>
      <w:r>
        <w:rPr>
          <w:rFonts w:hint="eastAsia" w:ascii="宋体" w:hAnsi="宋体"/>
          <w:b/>
          <w:color w:val="000000"/>
        </w:rPr>
        <w:t>3、说明是否需要其他设备配套使用，请列出配套设备名称、数量等，如未说明一律视为已包含在投标总价内。</w:t>
      </w:r>
    </w:p>
    <w:p w14:paraId="55486903">
      <w:pPr>
        <w:ind w:firstLine="482" w:firstLineChars="200"/>
        <w:rPr>
          <w:rFonts w:hint="eastAsia" w:ascii="宋体" w:hAnsi="宋体"/>
          <w:b/>
          <w:color w:val="000000"/>
        </w:rPr>
      </w:pPr>
      <w:r>
        <w:rPr>
          <w:rFonts w:hint="eastAsia" w:ascii="宋体" w:hAnsi="宋体"/>
          <w:b/>
          <w:color w:val="000000"/>
        </w:rPr>
        <w:t>4、本项目中所要求的所有设备、耗材、配件及相关服务等均应包含在投标总价内，不得以赠送形式向采购人提供产品及服务。</w:t>
      </w:r>
    </w:p>
    <w:p w14:paraId="4FF8E503">
      <w:pPr>
        <w:ind w:firstLine="482" w:firstLineChars="200"/>
        <w:rPr>
          <w:rFonts w:hint="eastAsia" w:ascii="宋体" w:hAnsi="宋体"/>
          <w:b/>
          <w:color w:val="000000"/>
        </w:rPr>
      </w:pPr>
      <w:r>
        <w:rPr>
          <w:rFonts w:hint="eastAsia" w:ascii="宋体" w:hAnsi="宋体"/>
          <w:b/>
          <w:color w:val="000000"/>
        </w:rPr>
        <w:t>5、投标公司及产品须资质、证照齐全且在有效期内，如确无注册证的产品，须提供官方说明材料。</w:t>
      </w:r>
    </w:p>
    <w:p w14:paraId="434F5E3E">
      <w:pPr>
        <w:ind w:firstLine="482" w:firstLineChars="200"/>
        <w:rPr>
          <w:rFonts w:hint="eastAsia" w:ascii="宋体" w:hAnsi="宋体"/>
          <w:b/>
          <w:color w:val="000000"/>
        </w:rPr>
      </w:pPr>
      <w:r>
        <w:rPr>
          <w:rFonts w:hint="eastAsia" w:ascii="宋体" w:hAnsi="宋体"/>
          <w:b/>
          <w:color w:val="000000"/>
        </w:rPr>
        <w:t>6、若属安徽省医用耗材政策管理范围内产品，需满足相关要求（如“集采”、“两票制”等）；若为集采管理范围内产品，需在集采目录中，同类产品原则上选择限价产品，同类无替代选择备案产品。</w:t>
      </w:r>
    </w:p>
    <w:p w14:paraId="21462828">
      <w:pPr>
        <w:ind w:firstLine="482" w:firstLineChars="200"/>
        <w:rPr>
          <w:rFonts w:hint="eastAsia" w:ascii="宋体" w:hAnsi="宋体" w:eastAsia="宋体"/>
          <w:b/>
          <w:color w:val="000000"/>
          <w:lang w:eastAsia="zh-CN"/>
        </w:rPr>
      </w:pPr>
      <w:r>
        <w:rPr>
          <w:rFonts w:hint="eastAsia" w:ascii="宋体" w:hAnsi="宋体"/>
          <w:b/>
          <w:color w:val="000000"/>
        </w:rPr>
        <w:t>7、中标人须将供应的医用物资包括但不限于医用耗材、检验试剂、后勤物资等，纳入采购人医用物资SPD智慧物流管理模式进行一元化管理，与采购人SPD服务商签订服务协议并承担相关的服务费。其中医用耗材、试剂的具体服务费率由中标人与SPD服务商协商，服务费率不高于医院与 SPD服务商约定的收费标准(现行服务费率为供货金额的1%;如后期采购人与SPD服务商约定的服务费率发生变动，以采购人与SPD服务商签订合同约定的服务费率为准);后勤物资等其他物资，中标人无需承担服务费。如中标人不予配合，采购人有权终止与中标人的医用物资供应关系或选择备选医用物资中标人</w:t>
      </w:r>
      <w:r>
        <w:rPr>
          <w:rFonts w:hint="eastAsia" w:ascii="宋体" w:hAnsi="宋体"/>
          <w:b/>
          <w:color w:val="000000"/>
          <w:lang w:eastAsia="zh-CN"/>
        </w:rPr>
        <w:t>。</w:t>
      </w:r>
    </w:p>
    <w:p w14:paraId="0DEFC07A">
      <w:pPr>
        <w:ind w:firstLine="482" w:firstLineChars="200"/>
        <w:rPr>
          <w:rFonts w:hint="eastAsia" w:ascii="宋体" w:hAnsi="宋体"/>
          <w:b/>
          <w:color w:val="000000"/>
        </w:rPr>
      </w:pPr>
      <w:r>
        <w:rPr>
          <w:rFonts w:hint="eastAsia" w:ascii="宋体" w:hAnsi="宋体"/>
          <w:b/>
          <w:color w:val="000000"/>
        </w:rPr>
        <w:t>8、根据医保政策，可单独收费医用耗材请提供安徽医保局下发的27位医保编码，并按编码进行报价。</w:t>
      </w:r>
    </w:p>
    <w:p w14:paraId="53554C82">
      <w:pPr>
        <w:ind w:firstLine="482" w:firstLineChars="200"/>
        <w:rPr>
          <w:rFonts w:hint="eastAsia" w:ascii="宋体" w:hAnsi="宋体"/>
          <w:b/>
          <w:color w:val="000000"/>
        </w:rPr>
      </w:pPr>
      <w:r>
        <w:rPr>
          <w:rFonts w:ascii="宋体" w:hAnsi="宋体"/>
          <w:b/>
          <w:color w:val="000000"/>
        </w:rPr>
        <w:t>9</w:t>
      </w:r>
      <w:r>
        <w:rPr>
          <w:rFonts w:hint="eastAsia" w:ascii="宋体" w:hAnsi="宋体"/>
          <w:b/>
          <w:color w:val="000000"/>
        </w:rPr>
        <w:t>、</w:t>
      </w:r>
      <w:r>
        <w:rPr>
          <w:rFonts w:hint="eastAsia"/>
          <w:b/>
          <w:color w:val="000000"/>
        </w:rPr>
        <w:t>需长期供应的医用耗材及试剂产品，成交后合同期内不得变更配送公司，否则取消成交资格。投标时生产厂家须出具长期授权函，并提供合同期内不变更配送公司的承诺函，</w:t>
      </w:r>
      <w:bookmarkStart w:id="16" w:name="_Hlk100612830"/>
      <w:r>
        <w:rPr>
          <w:rFonts w:hint="eastAsia"/>
          <w:b/>
          <w:color w:val="000000"/>
        </w:rPr>
        <w:t>如不提供的评标委员会</w:t>
      </w:r>
      <w:bookmarkEnd w:id="16"/>
      <w:r>
        <w:rPr>
          <w:rFonts w:hint="eastAsia"/>
          <w:b/>
          <w:color w:val="000000"/>
        </w:rPr>
        <w:t>有权否决其投标</w:t>
      </w:r>
      <w:r>
        <w:rPr>
          <w:rFonts w:hint="eastAsia" w:ascii="宋体" w:hAnsi="宋体"/>
          <w:b/>
          <w:color w:val="000000"/>
        </w:rPr>
        <w:t>。</w:t>
      </w:r>
    </w:p>
    <w:p w14:paraId="627555FD">
      <w:pPr>
        <w:ind w:firstLine="482" w:firstLineChars="200"/>
        <w:rPr>
          <w:rFonts w:hint="eastAsia" w:ascii="宋体" w:hAnsi="宋体"/>
          <w:b/>
          <w:color w:val="000000"/>
        </w:rPr>
      </w:pPr>
      <w:r>
        <w:rPr>
          <w:rFonts w:hint="eastAsia" w:ascii="宋体" w:hAnsi="宋体"/>
          <w:b/>
          <w:color w:val="000000"/>
        </w:rPr>
        <w:t>10、医用耗材及配套使用的工具按医院规定需要消毒的，其相关费用由投标人自行承担。</w:t>
      </w:r>
    </w:p>
    <w:p w14:paraId="7B88BBCC">
      <w:pPr>
        <w:ind w:firstLine="482" w:firstLineChars="200"/>
        <w:rPr>
          <w:rFonts w:hint="eastAsia" w:ascii="宋体" w:hAnsi="宋体"/>
          <w:b/>
          <w:color w:val="000000"/>
        </w:rPr>
      </w:pPr>
      <w:r>
        <w:rPr>
          <w:rFonts w:hint="eastAsia"/>
          <w:b/>
          <w:color w:val="000000"/>
        </w:rPr>
        <w:t>1</w:t>
      </w:r>
      <w:r>
        <w:rPr>
          <w:b/>
          <w:color w:val="000000"/>
        </w:rPr>
        <w:t>1</w:t>
      </w:r>
      <w:r>
        <w:rPr>
          <w:rFonts w:hint="eastAsia"/>
          <w:b/>
          <w:color w:val="000000"/>
        </w:rPr>
        <w:t>、检验试剂项目和需配套检验试剂使用的检验设备项目，均须免费提供同品</w:t>
      </w:r>
      <w:r>
        <w:rPr>
          <w:rFonts w:hint="eastAsia" w:ascii="宋体" w:hAnsi="宋体"/>
          <w:b/>
          <w:color w:val="000000"/>
        </w:rPr>
        <w:t>牌或第三方符合溯源要求的质控品。</w:t>
      </w:r>
    </w:p>
    <w:p w14:paraId="1D567A84">
      <w:pPr>
        <w:ind w:firstLine="482" w:firstLineChars="200"/>
        <w:rPr>
          <w:rFonts w:hint="eastAsia" w:ascii="宋体" w:hAnsi="宋体"/>
          <w:b/>
          <w:color w:val="000000"/>
        </w:rPr>
      </w:pPr>
      <w:r>
        <w:rPr>
          <w:rFonts w:hint="eastAsia" w:ascii="宋体" w:hAnsi="宋体"/>
          <w:b/>
          <w:color w:val="000000"/>
        </w:rPr>
        <w:t>12、投标人需无条件接受因国家及安徽省相关政策（如医用耗材带量采购等）对招标结果带来的变动，投标人不得提出异议。</w:t>
      </w:r>
      <w:r>
        <w:rPr>
          <w:rFonts w:hint="eastAsia" w:ascii="宋体" w:hAnsi="宋体"/>
          <w:b/>
          <w:color w:val="000000"/>
        </w:rPr>
        <w:br w:type="textWrapping"/>
      </w:r>
      <w:r>
        <w:rPr>
          <w:rFonts w:hint="eastAsia" w:ascii="宋体" w:hAnsi="宋体"/>
          <w:b/>
          <w:color w:val="000000"/>
        </w:rPr>
        <w:t xml:space="preserve">    13、投标人须保证此次招标产品，投标价格不得高于安徽省医药集中采购平台交易目录最高限价；后期安徽省医药集中采购平台交易目录最高限价如有降价，中标产品的投标人应于7个工作日内书面通知采购人启动协商程序。</w:t>
      </w:r>
    </w:p>
    <w:p w14:paraId="3CEBA350">
      <w:pPr>
        <w:ind w:firstLine="482" w:firstLineChars="200"/>
        <w:rPr>
          <w:rFonts w:hint="eastAsia" w:ascii="宋体" w:hAnsi="宋体"/>
          <w:b/>
          <w:color w:val="000000"/>
        </w:rPr>
      </w:pPr>
      <w:r>
        <w:rPr>
          <w:rFonts w:hint="eastAsia" w:ascii="宋体" w:hAnsi="宋体"/>
          <w:b/>
          <w:color w:val="000000"/>
        </w:rPr>
        <w:t>14、 按收费价格费率投标的检验项目，如后期收费价格下调，试剂供货价格须按中标费率同比例下浮。</w:t>
      </w:r>
    </w:p>
    <w:p w14:paraId="1BEBFBB8">
      <w:pPr>
        <w:rPr>
          <w:rFonts w:hint="eastAsia" w:ascii="宋体" w:hAnsi="宋体"/>
          <w:b/>
          <w:color w:val="000000"/>
        </w:rPr>
      </w:pPr>
    </w:p>
    <w:p w14:paraId="716A07B0">
      <w:pPr>
        <w:pStyle w:val="3"/>
        <w:numPr>
          <w:ilvl w:val="0"/>
          <w:numId w:val="1"/>
        </w:numPr>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不满足技术要求中“★”参数的,属于重大偏离，会对最终评审产生较大影响。</w:t>
      </w:r>
      <w:bookmarkStart w:id="17" w:name="_Toc19735"/>
    </w:p>
    <w:p w14:paraId="631DD85E">
      <w:pPr>
        <w:pStyle w:val="3"/>
        <w:numPr>
          <w:ilvl w:val="0"/>
          <w:numId w:val="1"/>
        </w:numPr>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主要技术参数</w:t>
      </w:r>
      <w:bookmarkEnd w:id="8"/>
      <w:bookmarkEnd w:id="9"/>
      <w:bookmarkEnd w:id="10"/>
      <w:bookmarkEnd w:id="11"/>
      <w:bookmarkEnd w:id="12"/>
      <w:bookmarkEnd w:id="13"/>
      <w:bookmarkEnd w:id="14"/>
      <w:bookmarkEnd w:id="15"/>
      <w:bookmarkEnd w:id="17"/>
    </w:p>
    <w:p w14:paraId="3FBC94FA">
      <w:pPr>
        <w:keepNext/>
        <w:keepLines/>
        <w:pageBreakBefore w:val="0"/>
        <w:widowControl w:val="0"/>
        <w:numPr>
          <w:ilvl w:val="0"/>
          <w:numId w:val="0"/>
        </w:numPr>
        <w:tabs>
          <w:tab w:val="left" w:pos="2693"/>
        </w:tabs>
        <w:kinsoku/>
        <w:wordWrap/>
        <w:overflowPunct/>
        <w:topLinePunct w:val="0"/>
        <w:autoSpaceDE/>
        <w:autoSpaceDN/>
        <w:bidi w:val="0"/>
        <w:adjustRightInd w:val="0"/>
        <w:snapToGrid/>
        <w:spacing w:line="360" w:lineRule="auto"/>
        <w:jc w:val="left"/>
        <w:textAlignment w:val="baseline"/>
        <w:outlineLvl w:val="9"/>
        <w:rPr>
          <w:rFonts w:hint="eastAsia" w:ascii="宋体" w:hAnsi="宋体" w:eastAsia="宋体" w:cs="宋体"/>
          <w:b w:val="0"/>
          <w:bCs/>
          <w:kern w:val="2"/>
          <w:sz w:val="24"/>
          <w:szCs w:val="24"/>
          <w:lang w:val="en-US" w:eastAsia="zh-CN" w:bidi="ar"/>
        </w:rPr>
      </w:pPr>
      <w:r>
        <w:rPr>
          <w:rFonts w:hint="eastAsia" w:ascii="宋体" w:hAnsi="宋体" w:eastAsia="宋体"/>
          <w:b/>
          <w:color w:val="000000"/>
          <w:sz w:val="24"/>
          <w:szCs w:val="20"/>
        </w:rPr>
        <w:t>★</w:t>
      </w:r>
      <w:r>
        <w:rPr>
          <w:rFonts w:hint="eastAsia" w:ascii="宋体" w:hAnsi="宋体" w:eastAsia="宋体" w:cs="宋体"/>
          <w:b w:val="0"/>
          <w:bCs/>
          <w:kern w:val="2"/>
          <w:sz w:val="24"/>
          <w:szCs w:val="24"/>
          <w:lang w:val="en-US" w:eastAsia="zh-CN" w:bidi="ar"/>
        </w:rPr>
        <w:t>1.可与氩气刀等设备整合一体装备固定安装；</w:t>
      </w:r>
    </w:p>
    <w:p w14:paraId="442B92FC">
      <w:pPr>
        <w:keepNext/>
        <w:keepLines/>
        <w:pageBreakBefore w:val="0"/>
        <w:widowControl w:val="0"/>
        <w:numPr>
          <w:ilvl w:val="0"/>
          <w:numId w:val="0"/>
        </w:numPr>
        <w:tabs>
          <w:tab w:val="left" w:pos="2693"/>
        </w:tabs>
        <w:kinsoku/>
        <w:wordWrap/>
        <w:overflowPunct/>
        <w:topLinePunct w:val="0"/>
        <w:autoSpaceDE/>
        <w:autoSpaceDN/>
        <w:bidi w:val="0"/>
        <w:adjustRightInd w:val="0"/>
        <w:snapToGrid/>
        <w:spacing w:line="360" w:lineRule="auto"/>
        <w:jc w:val="left"/>
        <w:textAlignment w:val="baseline"/>
        <w:outlineLvl w:val="9"/>
        <w:rPr>
          <w:rFonts w:hint="eastAsia" w:ascii="宋体" w:hAnsi="宋体" w:eastAsia="宋体" w:cs="宋体"/>
          <w:b w:val="0"/>
          <w:bCs/>
          <w:kern w:val="2"/>
          <w:sz w:val="24"/>
          <w:szCs w:val="24"/>
          <w:lang w:val="en-US" w:eastAsia="zh-CN" w:bidi="ar"/>
        </w:rPr>
      </w:pPr>
      <w:r>
        <w:rPr>
          <w:rFonts w:hint="eastAsia" w:ascii="宋体" w:hAnsi="宋体" w:eastAsia="宋体"/>
          <w:b/>
          <w:color w:val="000000"/>
          <w:sz w:val="24"/>
          <w:szCs w:val="20"/>
        </w:rPr>
        <w:t>★</w:t>
      </w:r>
      <w:r>
        <w:rPr>
          <w:rFonts w:hint="eastAsia" w:ascii="宋体" w:hAnsi="宋体" w:eastAsia="宋体" w:cs="宋体"/>
          <w:b w:val="0"/>
          <w:bCs/>
          <w:kern w:val="2"/>
          <w:sz w:val="24"/>
          <w:szCs w:val="24"/>
          <w:lang w:val="en-US" w:eastAsia="zh-CN" w:bidi="ar"/>
        </w:rPr>
        <w:t>2.启动模式：内镜冲洗系统可分别设置自动启动、脚踏启动、手动启动等；</w:t>
      </w:r>
    </w:p>
    <w:p w14:paraId="3F2EF78B">
      <w:pPr>
        <w:keepNext/>
        <w:keepLines/>
        <w:pageBreakBefore w:val="0"/>
        <w:widowControl w:val="0"/>
        <w:numPr>
          <w:ilvl w:val="0"/>
          <w:numId w:val="0"/>
        </w:numPr>
        <w:tabs>
          <w:tab w:val="left" w:pos="2693"/>
        </w:tabs>
        <w:kinsoku/>
        <w:wordWrap/>
        <w:overflowPunct/>
        <w:topLinePunct w:val="0"/>
        <w:autoSpaceDE/>
        <w:autoSpaceDN/>
        <w:bidi w:val="0"/>
        <w:adjustRightInd w:val="0"/>
        <w:snapToGrid/>
        <w:spacing w:line="360" w:lineRule="auto"/>
        <w:jc w:val="left"/>
        <w:textAlignment w:val="baseline"/>
        <w:outlineLvl w:val="9"/>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3.冲洗介质：以生理盐水做介质；</w:t>
      </w:r>
    </w:p>
    <w:p w14:paraId="157534BF">
      <w:pPr>
        <w:keepNext/>
        <w:keepLines/>
        <w:pageBreakBefore w:val="0"/>
        <w:widowControl w:val="0"/>
        <w:numPr>
          <w:ilvl w:val="0"/>
          <w:numId w:val="0"/>
        </w:numPr>
        <w:tabs>
          <w:tab w:val="left" w:pos="2693"/>
        </w:tabs>
        <w:kinsoku/>
        <w:wordWrap/>
        <w:overflowPunct/>
        <w:topLinePunct w:val="0"/>
        <w:autoSpaceDE/>
        <w:autoSpaceDN/>
        <w:bidi w:val="0"/>
        <w:adjustRightInd w:val="0"/>
        <w:snapToGrid/>
        <w:spacing w:line="360" w:lineRule="auto"/>
        <w:jc w:val="left"/>
        <w:textAlignment w:val="baseline"/>
        <w:outlineLvl w:val="9"/>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4.最大冲洗流量：最大冲洗流量≥ 500ml/分钟；</w:t>
      </w:r>
    </w:p>
    <w:p w14:paraId="2B63437D">
      <w:pPr>
        <w:keepNext/>
        <w:keepLines/>
        <w:pageBreakBefore w:val="0"/>
        <w:widowControl w:val="0"/>
        <w:numPr>
          <w:ilvl w:val="0"/>
          <w:numId w:val="0"/>
        </w:numPr>
        <w:tabs>
          <w:tab w:val="left" w:pos="2693"/>
        </w:tabs>
        <w:kinsoku/>
        <w:wordWrap/>
        <w:overflowPunct/>
        <w:topLinePunct w:val="0"/>
        <w:autoSpaceDE/>
        <w:autoSpaceDN/>
        <w:bidi w:val="0"/>
        <w:adjustRightInd w:val="0"/>
        <w:snapToGrid/>
        <w:spacing w:line="360" w:lineRule="auto"/>
        <w:jc w:val="left"/>
        <w:textAlignment w:val="baseline"/>
        <w:outlineLvl w:val="9"/>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5.存储设置：可预先存储≥3种流量设置，使用时可一键调出；</w:t>
      </w:r>
    </w:p>
    <w:p w14:paraId="19A3F781">
      <w:pPr>
        <w:keepNext/>
        <w:keepLines/>
        <w:pageBreakBefore w:val="0"/>
        <w:widowControl w:val="0"/>
        <w:numPr>
          <w:ilvl w:val="0"/>
          <w:numId w:val="0"/>
        </w:numPr>
        <w:tabs>
          <w:tab w:val="left" w:pos="2693"/>
        </w:tabs>
        <w:kinsoku/>
        <w:wordWrap/>
        <w:overflowPunct/>
        <w:topLinePunct w:val="0"/>
        <w:autoSpaceDE/>
        <w:autoSpaceDN/>
        <w:bidi w:val="0"/>
        <w:adjustRightInd w:val="0"/>
        <w:snapToGrid/>
        <w:spacing w:line="360" w:lineRule="auto"/>
        <w:jc w:val="left"/>
        <w:textAlignment w:val="baseline"/>
        <w:outlineLvl w:val="9"/>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6.兼容性：可兼容接奥林巴斯，宾得、富士等多种品牌软镜；</w:t>
      </w:r>
    </w:p>
    <w:p w14:paraId="6BBD8F0B">
      <w:pPr>
        <w:keepNext/>
        <w:keepLines/>
        <w:pageBreakBefore w:val="0"/>
        <w:widowControl w:val="0"/>
        <w:numPr>
          <w:ilvl w:val="0"/>
          <w:numId w:val="0"/>
        </w:numPr>
        <w:tabs>
          <w:tab w:val="left" w:pos="2693"/>
        </w:tabs>
        <w:kinsoku/>
        <w:wordWrap/>
        <w:overflowPunct/>
        <w:topLinePunct w:val="0"/>
        <w:autoSpaceDE/>
        <w:autoSpaceDN/>
        <w:bidi w:val="0"/>
        <w:adjustRightInd w:val="0"/>
        <w:snapToGrid/>
        <w:spacing w:line="360" w:lineRule="auto"/>
        <w:jc w:val="left"/>
        <w:textAlignment w:val="baseline"/>
        <w:outlineLvl w:val="9"/>
        <w:rPr>
          <w:rFonts w:hint="default"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7.提供配套使用的冲洗管10根；</w:t>
      </w:r>
    </w:p>
    <w:p w14:paraId="727CB954">
      <w:pPr>
        <w:keepNext/>
        <w:keepLines/>
        <w:pageBreakBefore w:val="0"/>
        <w:widowControl w:val="0"/>
        <w:numPr>
          <w:ilvl w:val="0"/>
          <w:numId w:val="0"/>
        </w:numPr>
        <w:tabs>
          <w:tab w:val="left" w:pos="2693"/>
        </w:tabs>
        <w:kinsoku/>
        <w:wordWrap/>
        <w:overflowPunct/>
        <w:topLinePunct w:val="0"/>
        <w:autoSpaceDE/>
        <w:autoSpaceDN/>
        <w:bidi w:val="0"/>
        <w:adjustRightInd w:val="0"/>
        <w:snapToGrid/>
        <w:spacing w:line="360" w:lineRule="auto"/>
        <w:jc w:val="left"/>
        <w:textAlignment w:val="baseline"/>
        <w:outlineLvl w:val="9"/>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8.消耗性材料及易损件单独报价。</w:t>
      </w:r>
    </w:p>
    <w:p w14:paraId="7A8D19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C43C8"/>
    <w:multiLevelType w:val="singleLevel"/>
    <w:tmpl w:val="948C43C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82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uiPriority w:val="0"/>
    <w:pPr>
      <w:ind w:firstLine="570"/>
    </w:pPr>
    <w:rPr>
      <w:rFonts w:ascii="黑体" w:eastAsia="仿宋_GB2312"/>
      <w:sz w:val="28"/>
    </w:rPr>
  </w:style>
  <w:style w:type="paragraph" w:styleId="3">
    <w:name w:val="Body Text First Indent 2"/>
    <w:basedOn w:val="2"/>
    <w:uiPriority w:val="0"/>
    <w:pPr>
      <w:spacing w:after="120"/>
      <w:ind w:left="420" w:leftChars="200" w:firstLine="420" w:firstLineChars="200"/>
    </w:pPr>
    <w:rPr>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2026-06-25T09:24:03Z</dcterms:created>
  <dc:creator>Administrator</dc:creator>
  <cp:lastModifiedBy>Administrator</cp:lastModifiedBy>
  <dcterms:modified xsi:type="dcterms:W3CDTF">2026-06-25T09:24:12Z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eyJoZGlkIjoiNTZlOTZhYjExNjQ0NTdjZDExZjk3MjdmYmY3YTMwYzQiLCJ1c2VySWQiOiIzOTczODgwOTIifQ==</vt:lpwstr>
  </property>
  <property fmtid="{D5CDD505-2E9C-101B-9397-08002B2CF9AE}" pid="4" name="ICV">
    <vt:lpwstr>C27344C41FDE48A095425273FD7532D6_12</vt:lpwstr>
  </property>
</Properties>
</file>