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36B4F">
      <w:pPr>
        <w:pStyle w:val="2"/>
        <w:spacing w:line="360" w:lineRule="auto"/>
        <w:ind w:left="0" w:firstLine="0"/>
        <w:jc w:val="center"/>
        <w:rPr>
          <w:rFonts w:ascii="宋体" w:hAnsi="宋体"/>
          <w:szCs w:val="36"/>
        </w:rPr>
      </w:pPr>
      <w:r>
        <w:rPr>
          <w:rFonts w:hint="eastAsia" w:ascii="宋体" w:hAnsi="宋体"/>
          <w:szCs w:val="36"/>
        </w:rPr>
        <w:t>采购需求</w:t>
      </w:r>
    </w:p>
    <w:p w14:paraId="251F8158">
      <w:pPr>
        <w:rPr>
          <w:rFonts w:hint="eastAsia"/>
        </w:rPr>
      </w:pPr>
    </w:p>
    <w:p w14:paraId="1509CDBF">
      <w:pPr>
        <w:ind w:firstLine="437"/>
        <w:jc w:val="both"/>
        <w:outlineLvl w:val="1"/>
        <w:rPr>
          <w:rFonts w:hint="eastAsia" w:ascii="宋体" w:hAnsi="宋体" w:cs="@仿宋_GB2312"/>
          <w:b/>
          <w:szCs w:val="18"/>
        </w:rPr>
      </w:pPr>
      <w:bookmarkStart w:id="0" w:name="_Toc9765"/>
      <w:bookmarkStart w:id="1" w:name="_Toc26330"/>
      <w:bookmarkStart w:id="2" w:name="_Hlk16461016"/>
      <w:r>
        <w:rPr>
          <w:rFonts w:hint="eastAsia" w:ascii="宋体" w:hAnsi="宋体" w:cs="@仿宋_GB2312"/>
          <w:b/>
          <w:szCs w:val="18"/>
        </w:rPr>
        <w:t>一、采购需求前附表</w:t>
      </w:r>
      <w:bookmarkEnd w:id="0"/>
      <w:bookmarkEnd w:id="1"/>
    </w:p>
    <w:tbl>
      <w:tblPr>
        <w:tblStyle w:val="3"/>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476"/>
      </w:tblGrid>
      <w:tr w14:paraId="3AA9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017B425">
            <w:pPr>
              <w:spacing w:line="240" w:lineRule="auto"/>
              <w:jc w:val="center"/>
              <w:rPr>
                <w:rFonts w:hint="eastAsia" w:ascii="宋体" w:hAnsi="宋体" w:cs="@仿宋_GB2312"/>
                <w:b/>
                <w:szCs w:val="20"/>
              </w:rPr>
            </w:pPr>
            <w:r>
              <w:rPr>
                <w:rFonts w:hint="eastAsia" w:ascii="宋体" w:hAnsi="宋体" w:cs="@仿宋_GB2312"/>
                <w:b/>
                <w:szCs w:val="20"/>
              </w:rPr>
              <w:t>序号</w:t>
            </w:r>
          </w:p>
        </w:tc>
        <w:tc>
          <w:tcPr>
            <w:tcW w:w="2191" w:type="dxa"/>
            <w:noWrap w:val="0"/>
            <w:vAlign w:val="center"/>
          </w:tcPr>
          <w:p w14:paraId="3DD10AEA">
            <w:pPr>
              <w:jc w:val="center"/>
              <w:rPr>
                <w:rFonts w:hint="eastAsia" w:ascii="宋体" w:hAnsi="宋体" w:cs="@仿宋_GB2312"/>
                <w:b/>
                <w:kern w:val="0"/>
                <w:szCs w:val="28"/>
              </w:rPr>
            </w:pPr>
            <w:r>
              <w:rPr>
                <w:rFonts w:hint="eastAsia" w:ascii="宋体" w:hAnsi="宋体" w:cs="@仿宋_GB2312"/>
                <w:b/>
                <w:kern w:val="0"/>
                <w:szCs w:val="28"/>
              </w:rPr>
              <w:t>条款名称</w:t>
            </w:r>
          </w:p>
        </w:tc>
        <w:tc>
          <w:tcPr>
            <w:tcW w:w="5476" w:type="dxa"/>
            <w:noWrap w:val="0"/>
            <w:vAlign w:val="center"/>
          </w:tcPr>
          <w:p w14:paraId="4F6EC144">
            <w:pPr>
              <w:jc w:val="center"/>
              <w:rPr>
                <w:rFonts w:hint="eastAsia" w:ascii="宋体" w:hAnsi="宋体" w:cs="@仿宋_GB2312"/>
                <w:b/>
                <w:kern w:val="0"/>
                <w:szCs w:val="28"/>
              </w:rPr>
            </w:pPr>
            <w:r>
              <w:rPr>
                <w:rFonts w:hint="eastAsia" w:ascii="宋体" w:hAnsi="宋体" w:cs="@仿宋_GB2312"/>
                <w:b/>
                <w:kern w:val="0"/>
                <w:szCs w:val="28"/>
              </w:rPr>
              <w:t>内容、说明与要求</w:t>
            </w:r>
          </w:p>
        </w:tc>
      </w:tr>
      <w:tr w14:paraId="3BD5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3DA24D17">
            <w:pPr>
              <w:spacing w:line="240" w:lineRule="auto"/>
              <w:jc w:val="center"/>
              <w:rPr>
                <w:rFonts w:hint="eastAsia" w:ascii="宋体" w:hAnsi="宋体" w:cs="@仿宋_GB2312"/>
                <w:bCs/>
                <w:szCs w:val="20"/>
                <w:highlight w:val="none"/>
              </w:rPr>
            </w:pPr>
            <w:r>
              <w:rPr>
                <w:rFonts w:hint="eastAsia" w:ascii="宋体" w:hAnsi="宋体" w:cs="@仿宋_GB2312"/>
                <w:bCs/>
                <w:szCs w:val="20"/>
                <w:highlight w:val="none"/>
              </w:rPr>
              <w:t>1</w:t>
            </w:r>
          </w:p>
        </w:tc>
        <w:tc>
          <w:tcPr>
            <w:tcW w:w="2191" w:type="dxa"/>
            <w:noWrap w:val="0"/>
            <w:vAlign w:val="center"/>
          </w:tcPr>
          <w:p w14:paraId="7EE1426D">
            <w:pPr>
              <w:jc w:val="center"/>
              <w:rPr>
                <w:rFonts w:hint="eastAsia" w:ascii="宋体" w:hAnsi="宋体" w:cs="@仿宋_GB2312"/>
                <w:bCs/>
                <w:kern w:val="0"/>
                <w:szCs w:val="28"/>
                <w:highlight w:val="none"/>
              </w:rPr>
            </w:pPr>
            <w:r>
              <w:rPr>
                <w:rFonts w:hint="eastAsia" w:ascii="宋体" w:hAnsi="宋体" w:cs="@仿宋_GB2312"/>
                <w:bCs/>
                <w:kern w:val="0"/>
                <w:szCs w:val="28"/>
                <w:highlight w:val="none"/>
              </w:rPr>
              <w:t>付款方式</w:t>
            </w:r>
          </w:p>
        </w:tc>
        <w:tc>
          <w:tcPr>
            <w:tcW w:w="5476" w:type="dxa"/>
            <w:noWrap w:val="0"/>
            <w:vAlign w:val="center"/>
          </w:tcPr>
          <w:p w14:paraId="585789DF">
            <w:pPr>
              <w:jc w:val="both"/>
              <w:rPr>
                <w:rFonts w:hint="eastAsia" w:ascii="宋体" w:hAnsi="宋体" w:cs="@仿宋_GB2312"/>
                <w:bCs/>
                <w:kern w:val="0"/>
                <w:szCs w:val="28"/>
                <w:highlight w:val="none"/>
              </w:rPr>
            </w:pPr>
            <w:r>
              <w:rPr>
                <w:rFonts w:hint="eastAsia" w:ascii="宋体" w:hAnsi="宋体" w:cs="@仿宋_GB2312"/>
                <w:bCs/>
                <w:kern w:val="0"/>
                <w:szCs w:val="28"/>
                <w:highlight w:val="none"/>
              </w:rPr>
              <w:t>设备验收合格后三个月首付90%货款，余额10%货款质保金一年后如无质量问题无息付清。</w:t>
            </w:r>
          </w:p>
        </w:tc>
      </w:tr>
      <w:tr w14:paraId="771B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5CB1897D">
            <w:pPr>
              <w:spacing w:line="240" w:lineRule="auto"/>
              <w:jc w:val="center"/>
              <w:rPr>
                <w:rFonts w:hint="eastAsia" w:ascii="宋体" w:hAnsi="宋体" w:cs="@仿宋_GB2312"/>
                <w:bCs/>
                <w:szCs w:val="20"/>
                <w:highlight w:val="none"/>
              </w:rPr>
            </w:pPr>
            <w:r>
              <w:rPr>
                <w:rFonts w:hint="eastAsia" w:ascii="宋体" w:hAnsi="宋体" w:cs="@仿宋_GB2312"/>
                <w:bCs/>
                <w:szCs w:val="20"/>
                <w:highlight w:val="none"/>
              </w:rPr>
              <w:t>2</w:t>
            </w:r>
          </w:p>
        </w:tc>
        <w:tc>
          <w:tcPr>
            <w:tcW w:w="2191" w:type="dxa"/>
            <w:noWrap w:val="0"/>
            <w:vAlign w:val="center"/>
          </w:tcPr>
          <w:p w14:paraId="1BC4A1F6">
            <w:pPr>
              <w:jc w:val="center"/>
              <w:rPr>
                <w:rFonts w:hint="eastAsia" w:ascii="宋体" w:hAnsi="宋体" w:cs="@仿宋_GB2312"/>
                <w:bCs/>
                <w:kern w:val="0"/>
                <w:szCs w:val="28"/>
                <w:highlight w:val="none"/>
              </w:rPr>
            </w:pPr>
            <w:r>
              <w:rPr>
                <w:rFonts w:hint="eastAsia" w:ascii="宋体" w:hAnsi="宋体" w:cs="@仿宋_GB2312"/>
                <w:bCs/>
                <w:kern w:val="0"/>
                <w:szCs w:val="28"/>
                <w:highlight w:val="none"/>
              </w:rPr>
              <w:t>供货及安装地点</w:t>
            </w:r>
          </w:p>
        </w:tc>
        <w:tc>
          <w:tcPr>
            <w:tcW w:w="5476" w:type="dxa"/>
            <w:noWrap w:val="0"/>
            <w:vAlign w:val="center"/>
          </w:tcPr>
          <w:p w14:paraId="760CC0F9">
            <w:pPr>
              <w:jc w:val="both"/>
              <w:rPr>
                <w:rFonts w:hint="eastAsia" w:ascii="宋体" w:hAnsi="宋体" w:cs="@仿宋_GB2312"/>
                <w:bCs/>
                <w:kern w:val="0"/>
                <w:szCs w:val="28"/>
                <w:highlight w:val="none"/>
              </w:rPr>
            </w:pPr>
            <w:r>
              <w:rPr>
                <w:rFonts w:hint="eastAsia" w:ascii="宋体" w:hAnsi="宋体" w:cs="@仿宋_GB2312"/>
                <w:bCs/>
                <w:kern w:val="0"/>
                <w:szCs w:val="28"/>
                <w:highlight w:val="none"/>
              </w:rPr>
              <w:t>采购人指定地点</w:t>
            </w:r>
          </w:p>
        </w:tc>
      </w:tr>
      <w:tr w14:paraId="0ADB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2ACA5C31">
            <w:pPr>
              <w:spacing w:line="240" w:lineRule="auto"/>
              <w:jc w:val="center"/>
              <w:rPr>
                <w:rFonts w:hint="eastAsia" w:ascii="宋体" w:hAnsi="宋体" w:cs="@仿宋_GB2312"/>
                <w:bCs/>
                <w:szCs w:val="20"/>
                <w:highlight w:val="none"/>
              </w:rPr>
            </w:pPr>
            <w:r>
              <w:rPr>
                <w:rFonts w:hint="eastAsia" w:ascii="宋体" w:hAnsi="宋体" w:cs="@仿宋_GB2312"/>
                <w:bCs/>
                <w:szCs w:val="20"/>
                <w:highlight w:val="none"/>
              </w:rPr>
              <w:t>3</w:t>
            </w:r>
          </w:p>
        </w:tc>
        <w:tc>
          <w:tcPr>
            <w:tcW w:w="2191" w:type="dxa"/>
            <w:noWrap w:val="0"/>
            <w:vAlign w:val="center"/>
          </w:tcPr>
          <w:p w14:paraId="4298B8AA">
            <w:pPr>
              <w:jc w:val="center"/>
              <w:rPr>
                <w:rFonts w:hint="eastAsia" w:ascii="宋体" w:hAnsi="宋体" w:cs="@仿宋_GB2312"/>
                <w:bCs/>
                <w:kern w:val="0"/>
                <w:szCs w:val="28"/>
                <w:highlight w:val="none"/>
              </w:rPr>
            </w:pPr>
            <w:r>
              <w:rPr>
                <w:rFonts w:hint="eastAsia" w:ascii="宋体" w:hAnsi="宋体" w:cs="@仿宋_GB2312"/>
                <w:bCs/>
                <w:kern w:val="0"/>
                <w:szCs w:val="28"/>
                <w:highlight w:val="none"/>
              </w:rPr>
              <w:t>供货安装期/供货期</w:t>
            </w:r>
          </w:p>
        </w:tc>
        <w:tc>
          <w:tcPr>
            <w:tcW w:w="5476" w:type="dxa"/>
            <w:noWrap w:val="0"/>
            <w:vAlign w:val="center"/>
          </w:tcPr>
          <w:p w14:paraId="5C50DE23">
            <w:pPr>
              <w:jc w:val="both"/>
              <w:rPr>
                <w:rFonts w:hint="eastAsia" w:ascii="宋体" w:hAnsi="宋体" w:cs="@仿宋_GB2312"/>
                <w:bCs/>
                <w:kern w:val="0"/>
                <w:szCs w:val="28"/>
                <w:highlight w:val="none"/>
              </w:rPr>
            </w:pPr>
            <w:r>
              <w:rPr>
                <w:rFonts w:hint="eastAsia" w:ascii="宋体" w:hAnsi="宋体" w:cs="@仿宋_GB2312"/>
                <w:bCs/>
                <w:kern w:val="0"/>
                <w:szCs w:val="28"/>
                <w:highlight w:val="none"/>
              </w:rPr>
              <w:t>参选人自报，自成交通知书发放之日起不超过30个日历天，否则做无效参选处理。</w:t>
            </w:r>
          </w:p>
        </w:tc>
      </w:tr>
      <w:tr w14:paraId="3039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9510891">
            <w:pPr>
              <w:spacing w:line="240" w:lineRule="auto"/>
              <w:jc w:val="center"/>
              <w:rPr>
                <w:rFonts w:hint="eastAsia" w:ascii="宋体" w:hAnsi="宋体" w:cs="@仿宋_GB2312"/>
                <w:bCs/>
                <w:szCs w:val="20"/>
                <w:highlight w:val="none"/>
              </w:rPr>
            </w:pPr>
            <w:r>
              <w:rPr>
                <w:rFonts w:hint="eastAsia" w:ascii="宋体" w:hAnsi="宋体" w:cs="@仿宋_GB2312"/>
                <w:bCs/>
                <w:szCs w:val="20"/>
                <w:highlight w:val="none"/>
              </w:rPr>
              <w:t>4</w:t>
            </w:r>
          </w:p>
        </w:tc>
        <w:tc>
          <w:tcPr>
            <w:tcW w:w="2191" w:type="dxa"/>
            <w:noWrap w:val="0"/>
            <w:vAlign w:val="center"/>
          </w:tcPr>
          <w:p w14:paraId="7D96D7B8">
            <w:pPr>
              <w:jc w:val="center"/>
              <w:rPr>
                <w:rFonts w:hint="eastAsia" w:ascii="宋体" w:hAnsi="宋体" w:cs="@仿宋_GB2312"/>
                <w:bCs/>
                <w:kern w:val="0"/>
                <w:szCs w:val="28"/>
                <w:highlight w:val="none"/>
              </w:rPr>
            </w:pPr>
            <w:r>
              <w:rPr>
                <w:rFonts w:hint="eastAsia" w:ascii="宋体" w:hAnsi="宋体" w:cs="@仿宋_GB2312"/>
                <w:bCs/>
                <w:kern w:val="0"/>
                <w:szCs w:val="28"/>
                <w:highlight w:val="none"/>
              </w:rPr>
              <w:t>质保期（如有）</w:t>
            </w:r>
          </w:p>
        </w:tc>
        <w:tc>
          <w:tcPr>
            <w:tcW w:w="5476" w:type="dxa"/>
            <w:noWrap w:val="0"/>
            <w:vAlign w:val="center"/>
          </w:tcPr>
          <w:p w14:paraId="1B5D7C2C">
            <w:pPr>
              <w:jc w:val="both"/>
              <w:rPr>
                <w:rFonts w:hint="eastAsia" w:ascii="宋体" w:hAnsi="宋体" w:cs="@仿宋_GB2312"/>
                <w:bCs/>
                <w:kern w:val="0"/>
                <w:szCs w:val="28"/>
                <w:highlight w:val="none"/>
              </w:rPr>
            </w:pPr>
            <w:r>
              <w:rPr>
                <w:rFonts w:hint="eastAsia" w:ascii="宋体" w:hAnsi="宋体" w:cs="@仿宋_GB2312"/>
                <w:bCs/>
                <w:kern w:val="0"/>
                <w:szCs w:val="28"/>
                <w:highlight w:val="none"/>
              </w:rPr>
              <w:t>参选人自报，不少于</w:t>
            </w:r>
            <w:r>
              <w:rPr>
                <w:rFonts w:hint="eastAsia" w:ascii="宋体" w:hAnsi="宋体" w:cs="@仿宋_GB2312"/>
                <w:bCs/>
                <w:kern w:val="0"/>
                <w:szCs w:val="28"/>
                <w:highlight w:val="none"/>
                <w:lang w:eastAsia="zh-CN"/>
              </w:rPr>
              <w:t>5年</w:t>
            </w:r>
            <w:r>
              <w:rPr>
                <w:rFonts w:hint="eastAsia" w:ascii="宋体" w:hAnsi="宋体" w:cs="@仿宋_GB2312"/>
                <w:bCs/>
                <w:kern w:val="0"/>
                <w:szCs w:val="28"/>
                <w:highlight w:val="none"/>
              </w:rPr>
              <w:t>，否则做无效参选处理。</w:t>
            </w:r>
          </w:p>
        </w:tc>
      </w:tr>
    </w:tbl>
    <w:p w14:paraId="24476FEE">
      <w:pPr>
        <w:ind w:firstLine="437"/>
        <w:jc w:val="both"/>
        <w:outlineLvl w:val="1"/>
        <w:rPr>
          <w:rFonts w:hint="eastAsia" w:ascii="宋体" w:hAnsi="宋体" w:cs="@仿宋_GB2312"/>
          <w:b/>
          <w:bCs/>
          <w:szCs w:val="18"/>
        </w:rPr>
      </w:pPr>
    </w:p>
    <w:p w14:paraId="7BEC41BE">
      <w:pPr>
        <w:ind w:firstLine="437"/>
        <w:jc w:val="both"/>
        <w:outlineLvl w:val="1"/>
        <w:rPr>
          <w:rFonts w:hint="eastAsia" w:ascii="宋体" w:hAnsi="宋体" w:cs="@仿宋_GB2312"/>
          <w:b/>
          <w:bCs/>
          <w:szCs w:val="18"/>
        </w:rPr>
      </w:pPr>
      <w:r>
        <w:rPr>
          <w:rFonts w:hint="eastAsia" w:ascii="宋体" w:hAnsi="宋体" w:cs="@仿宋_GB2312"/>
          <w:b/>
          <w:bCs/>
          <w:szCs w:val="18"/>
        </w:rPr>
        <w:t>二、</w:t>
      </w:r>
      <w:r>
        <w:rPr>
          <w:rFonts w:hint="eastAsia" w:ascii="宋体" w:hAnsi="宋体" w:cs="@仿宋_GB2312"/>
          <w:b/>
          <w:szCs w:val="18"/>
        </w:rPr>
        <w:t>货物</w:t>
      </w:r>
      <w:r>
        <w:rPr>
          <w:rFonts w:hint="eastAsia" w:ascii="宋体" w:hAnsi="宋体" w:cs="@仿宋_GB2312"/>
          <w:b/>
          <w:bCs/>
          <w:szCs w:val="18"/>
        </w:rPr>
        <w:t>需求</w:t>
      </w:r>
    </w:p>
    <w:p w14:paraId="602AAB52">
      <w:pPr>
        <w:widowControl/>
        <w:spacing w:line="240" w:lineRule="auto"/>
        <w:ind w:firstLine="482" w:firstLineChars="200"/>
        <w:jc w:val="both"/>
        <w:outlineLvl w:val="2"/>
        <w:rPr>
          <w:rFonts w:hint="eastAsia" w:ascii="宋体" w:hAnsi="宋体" w:cs="宋体"/>
          <w:b/>
          <w:bCs/>
        </w:rPr>
      </w:pPr>
      <w:r>
        <w:rPr>
          <w:rFonts w:hint="eastAsia" w:ascii="宋体" w:hAnsi="宋体" w:cs="宋体"/>
          <w:b/>
          <w:bCs/>
        </w:rPr>
        <w:t>（一）标识符号</w:t>
      </w:r>
    </w:p>
    <w:tbl>
      <w:tblPr>
        <w:tblStyle w:val="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561"/>
      </w:tblGrid>
      <w:tr w14:paraId="57F9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4DA01B6E">
            <w:pPr>
              <w:spacing w:line="300" w:lineRule="auto"/>
              <w:jc w:val="center"/>
              <w:rPr>
                <w:rFonts w:hint="eastAsia" w:ascii="宋体" w:hAnsi="宋体" w:cs="宋体"/>
                <w:b/>
              </w:rPr>
            </w:pPr>
            <w:r>
              <w:rPr>
                <w:rFonts w:hint="eastAsia" w:ascii="宋体" w:hAnsi="宋体" w:cs="宋体"/>
                <w:b/>
              </w:rPr>
              <w:t>标识类型</w:t>
            </w:r>
          </w:p>
        </w:tc>
        <w:tc>
          <w:tcPr>
            <w:tcW w:w="1365" w:type="dxa"/>
            <w:noWrap w:val="0"/>
            <w:vAlign w:val="center"/>
          </w:tcPr>
          <w:p w14:paraId="45649B0D">
            <w:pPr>
              <w:spacing w:line="300" w:lineRule="auto"/>
              <w:jc w:val="center"/>
              <w:rPr>
                <w:rFonts w:hint="eastAsia" w:ascii="宋体" w:hAnsi="宋体" w:cs="宋体"/>
                <w:b/>
              </w:rPr>
            </w:pPr>
            <w:r>
              <w:rPr>
                <w:rFonts w:hint="eastAsia" w:ascii="宋体" w:hAnsi="宋体" w:cs="宋体"/>
                <w:b/>
              </w:rPr>
              <w:t>标识符号</w:t>
            </w:r>
          </w:p>
        </w:tc>
        <w:tc>
          <w:tcPr>
            <w:tcW w:w="5561" w:type="dxa"/>
            <w:noWrap w:val="0"/>
            <w:vAlign w:val="center"/>
          </w:tcPr>
          <w:p w14:paraId="40FEDB28">
            <w:pPr>
              <w:spacing w:line="300" w:lineRule="auto"/>
              <w:jc w:val="center"/>
              <w:rPr>
                <w:rFonts w:hint="eastAsia" w:ascii="宋体" w:hAnsi="宋体" w:cs="宋体"/>
                <w:b/>
              </w:rPr>
            </w:pPr>
            <w:r>
              <w:rPr>
                <w:rFonts w:hint="eastAsia" w:ascii="宋体" w:hAnsi="宋体" w:cs="宋体"/>
                <w:b/>
              </w:rPr>
              <w:t>标识符号含义</w:t>
            </w:r>
          </w:p>
        </w:tc>
      </w:tr>
      <w:tr w14:paraId="29F0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DBF380F">
            <w:pPr>
              <w:snapToGrid w:val="0"/>
              <w:spacing w:line="20" w:lineRule="atLeast"/>
              <w:jc w:val="center"/>
              <w:rPr>
                <w:rFonts w:hint="eastAsia" w:ascii="宋体" w:hAnsi="宋体" w:cs="宋体"/>
                <w:color w:val="000000"/>
              </w:rPr>
            </w:pPr>
            <w:r>
              <w:rPr>
                <w:rFonts w:hint="eastAsia" w:ascii="宋体" w:hAnsi="宋体" w:cs="宋体"/>
                <w:bCs/>
              </w:rPr>
              <w:t>关键性指标项</w:t>
            </w:r>
          </w:p>
        </w:tc>
        <w:tc>
          <w:tcPr>
            <w:tcW w:w="1365" w:type="dxa"/>
            <w:noWrap w:val="0"/>
            <w:vAlign w:val="center"/>
          </w:tcPr>
          <w:p w14:paraId="398D9694">
            <w:pPr>
              <w:snapToGrid w:val="0"/>
              <w:spacing w:line="20" w:lineRule="atLeast"/>
              <w:jc w:val="center"/>
              <w:rPr>
                <w:rFonts w:hint="eastAsia" w:ascii="宋体" w:hAnsi="宋体" w:cs="宋体"/>
                <w:bCs/>
                <w:color w:val="000000"/>
              </w:rPr>
            </w:pPr>
            <w:r>
              <w:rPr>
                <w:rFonts w:hint="eastAsia" w:ascii="宋体" w:hAnsi="宋体" w:cs="宋体"/>
                <w:bCs/>
              </w:rPr>
              <w:t>★</w:t>
            </w:r>
          </w:p>
        </w:tc>
        <w:tc>
          <w:tcPr>
            <w:tcW w:w="5561" w:type="dxa"/>
            <w:noWrap w:val="0"/>
            <w:vAlign w:val="center"/>
          </w:tcPr>
          <w:p w14:paraId="3E057662">
            <w:pPr>
              <w:snapToGrid w:val="0"/>
              <w:spacing w:line="20" w:lineRule="atLeast"/>
              <w:jc w:val="center"/>
              <w:rPr>
                <w:rFonts w:hint="default" w:ascii="宋体" w:hAnsi="宋体" w:eastAsia="宋体" w:cs="宋体"/>
                <w:bCs/>
                <w:color w:val="000000"/>
                <w:lang w:val="en-US" w:eastAsia="zh-CN"/>
              </w:rPr>
            </w:pPr>
            <w:r>
              <w:rPr>
                <w:rFonts w:hint="eastAsia" w:ascii="宋体" w:hAnsi="宋体" w:cs="宋体"/>
                <w:bCs/>
                <w:color w:val="000000"/>
                <w:lang w:val="en-US" w:eastAsia="zh-CN"/>
              </w:rPr>
              <w:t>评分项，详见第四章 评审办法</w:t>
            </w:r>
          </w:p>
        </w:tc>
      </w:tr>
      <w:tr w14:paraId="0D45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4D3A607">
            <w:pPr>
              <w:widowControl/>
              <w:spacing w:line="240" w:lineRule="auto"/>
              <w:jc w:val="center"/>
              <w:rPr>
                <w:rFonts w:hint="eastAsia" w:ascii="宋体" w:hAnsi="宋体" w:cs="宋体"/>
                <w:color w:val="000000"/>
              </w:rPr>
            </w:pPr>
            <w:r>
              <w:rPr>
                <w:rFonts w:hint="eastAsia" w:ascii="宋体" w:hAnsi="宋体" w:cs="宋体"/>
                <w:bCs/>
                <w:color w:val="000000"/>
                <w:kern w:val="0"/>
                <w:lang w:bidi="ar"/>
              </w:rPr>
              <w:t>无标识项</w:t>
            </w:r>
          </w:p>
        </w:tc>
        <w:tc>
          <w:tcPr>
            <w:tcW w:w="1365" w:type="dxa"/>
            <w:noWrap w:val="0"/>
            <w:vAlign w:val="center"/>
          </w:tcPr>
          <w:p w14:paraId="360E0045">
            <w:pPr>
              <w:spacing w:line="240" w:lineRule="auto"/>
              <w:jc w:val="center"/>
              <w:rPr>
                <w:rFonts w:hint="eastAsia" w:ascii="宋体" w:hAnsi="宋体" w:cs="宋体"/>
                <w:bCs/>
                <w:color w:val="000000"/>
              </w:rPr>
            </w:pPr>
          </w:p>
        </w:tc>
        <w:tc>
          <w:tcPr>
            <w:tcW w:w="5561" w:type="dxa"/>
            <w:noWrap w:val="0"/>
            <w:vAlign w:val="center"/>
          </w:tcPr>
          <w:p w14:paraId="3B976BF5">
            <w:pPr>
              <w:widowControl/>
              <w:spacing w:line="240" w:lineRule="auto"/>
              <w:jc w:val="center"/>
              <w:rPr>
                <w:rFonts w:hint="eastAsia" w:ascii="宋体" w:hAnsi="宋体" w:cs="宋体"/>
                <w:bCs/>
                <w:color w:val="000000"/>
              </w:rPr>
            </w:pPr>
            <w:r>
              <w:rPr>
                <w:rFonts w:hint="eastAsia" w:ascii="宋体" w:hAnsi="宋体" w:cs="宋体"/>
                <w:bCs/>
                <w:color w:val="000000"/>
                <w:lang w:val="en-US" w:eastAsia="zh-CN"/>
              </w:rPr>
              <w:t>评分项，详见第四章 评审办法</w:t>
            </w:r>
          </w:p>
        </w:tc>
      </w:tr>
      <w:tr w14:paraId="2425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720" w:type="dxa"/>
            <w:gridSpan w:val="3"/>
            <w:noWrap w:val="0"/>
            <w:vAlign w:val="center"/>
          </w:tcPr>
          <w:p w14:paraId="308944D2">
            <w:pPr>
              <w:spacing w:line="300" w:lineRule="auto"/>
              <w:rPr>
                <w:rFonts w:hint="eastAsia" w:ascii="宋体" w:hAnsi="宋体" w:cs="宋体"/>
                <w:b/>
                <w:bCs/>
                <w:color w:val="000000"/>
              </w:rPr>
            </w:pPr>
            <w:r>
              <w:rPr>
                <w:rFonts w:hint="eastAsia" w:ascii="宋体" w:hAnsi="宋体" w:cs="宋体"/>
                <w:b/>
                <w:bCs/>
                <w:color w:val="000000"/>
              </w:rPr>
              <w:t>注：如某项标识中包含多条技术参数或要求，则该项标识所含内容均需满足或优于采购文件要求，否则不予认可。</w:t>
            </w:r>
          </w:p>
        </w:tc>
      </w:tr>
    </w:tbl>
    <w:p w14:paraId="1EE618EB">
      <w:pPr>
        <w:widowControl/>
        <w:snapToGrid w:val="0"/>
        <w:ind w:firstLine="482" w:firstLineChars="200"/>
        <w:jc w:val="both"/>
        <w:outlineLvl w:val="2"/>
        <w:rPr>
          <w:rFonts w:hint="eastAsia" w:ascii="宋体" w:hAnsi="宋体" w:cs="宋体"/>
          <w:b/>
          <w:bCs/>
        </w:rPr>
      </w:pPr>
    </w:p>
    <w:p w14:paraId="510048EC">
      <w:pPr>
        <w:widowControl/>
        <w:snapToGrid w:val="0"/>
        <w:ind w:firstLine="482" w:firstLineChars="200"/>
        <w:jc w:val="both"/>
        <w:outlineLvl w:val="2"/>
        <w:rPr>
          <w:rFonts w:hint="eastAsia" w:ascii="宋体" w:hAnsi="宋体" w:cs="@仿宋_GB2312"/>
          <w:b/>
          <w:bCs/>
          <w:szCs w:val="18"/>
        </w:rPr>
      </w:pPr>
      <w:r>
        <w:rPr>
          <w:rFonts w:hint="eastAsia" w:ascii="宋体" w:hAnsi="宋体" w:cs="宋体"/>
          <w:b/>
          <w:bCs/>
        </w:rPr>
        <w:t>（二）货物需求表</w:t>
      </w:r>
    </w:p>
    <w:tbl>
      <w:tblPr>
        <w:tblStyle w:val="3"/>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20"/>
        <w:gridCol w:w="5899"/>
        <w:gridCol w:w="951"/>
      </w:tblGrid>
      <w:tr w14:paraId="604A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28" w:type="pct"/>
            <w:noWrap w:val="0"/>
            <w:vAlign w:val="center"/>
          </w:tcPr>
          <w:p w14:paraId="3F74E8A4">
            <w:pPr>
              <w:adjustRightInd w:val="0"/>
              <w:snapToGrid w:val="0"/>
              <w:jc w:val="center"/>
              <w:rPr>
                <w:rFonts w:hint="eastAsia" w:ascii="宋体" w:hAnsi="宋体" w:cs="宋体"/>
                <w:b/>
              </w:rPr>
            </w:pPr>
            <w:bookmarkStart w:id="3" w:name="_Toc4843"/>
            <w:bookmarkStart w:id="4" w:name="_Toc7421"/>
            <w:r>
              <w:rPr>
                <w:rFonts w:hint="eastAsia" w:ascii="宋体" w:hAnsi="宋体" w:cs="宋体"/>
                <w:b/>
              </w:rPr>
              <w:t>序号</w:t>
            </w:r>
          </w:p>
        </w:tc>
        <w:tc>
          <w:tcPr>
            <w:tcW w:w="642" w:type="pct"/>
            <w:noWrap w:val="0"/>
            <w:vAlign w:val="center"/>
          </w:tcPr>
          <w:p w14:paraId="420D9C19">
            <w:pPr>
              <w:adjustRightInd w:val="0"/>
              <w:snapToGrid w:val="0"/>
              <w:jc w:val="center"/>
              <w:rPr>
                <w:rFonts w:hint="eastAsia" w:ascii="宋体" w:hAnsi="宋体" w:cs="宋体"/>
                <w:b/>
              </w:rPr>
            </w:pPr>
            <w:r>
              <w:rPr>
                <w:rFonts w:hint="eastAsia" w:ascii="宋体" w:hAnsi="宋体" w:cs="宋体"/>
                <w:b/>
              </w:rPr>
              <w:t>名 称</w:t>
            </w:r>
          </w:p>
        </w:tc>
        <w:tc>
          <w:tcPr>
            <w:tcW w:w="3383" w:type="pct"/>
            <w:noWrap w:val="0"/>
            <w:vAlign w:val="center"/>
          </w:tcPr>
          <w:p w14:paraId="43DD7374">
            <w:pPr>
              <w:adjustRightInd w:val="0"/>
              <w:snapToGrid w:val="0"/>
              <w:jc w:val="center"/>
              <w:rPr>
                <w:rFonts w:hint="eastAsia" w:ascii="宋体" w:hAnsi="宋体" w:cs="宋体"/>
                <w:b/>
              </w:rPr>
            </w:pPr>
            <w:r>
              <w:rPr>
                <w:rFonts w:hint="eastAsia" w:ascii="宋体" w:hAnsi="宋体" w:cs="宋体"/>
                <w:b/>
              </w:rPr>
              <w:t>技术参数及要求</w:t>
            </w:r>
          </w:p>
        </w:tc>
        <w:tc>
          <w:tcPr>
            <w:tcW w:w="545" w:type="pct"/>
            <w:noWrap w:val="0"/>
            <w:vAlign w:val="center"/>
          </w:tcPr>
          <w:p w14:paraId="5B05C24A">
            <w:pPr>
              <w:adjustRightInd w:val="0"/>
              <w:snapToGrid w:val="0"/>
              <w:jc w:val="center"/>
              <w:rPr>
                <w:rFonts w:hint="eastAsia" w:ascii="宋体" w:hAnsi="宋体" w:cs="宋体"/>
                <w:b/>
              </w:rPr>
            </w:pPr>
            <w:r>
              <w:rPr>
                <w:rFonts w:hint="eastAsia" w:ascii="宋体" w:hAnsi="宋体" w:cs="宋体"/>
                <w:b/>
              </w:rPr>
              <w:t>数量</w:t>
            </w:r>
          </w:p>
        </w:tc>
      </w:tr>
      <w:tr w14:paraId="6C6C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28" w:type="pct"/>
            <w:noWrap w:val="0"/>
            <w:vAlign w:val="center"/>
          </w:tcPr>
          <w:p w14:paraId="7020ABCB">
            <w:pPr>
              <w:adjustRightInd w:val="0"/>
              <w:snapToGrid w:val="0"/>
              <w:jc w:val="center"/>
              <w:rPr>
                <w:rFonts w:hint="eastAsia" w:ascii="宋体" w:hAnsi="宋体" w:eastAsia="宋体" w:cs="宋体"/>
                <w:b/>
                <w:lang w:val="en-US" w:eastAsia="zh-CN"/>
              </w:rPr>
            </w:pPr>
            <w:r>
              <w:rPr>
                <w:rFonts w:hint="eastAsia" w:ascii="宋体" w:hAnsi="宋体" w:cs="宋体"/>
                <w:b/>
                <w:lang w:val="en-US" w:eastAsia="zh-CN"/>
              </w:rPr>
              <w:t>1</w:t>
            </w:r>
          </w:p>
        </w:tc>
        <w:tc>
          <w:tcPr>
            <w:tcW w:w="642" w:type="pct"/>
            <w:noWrap w:val="0"/>
            <w:vAlign w:val="center"/>
          </w:tcPr>
          <w:p w14:paraId="666B73E4">
            <w:pPr>
              <w:adjustRightInd w:val="0"/>
              <w:snapToGrid w:val="0"/>
              <w:jc w:val="center"/>
              <w:rPr>
                <w:rFonts w:hint="eastAsia" w:ascii="宋体" w:hAnsi="宋体" w:cs="宋体"/>
                <w:b/>
              </w:rPr>
            </w:pPr>
            <w:r>
              <w:rPr>
                <w:rFonts w:hint="eastAsia" w:ascii="宋体" w:hAnsi="宋体" w:cs="宋体"/>
                <w:b/>
              </w:rPr>
              <w:t>血浆解冻仪</w:t>
            </w:r>
          </w:p>
        </w:tc>
        <w:tc>
          <w:tcPr>
            <w:tcW w:w="3383" w:type="pct"/>
            <w:noWrap w:val="0"/>
            <w:vAlign w:val="center"/>
          </w:tcPr>
          <w:p w14:paraId="2064585B">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1.参数</w:t>
            </w:r>
          </w:p>
          <w:p w14:paraId="4B6EE768">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★（1）解冻模式：具有常规解冻、浮动终点、程序降温、手控解冻和急诊插入等多种解冻模式；</w:t>
            </w:r>
          </w:p>
          <w:p w14:paraId="5CA23F61">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（2）解冻方式：采用上下水箱恒温循环方式，其中下水箱容量≥60L,上水箱≥30L，每分钟热水循环≥2次；</w:t>
            </w:r>
          </w:p>
          <w:p w14:paraId="16CE0D1D">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（3）解冻量≥28袋（200ml）；全负荷解冻时间≤</w:t>
            </w:r>
            <w:r>
              <w:rPr>
                <w:rFonts w:hint="eastAsia" w:ascii="宋体" w:hAnsi="宋体" w:eastAsia="宋体" w:cs="Times New Roman"/>
                <w:bCs/>
                <w:kern w:val="2"/>
                <w:sz w:val="24"/>
                <w:szCs w:val="24"/>
                <w:lang w:val="en-US" w:eastAsia="zh-CN" w:bidi="ar"/>
              </w:rPr>
              <w:t>30分钟；</w:t>
            </w:r>
          </w:p>
          <w:p w14:paraId="100EF266">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（4）摆动频率：血浆解冻时解冻框的摆动频率≥25次/min；</w:t>
            </w:r>
          </w:p>
          <w:p w14:paraId="70F417EE">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（5）温度控制范围：常温</w:t>
            </w:r>
            <w:r>
              <w:rPr>
                <w:rFonts w:hint="eastAsia" w:ascii="宋体" w:hAnsi="宋体" w:eastAsia="宋体" w:cs="Times New Roman"/>
                <w:bCs/>
                <w:kern w:val="2"/>
                <w:sz w:val="24"/>
                <w:szCs w:val="24"/>
                <w:lang w:val="en-US" w:eastAsia="zh-CN" w:bidi="ar"/>
              </w:rPr>
              <w:t>~41℃，控制精度±1℃；</w:t>
            </w:r>
          </w:p>
          <w:p w14:paraId="3D6037F2">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（6）水温监控：加热水箱及解冻工作水箱均有独立的水温监控探头，当加热水箱与解冻水箱温差超过±1℃，仪器自动停止工作并且有报警提示；</w:t>
            </w:r>
          </w:p>
          <w:p w14:paraId="48E6F138">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★（7）血浆解冻质控方式：采用模拟血浆质控袋方式，模拟血浆质控袋内置温控探头，并将所探测采集温度变化信息上传保存；</w:t>
            </w:r>
          </w:p>
          <w:p w14:paraId="23B1663B">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（8）清洗</w:t>
            </w:r>
            <w:r>
              <w:rPr>
                <w:rFonts w:hint="eastAsia" w:ascii="宋体" w:hAnsi="宋体" w:eastAsia="宋体" w:cs="Times New Roman"/>
                <w:bCs/>
                <w:kern w:val="2"/>
                <w:sz w:val="24"/>
                <w:szCs w:val="24"/>
                <w:lang w:val="en-US" w:eastAsia="zh-CN" w:bidi="ar"/>
              </w:rPr>
              <w:t>:可自动注水、预热、加温、排水，</w:t>
            </w:r>
            <w:r>
              <w:rPr>
                <w:rFonts w:hint="eastAsia" w:ascii="宋体" w:hAnsi="宋体" w:eastAsia="宋体" w:cs="宋体"/>
                <w:bCs/>
                <w:kern w:val="2"/>
                <w:sz w:val="24"/>
                <w:szCs w:val="24"/>
                <w:lang w:val="en-US" w:eastAsia="zh-CN" w:bidi="ar"/>
              </w:rPr>
              <w:t>具备循环清洗、自动净化功能；</w:t>
            </w:r>
          </w:p>
          <w:p w14:paraId="6EB7C0D8">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（9）解冻数据采集：核心温度的采集时间为每分钟采集一次；</w:t>
            </w:r>
          </w:p>
          <w:p w14:paraId="52C385BB">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lang w:val="en-US" w:eastAsia="zh-CN"/>
              </w:rPr>
            </w:pPr>
            <w:r>
              <w:rPr>
                <w:rFonts w:hint="eastAsia" w:ascii="宋体" w:hAnsi="宋体" w:eastAsia="宋体" w:cs="宋体"/>
                <w:bCs/>
                <w:kern w:val="2"/>
                <w:sz w:val="24"/>
                <w:szCs w:val="24"/>
                <w:lang w:val="en-US" w:eastAsia="zh-CN" w:bidi="ar"/>
              </w:rPr>
              <w:t>（10）解冻数据记录存储：设备自带数据储存功能、容量≥</w:t>
            </w:r>
            <w:r>
              <w:rPr>
                <w:rFonts w:hint="eastAsia" w:ascii="宋体" w:hAnsi="宋体" w:eastAsia="宋体" w:cs="Times New Roman"/>
                <w:bCs/>
                <w:kern w:val="2"/>
                <w:sz w:val="24"/>
                <w:szCs w:val="24"/>
                <w:lang w:val="en-US" w:eastAsia="zh-CN" w:bidi="ar"/>
              </w:rPr>
              <w:t>4G,能记录处理并存储数据</w:t>
            </w:r>
            <w:r>
              <w:rPr>
                <w:rFonts w:hint="eastAsia" w:ascii="宋体" w:hAnsi="宋体" w:eastAsia="宋体" w:cs="宋体"/>
                <w:bCs/>
                <w:kern w:val="2"/>
                <w:sz w:val="24"/>
                <w:szCs w:val="24"/>
                <w:lang w:val="en-US" w:eastAsia="zh-CN" w:bidi="ar"/>
              </w:rPr>
              <w:t>≥</w:t>
            </w:r>
            <w:r>
              <w:rPr>
                <w:rFonts w:hint="eastAsia" w:ascii="宋体" w:hAnsi="宋体" w:eastAsia="宋体" w:cs="Times New Roman"/>
                <w:bCs/>
                <w:kern w:val="2"/>
                <w:sz w:val="24"/>
                <w:szCs w:val="24"/>
                <w:lang w:val="en-US" w:eastAsia="zh-CN" w:bidi="ar"/>
              </w:rPr>
              <w:t>2000组；且解冻信息数据能以无线发射方式即时上传至电脑端以及大数据系</w:t>
            </w:r>
            <w:r>
              <w:rPr>
                <w:rFonts w:hint="eastAsia"/>
                <w:lang w:val="en-US" w:eastAsia="zh-CN"/>
              </w:rPr>
              <w:t>统；</w:t>
            </w:r>
          </w:p>
          <w:p w14:paraId="5AF97169">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★（11）数字化操作系统：微电脑触摸屏操作，实时显示解冻水温及模拟血浆袋核心温度随时间的变化曲线；</w:t>
            </w:r>
          </w:p>
          <w:p w14:paraId="39774E48">
            <w:pPr>
              <w:keepNext w:val="0"/>
              <w:keepLines w:val="0"/>
              <w:widowControl w:val="0"/>
              <w:suppressLineNumbers w:val="0"/>
              <w:wordWrap w:val="0"/>
              <w:spacing w:before="0" w:beforeAutospacing="0" w:after="0" w:afterAutospacing="0"/>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★（12）解冻框：解冻仪工作水箱须配备解冻框，其材质须为不锈钢材质；</w:t>
            </w:r>
          </w:p>
          <w:p w14:paraId="2C84F026">
            <w:pPr>
              <w:adjustRightInd w:val="0"/>
              <w:snapToGrid w:val="0"/>
              <w:jc w:val="left"/>
              <w:rPr>
                <w:rFonts w:hint="eastAsia" w:ascii="宋体" w:hAnsi="宋体" w:cs="宋体"/>
                <w:b/>
              </w:rPr>
            </w:pPr>
            <w:r>
              <w:rPr>
                <w:rFonts w:hint="eastAsia" w:ascii="宋体" w:hAnsi="宋体" w:eastAsia="宋体" w:cs="宋体"/>
                <w:bCs/>
                <w:kern w:val="2"/>
                <w:sz w:val="24"/>
                <w:szCs w:val="24"/>
                <w:lang w:val="en-US" w:eastAsia="zh-CN" w:bidi="ar"/>
              </w:rPr>
              <w:t>（13）解冻卡位：解冻框内有格栅式的独立解冻卡位。</w:t>
            </w:r>
          </w:p>
        </w:tc>
        <w:tc>
          <w:tcPr>
            <w:tcW w:w="545" w:type="pct"/>
            <w:noWrap w:val="0"/>
            <w:vAlign w:val="center"/>
          </w:tcPr>
          <w:p w14:paraId="130F413E">
            <w:pPr>
              <w:adjustRightInd w:val="0"/>
              <w:snapToGrid w:val="0"/>
              <w:jc w:val="center"/>
              <w:rPr>
                <w:rFonts w:hint="default" w:ascii="宋体" w:hAnsi="宋体" w:eastAsia="宋体" w:cs="宋体"/>
                <w:b/>
                <w:lang w:val="en-US" w:eastAsia="zh-CN"/>
              </w:rPr>
            </w:pPr>
            <w:r>
              <w:rPr>
                <w:rFonts w:hint="eastAsia" w:ascii="宋体" w:hAnsi="宋体" w:cs="宋体"/>
                <w:b/>
                <w:lang w:val="en-US" w:eastAsia="zh-CN"/>
              </w:rPr>
              <w:t>1台</w:t>
            </w:r>
          </w:p>
        </w:tc>
      </w:tr>
    </w:tbl>
    <w:p w14:paraId="60F7E7A4">
      <w:pPr>
        <w:ind w:firstLine="437"/>
        <w:jc w:val="both"/>
        <w:outlineLvl w:val="1"/>
        <w:rPr>
          <w:rFonts w:hint="eastAsia" w:ascii="宋体" w:hAnsi="宋体" w:cs="@仿宋_GB2312"/>
          <w:b/>
          <w:bCs/>
          <w:szCs w:val="18"/>
        </w:rPr>
      </w:pPr>
    </w:p>
    <w:bookmarkEnd w:id="3"/>
    <w:bookmarkEnd w:id="4"/>
    <w:p w14:paraId="461E1056">
      <w:pPr>
        <w:ind w:firstLine="437"/>
        <w:jc w:val="both"/>
        <w:outlineLvl w:val="1"/>
        <w:rPr>
          <w:rFonts w:hint="eastAsia" w:ascii="宋体" w:hAnsi="宋体" w:cs="@仿宋_GB2312"/>
          <w:b/>
          <w:bCs/>
          <w:szCs w:val="18"/>
        </w:rPr>
      </w:pPr>
      <w:r>
        <w:rPr>
          <w:rFonts w:hint="eastAsia" w:ascii="宋体" w:hAnsi="宋体" w:cs="@仿宋_GB2312"/>
          <w:b/>
          <w:bCs/>
          <w:szCs w:val="18"/>
        </w:rPr>
        <w:t>三、报价要求</w:t>
      </w:r>
    </w:p>
    <w:p w14:paraId="796B19A7">
      <w:pPr>
        <w:ind w:firstLine="437"/>
        <w:jc w:val="both"/>
        <w:outlineLvl w:val="1"/>
        <w:rPr>
          <w:rFonts w:ascii="宋体" w:hAnsi="宋体" w:cs="@仿宋_GB2312"/>
          <w:szCs w:val="18"/>
        </w:rPr>
      </w:pPr>
      <w:r>
        <w:rPr>
          <w:rFonts w:hint="eastAsia" w:ascii="宋体" w:hAnsi="宋体" w:cs="@仿宋_GB2312"/>
          <w:szCs w:val="18"/>
        </w:rPr>
        <w:t>本项目报总价，报价包含完成项目所需的一切费用（供应商负责所购全部产品的购置、包装、运输、人工、保险、安装、调试、各种税费、资料、售后服务及项目应有的全部工作）。</w:t>
      </w:r>
    </w:p>
    <w:p w14:paraId="3959D88B">
      <w:pPr>
        <w:rPr>
          <w:rFonts w:ascii="宋体" w:hAnsi="宋体" w:cs="宋体"/>
          <w:b/>
          <w:sz w:val="21"/>
          <w:szCs w:val="21"/>
        </w:rPr>
      </w:pPr>
    </w:p>
    <w:p w14:paraId="7C35E339">
      <w:pPr>
        <w:rPr>
          <w:rFonts w:ascii="宋体" w:hAnsi="宋体" w:cs="宋体"/>
          <w:b/>
          <w:color w:val="FF0000"/>
          <w:sz w:val="21"/>
          <w:szCs w:val="21"/>
        </w:rPr>
      </w:pPr>
      <w:r>
        <w:rPr>
          <w:rFonts w:hint="eastAsia" w:ascii="宋体" w:hAnsi="宋体" w:cs="宋体"/>
          <w:b/>
          <w:color w:val="FF0000"/>
          <w:sz w:val="21"/>
          <w:szCs w:val="21"/>
        </w:rPr>
        <w:t>特别提示：</w:t>
      </w:r>
    </w:p>
    <w:p w14:paraId="59EA3025">
      <w:pPr>
        <w:rPr>
          <w:rFonts w:ascii="宋体" w:hAnsi="宋体" w:cs="宋体"/>
          <w:b/>
          <w:color w:val="FF0000"/>
          <w:sz w:val="21"/>
          <w:szCs w:val="21"/>
        </w:rPr>
      </w:pPr>
      <w:r>
        <w:rPr>
          <w:rFonts w:hint="eastAsia" w:ascii="宋体" w:hAnsi="宋体" w:cs="宋体"/>
          <w:b/>
          <w:color w:val="FF0000"/>
          <w:sz w:val="21"/>
          <w:szCs w:val="21"/>
        </w:rPr>
        <w:t>要求：以下条款如供应商参与响应，视为供应商自动响应。</w:t>
      </w:r>
    </w:p>
    <w:p w14:paraId="49E464F7">
      <w:pPr>
        <w:ind w:firstLine="413" w:firstLineChars="196"/>
        <w:rPr>
          <w:rFonts w:ascii="宋体" w:hAnsi="宋体" w:cs="宋体"/>
          <w:b/>
          <w:sz w:val="21"/>
          <w:szCs w:val="21"/>
        </w:rPr>
      </w:pPr>
      <w:r>
        <w:rPr>
          <w:rFonts w:hint="eastAsia" w:ascii="宋体" w:hAnsi="宋体" w:cs="宋体"/>
          <w:b/>
          <w:sz w:val="21"/>
          <w:szCs w:val="21"/>
        </w:rPr>
        <w:t>1、按照采购需求提供配置清单，标明品牌、型号、产地、数量等并分项报价；</w:t>
      </w:r>
    </w:p>
    <w:p w14:paraId="74B96350">
      <w:pPr>
        <w:ind w:firstLine="413" w:firstLineChars="196"/>
        <w:rPr>
          <w:rFonts w:ascii="宋体" w:hAnsi="宋体" w:cs="宋体"/>
          <w:b/>
          <w:sz w:val="21"/>
          <w:szCs w:val="21"/>
        </w:rPr>
      </w:pPr>
      <w:r>
        <w:rPr>
          <w:rFonts w:hint="eastAsia" w:ascii="宋体" w:hAnsi="宋体" w:cs="宋体"/>
          <w:b/>
          <w:sz w:val="21"/>
          <w:szCs w:val="21"/>
        </w:rPr>
        <w:t>2、提供产品日常使用的所有配套专用耗材清单，确保产品正常使用。须标明品牌、型号、产地、规格、最小供货单位等并分项报价，报价不计入响应总价。在成交后如发现有漏报、瞒报的配套专用耗材，一律视为已包含在成交总价内，不得以赠送形式向采购人提供产品及服务。耗材供应期按照医院相关耗材管理规定执行；</w:t>
      </w:r>
    </w:p>
    <w:p w14:paraId="0E6834F2">
      <w:pPr>
        <w:ind w:firstLine="413" w:firstLineChars="196"/>
        <w:rPr>
          <w:rFonts w:ascii="宋体" w:hAnsi="宋体" w:cs="宋体"/>
          <w:b/>
          <w:sz w:val="21"/>
          <w:szCs w:val="21"/>
        </w:rPr>
      </w:pPr>
      <w:r>
        <w:rPr>
          <w:rFonts w:hint="eastAsia" w:ascii="宋体" w:hAnsi="宋体" w:cs="宋体"/>
          <w:b/>
          <w:sz w:val="21"/>
          <w:szCs w:val="21"/>
        </w:rPr>
        <w:t>3、说明是否需要其他设备配套使用，请列出配套设备名称、数量等，如未说明一律视为已包含在响应总价内；</w:t>
      </w:r>
    </w:p>
    <w:p w14:paraId="48FAB258">
      <w:pPr>
        <w:ind w:firstLine="413" w:firstLineChars="196"/>
        <w:rPr>
          <w:rFonts w:ascii="宋体" w:hAnsi="宋体" w:cs="宋体"/>
          <w:b/>
          <w:sz w:val="21"/>
          <w:szCs w:val="21"/>
        </w:rPr>
      </w:pPr>
      <w:r>
        <w:rPr>
          <w:rFonts w:ascii="宋体" w:hAnsi="宋体" w:cs="宋体"/>
          <w:b/>
          <w:sz w:val="21"/>
          <w:szCs w:val="21"/>
        </w:rPr>
        <w:t>4</w:t>
      </w:r>
      <w:r>
        <w:rPr>
          <w:rFonts w:hint="eastAsia" w:ascii="宋体" w:hAnsi="宋体" w:cs="宋体"/>
          <w:b/>
          <w:sz w:val="21"/>
          <w:szCs w:val="21"/>
        </w:rPr>
        <w:t>、供应商及产品须资质、证照齐全且在有效期内，如确无注册证的产品，须提供官方说明材料；</w:t>
      </w:r>
    </w:p>
    <w:p w14:paraId="6A302E32">
      <w:pPr>
        <w:ind w:firstLine="413" w:firstLineChars="196"/>
        <w:rPr>
          <w:rFonts w:ascii="宋体" w:hAnsi="宋体" w:cs="宋体"/>
          <w:b/>
          <w:sz w:val="21"/>
          <w:szCs w:val="21"/>
        </w:rPr>
      </w:pPr>
      <w:r>
        <w:rPr>
          <w:rFonts w:ascii="宋体" w:hAnsi="宋体" w:cs="宋体"/>
          <w:b/>
          <w:sz w:val="21"/>
          <w:szCs w:val="21"/>
        </w:rPr>
        <w:t>5</w:t>
      </w:r>
      <w:r>
        <w:rPr>
          <w:rFonts w:hint="eastAsia" w:ascii="宋体" w:hAnsi="宋体" w:cs="宋体"/>
          <w:b/>
          <w:sz w:val="21"/>
          <w:szCs w:val="21"/>
        </w:rPr>
        <w:t>、若属安徽省医用耗材政策管理范围内产品，需满足相关要求（如“集采”、“两票制”等）；若为集采管理范围内产品，需在集采目录中，同类产品原则上选择限价产品，同类无替代选择备案产品；</w:t>
      </w:r>
    </w:p>
    <w:p w14:paraId="27EB7F5C">
      <w:pPr>
        <w:ind w:firstLine="413" w:firstLineChars="196"/>
        <w:rPr>
          <w:rFonts w:ascii="宋体" w:hAnsi="宋体" w:cs="宋体"/>
          <w:b/>
          <w:sz w:val="21"/>
          <w:szCs w:val="21"/>
        </w:rPr>
      </w:pPr>
      <w:r>
        <w:rPr>
          <w:rFonts w:ascii="宋体" w:hAnsi="宋体" w:cs="宋体"/>
          <w:b/>
          <w:sz w:val="21"/>
          <w:szCs w:val="21"/>
        </w:rPr>
        <w:t>6</w:t>
      </w:r>
      <w:r>
        <w:rPr>
          <w:rFonts w:hint="eastAsia" w:ascii="宋体" w:hAnsi="宋体" w:cs="宋体"/>
          <w:b/>
          <w:sz w:val="21"/>
          <w:szCs w:val="21"/>
        </w:rPr>
        <w:t>、</w:t>
      </w:r>
      <w:r>
        <w:rPr>
          <w:rFonts w:hint="eastAsia" w:ascii="宋体" w:hAnsi="宋体" w:cs="宋体"/>
          <w:b/>
          <w:bCs/>
          <w:sz w:val="21"/>
          <w:szCs w:val="21"/>
        </w:rPr>
        <w:t>成交人须将供应的医用物资包括但不限于医用耗材、检验试剂、后勤物资等，纳入采购人医用物资SPD智慧物流管理模式进行一元化管理，与采购人SPD服务商签订服务协议并承担相关的服务费。其中医用耗材、试剂的具体服务费率由成交人与SPD服务商协商，服务费率不高于医院与SPD服务商约定的收费标准（现行服务费率为供货金额的1%，如后期采购人与SPD服务商约定的服务费率发生变动，以采购人与SPD服务商签订合同约定的服务费率为准）；后勤物资等其他物资，成交人无需承担服务费。如成交人不予配合，采购人有权终止与成交人的医用物资供应关系或选择备选医用物资成交人</w:t>
      </w:r>
      <w:r>
        <w:rPr>
          <w:rFonts w:hint="eastAsia" w:ascii="宋体" w:hAnsi="宋体" w:cs="宋体"/>
          <w:b/>
          <w:sz w:val="21"/>
          <w:szCs w:val="21"/>
        </w:rPr>
        <w:t>；</w:t>
      </w:r>
    </w:p>
    <w:p w14:paraId="40040AF5">
      <w:pPr>
        <w:ind w:firstLine="413" w:firstLineChars="196"/>
        <w:rPr>
          <w:rFonts w:ascii="宋体" w:hAnsi="宋体" w:cs="宋体"/>
          <w:b/>
          <w:sz w:val="21"/>
          <w:szCs w:val="21"/>
        </w:rPr>
      </w:pPr>
      <w:r>
        <w:rPr>
          <w:rFonts w:ascii="宋体" w:hAnsi="宋体" w:cs="宋体"/>
          <w:b/>
          <w:sz w:val="21"/>
          <w:szCs w:val="21"/>
        </w:rPr>
        <w:t>7</w:t>
      </w:r>
      <w:r>
        <w:rPr>
          <w:rFonts w:hint="eastAsia" w:ascii="宋体" w:hAnsi="宋体" w:cs="宋体"/>
          <w:b/>
          <w:sz w:val="21"/>
          <w:szCs w:val="21"/>
        </w:rPr>
        <w:t>、根据医保政策，可单独收费医用耗材请提供安徽医保局下发的27位医保编码，并按编码进行报价；</w:t>
      </w:r>
    </w:p>
    <w:p w14:paraId="5189788D">
      <w:pPr>
        <w:wordWrap w:val="0"/>
        <w:ind w:firstLine="422" w:firstLineChars="200"/>
        <w:rPr>
          <w:rFonts w:ascii="宋体" w:hAnsi="宋体" w:cs="宋体"/>
          <w:b/>
          <w:sz w:val="21"/>
          <w:szCs w:val="21"/>
        </w:rPr>
      </w:pPr>
      <w:r>
        <w:rPr>
          <w:rFonts w:ascii="宋体" w:hAnsi="宋体" w:cs="宋体"/>
          <w:b/>
          <w:sz w:val="21"/>
          <w:szCs w:val="21"/>
        </w:rPr>
        <w:t>8</w:t>
      </w:r>
      <w:r>
        <w:rPr>
          <w:rFonts w:hint="eastAsia" w:ascii="宋体" w:hAnsi="宋体" w:cs="宋体"/>
          <w:b/>
          <w:sz w:val="21"/>
          <w:szCs w:val="21"/>
        </w:rPr>
        <w:t>、需长期供应的医用耗材及试剂产品，成交后合同期内不得变更配送公司，否则取消该品牌成交资格。响应文件中生产厂家须出具长期授权函，并提供合同期内不变更配送公司的承诺函，如不提供的评审小组有权按无效参选处理。</w:t>
      </w:r>
    </w:p>
    <w:p w14:paraId="3314D45A">
      <w:pPr>
        <w:wordWrap w:val="0"/>
        <w:ind w:firstLine="422" w:firstLineChars="200"/>
        <w:rPr>
          <w:rFonts w:ascii="宋体" w:hAnsi="宋体" w:cs="宋体"/>
          <w:b/>
          <w:sz w:val="21"/>
          <w:szCs w:val="21"/>
        </w:rPr>
      </w:pPr>
      <w:r>
        <w:rPr>
          <w:rFonts w:ascii="宋体" w:hAnsi="宋体" w:cs="宋体"/>
          <w:b/>
          <w:sz w:val="21"/>
          <w:szCs w:val="21"/>
        </w:rPr>
        <w:t>9</w:t>
      </w:r>
      <w:r>
        <w:rPr>
          <w:rFonts w:hint="eastAsia" w:ascii="宋体" w:hAnsi="宋体" w:cs="宋体"/>
          <w:b/>
          <w:sz w:val="21"/>
          <w:szCs w:val="21"/>
        </w:rPr>
        <w:t>、医用耗材及配套使用的工具按医院规定需要消毒的，其相关费用由供应商自行承担。</w:t>
      </w:r>
    </w:p>
    <w:p w14:paraId="63194B35">
      <w:pPr>
        <w:wordWrap w:val="0"/>
        <w:ind w:firstLine="422" w:firstLineChars="200"/>
        <w:rPr>
          <w:rFonts w:ascii="宋体" w:hAnsi="宋体" w:cs="宋体"/>
          <w:b/>
          <w:sz w:val="21"/>
          <w:szCs w:val="21"/>
        </w:rPr>
      </w:pPr>
      <w:r>
        <w:rPr>
          <w:rFonts w:ascii="宋体" w:hAnsi="宋体" w:cs="宋体"/>
          <w:b/>
          <w:sz w:val="21"/>
          <w:szCs w:val="21"/>
        </w:rPr>
        <w:t>10</w:t>
      </w:r>
      <w:r>
        <w:rPr>
          <w:rFonts w:hint="eastAsia" w:ascii="宋体" w:hAnsi="宋体" w:cs="宋体"/>
          <w:b/>
          <w:sz w:val="21"/>
          <w:szCs w:val="21"/>
        </w:rPr>
        <w:t>、检验试剂项目和需配套检验试剂使用的检验设备项目，均须免费提供同品牌或第三方符合溯源要求的质控品。</w:t>
      </w:r>
    </w:p>
    <w:p w14:paraId="295DB2A1">
      <w:pPr>
        <w:wordWrap w:val="0"/>
        <w:ind w:firstLine="422" w:firstLineChars="200"/>
        <w:rPr>
          <w:rFonts w:ascii="宋体" w:hAnsi="宋体" w:cs="宋体"/>
          <w:b/>
          <w:sz w:val="21"/>
          <w:szCs w:val="21"/>
        </w:rPr>
      </w:pPr>
      <w:r>
        <w:rPr>
          <w:rFonts w:ascii="宋体" w:hAnsi="宋体" w:cs="宋体"/>
          <w:b/>
          <w:sz w:val="21"/>
          <w:szCs w:val="21"/>
        </w:rPr>
        <w:t>11</w:t>
      </w:r>
      <w:r>
        <w:rPr>
          <w:rFonts w:hint="eastAsia" w:ascii="宋体" w:hAnsi="宋体" w:cs="宋体"/>
          <w:b/>
          <w:sz w:val="21"/>
          <w:szCs w:val="21"/>
        </w:rPr>
        <w:t>、</w:t>
      </w:r>
      <w:bookmarkStart w:id="5" w:name="OLE_LINK13"/>
      <w:r>
        <w:rPr>
          <w:rFonts w:hint="eastAsia" w:ascii="宋体" w:hAnsi="宋体" w:cs="宋体"/>
          <w:b/>
          <w:sz w:val="21"/>
          <w:szCs w:val="21"/>
        </w:rPr>
        <w:t>供应商</w:t>
      </w:r>
      <w:bookmarkEnd w:id="5"/>
      <w:r>
        <w:rPr>
          <w:rFonts w:hint="eastAsia" w:ascii="宋体" w:hAnsi="宋体" w:cs="宋体"/>
          <w:b/>
          <w:sz w:val="21"/>
          <w:szCs w:val="21"/>
        </w:rPr>
        <w:t>需无条件接受因国家及安徽省相关政策（如医用耗材带量采购等）对比选结果带来的变动，供应商不得提出异议。</w:t>
      </w:r>
    </w:p>
    <w:p w14:paraId="721FE37D">
      <w:pPr>
        <w:wordWrap w:val="0"/>
        <w:ind w:firstLine="422" w:firstLineChars="200"/>
        <w:rPr>
          <w:rFonts w:ascii="宋体" w:hAnsi="宋体" w:cs="宋体"/>
          <w:b/>
          <w:sz w:val="21"/>
          <w:szCs w:val="21"/>
        </w:rPr>
      </w:pPr>
      <w:r>
        <w:rPr>
          <w:rFonts w:ascii="宋体" w:hAnsi="宋体" w:cs="宋体"/>
          <w:b/>
          <w:sz w:val="21"/>
          <w:szCs w:val="21"/>
        </w:rPr>
        <w:t>12</w:t>
      </w:r>
      <w:r>
        <w:rPr>
          <w:rFonts w:hint="eastAsia" w:ascii="宋体" w:hAnsi="宋体" w:cs="宋体"/>
          <w:b/>
          <w:sz w:val="21"/>
          <w:szCs w:val="21"/>
        </w:rPr>
        <w:t>、供应商须保证此次参选产品，响应价格不得高于安徽省医药集中采购平台交易目录最高限价；后期安徽省医药集中采购平台交易目录最高限价如有降价，成交产品的成交人应于7个工作日内书面通知采购人启动协商程序。</w:t>
      </w:r>
    </w:p>
    <w:p w14:paraId="53586EA7">
      <w:pPr>
        <w:wordWrap w:val="0"/>
        <w:ind w:firstLine="422" w:firstLineChars="200"/>
        <w:rPr>
          <w:rFonts w:ascii="宋体" w:hAnsi="宋体" w:cs="宋体"/>
          <w:b/>
          <w:sz w:val="21"/>
          <w:szCs w:val="21"/>
        </w:rPr>
      </w:pPr>
      <w:r>
        <w:rPr>
          <w:rFonts w:hint="eastAsia" w:ascii="宋体" w:hAnsi="宋体" w:cs="宋体"/>
          <w:b/>
          <w:sz w:val="21"/>
          <w:szCs w:val="21"/>
        </w:rPr>
        <w:t>1</w:t>
      </w:r>
      <w:r>
        <w:rPr>
          <w:rFonts w:ascii="宋体" w:hAnsi="宋体" w:cs="宋体"/>
          <w:b/>
          <w:sz w:val="21"/>
          <w:szCs w:val="21"/>
        </w:rPr>
        <w:t>3</w:t>
      </w:r>
      <w:r>
        <w:rPr>
          <w:rFonts w:hint="eastAsia" w:ascii="宋体" w:hAnsi="宋体" w:cs="宋体"/>
          <w:b/>
          <w:sz w:val="21"/>
          <w:szCs w:val="21"/>
        </w:rPr>
        <w:t>、按收费价格费率投标的检验项目，如后期收费价格下调，试剂供货价格须按成交费率同比例下浮。</w:t>
      </w:r>
    </w:p>
    <w:p w14:paraId="6C8EAF62">
      <w:pPr>
        <w:ind w:firstLine="411" w:firstLineChars="196"/>
        <w:rPr>
          <w:rFonts w:ascii="宋体" w:hAnsi="宋体"/>
          <w:b/>
          <w:sz w:val="21"/>
          <w:szCs w:val="21"/>
        </w:rPr>
      </w:pPr>
      <w:r>
        <w:rPr>
          <w:rFonts w:hint="eastAsia" w:ascii="宋体" w:hAnsi="宋体" w:cs="宋体"/>
          <w:sz w:val="21"/>
          <w:szCs w:val="21"/>
        </w:rPr>
        <w:t>备注：请列出易损件，耗材及其他相关产品清单，并注明编码报价</w:t>
      </w:r>
      <w:r>
        <w:rPr>
          <w:rFonts w:hint="eastAsia" w:ascii="宋体" w:hAnsi="宋体" w:cs="宋体"/>
          <w:sz w:val="21"/>
          <w:szCs w:val="21"/>
          <w:lang w:eastAsia="zh-CN"/>
        </w:rPr>
        <w:t>。</w:t>
      </w:r>
    </w:p>
    <w:p w14:paraId="47F598BA">
      <w:pPr>
        <w:ind w:firstLine="437"/>
        <w:jc w:val="both"/>
        <w:outlineLvl w:val="1"/>
        <w:rPr>
          <w:rFonts w:hint="eastAsia" w:ascii="宋体" w:hAnsi="宋体" w:cs="@仿宋_GB2312"/>
          <w:szCs w:val="18"/>
        </w:rPr>
      </w:pPr>
    </w:p>
    <w:bookmarkEnd w:id="2"/>
    <w:p w14:paraId="0A903A96">
      <w:bookmarkStart w:id="6" w:name="_GoBack"/>
      <w:bookmarkEnd w:id="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A06A6"/>
    <w:rsid w:val="1B2A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tabs>
        <w:tab w:val="left" w:pos="420"/>
      </w:tabs>
      <w:spacing w:line="500" w:lineRule="exact"/>
      <w:ind w:left="420" w:hanging="420"/>
      <w:outlineLvl w:val="0"/>
    </w:pPr>
    <w:rPr>
      <w:b/>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2026-06-30T07:11:00Z</dcterms:created>
  <dc:creator>汪宪宜</dc:creator>
  <cp:lastModifiedBy>汪宪宜</cp:lastModifiedBy>
  <dcterms:modified xsi:type="dcterms:W3CDTF">2026-06-30T07:12:06Z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ABA4C7E4E87E40188DF472CB4CADE69C_11</vt:lpwstr>
  </property>
  <property fmtid="{D5CDD505-2E9C-101B-9397-08002B2CF9AE}" pid="4" name="KSOTemplateDocerSaveRecord">
    <vt:lpwstr>eyJoZGlkIjoiZWUyOTQ1NDM2Zjc0YjU0MjZhMWI3YTAyMzgxNTM2MDQiLCJ1c2VySWQiOiI0NjEyMTI0ODEifQ==</vt:lpwstr>
  </property>
</Properties>
</file>