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D9F1">
      <w:pPr>
        <w:pStyle w:val="6"/>
        <w:numPr>
          <w:numId w:val="0"/>
        </w:numPr>
        <w:spacing w:before="240" w:after="240"/>
        <w:ind w:left="1418" w:leftChars="0" w:firstLine="321" w:firstLineChars="100"/>
        <w:jc w:val="center"/>
        <w:rPr>
          <w:sz w:val="32"/>
          <w:szCs w:val="32"/>
        </w:rPr>
      </w:pPr>
      <w:bookmarkStart w:id="2" w:name="_GoBack"/>
      <w:bookmarkEnd w:id="2"/>
      <w:bookmarkStart w:id="0" w:name="_Toc6891"/>
      <w:r>
        <w:rPr>
          <w:rFonts w:hint="eastAsia"/>
          <w:sz w:val="32"/>
          <w:szCs w:val="32"/>
        </w:rPr>
        <w:t>采购需求</w:t>
      </w:r>
      <w:bookmarkEnd w:id="0"/>
    </w:p>
    <w:p w14:paraId="1AC76202">
      <w:pPr>
        <w:spacing w:line="360" w:lineRule="auto"/>
        <w:rPr>
          <w:rFonts w:ascii="宋体" w:hAnsi="宋体" w:cs="宋体"/>
          <w:b/>
          <w:bCs/>
          <w:szCs w:val="24"/>
        </w:rPr>
      </w:pPr>
      <w:bookmarkStart w:id="1" w:name="_Toc481227638"/>
    </w:p>
    <w:p w14:paraId="3ACB8251">
      <w:pPr>
        <w:pStyle w:val="7"/>
        <w:ind w:firstLine="0" w:firstLineChars="0"/>
        <w:rPr>
          <w:rFonts w:ascii="宋体" w:hAnsi="宋体" w:cs="宋体"/>
          <w:szCs w:val="24"/>
        </w:rPr>
      </w:pP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055"/>
        <w:gridCol w:w="5926"/>
        <w:gridCol w:w="511"/>
        <w:gridCol w:w="514"/>
      </w:tblGrid>
      <w:tr w14:paraId="6891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noWrap w:val="0"/>
            <w:vAlign w:val="center"/>
          </w:tcPr>
          <w:p w14:paraId="4279851D">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序号</w:t>
            </w:r>
          </w:p>
        </w:tc>
        <w:tc>
          <w:tcPr>
            <w:tcW w:w="619" w:type="pct"/>
            <w:noWrap w:val="0"/>
            <w:vAlign w:val="center"/>
          </w:tcPr>
          <w:p w14:paraId="55CAA77E">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名称</w:t>
            </w:r>
          </w:p>
        </w:tc>
        <w:tc>
          <w:tcPr>
            <w:tcW w:w="3477" w:type="pct"/>
            <w:noWrap w:val="0"/>
            <w:vAlign w:val="center"/>
          </w:tcPr>
          <w:p w14:paraId="43A70D71">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技术参数</w:t>
            </w:r>
          </w:p>
        </w:tc>
        <w:tc>
          <w:tcPr>
            <w:tcW w:w="300" w:type="pct"/>
            <w:noWrap w:val="0"/>
            <w:vAlign w:val="center"/>
          </w:tcPr>
          <w:p w14:paraId="3513B3BF">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单位</w:t>
            </w:r>
          </w:p>
        </w:tc>
        <w:tc>
          <w:tcPr>
            <w:tcW w:w="301" w:type="pct"/>
            <w:noWrap w:val="0"/>
            <w:vAlign w:val="center"/>
          </w:tcPr>
          <w:p w14:paraId="47E134AF">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数量</w:t>
            </w:r>
          </w:p>
        </w:tc>
      </w:tr>
      <w:tr w14:paraId="4C92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1" w:type="pct"/>
            <w:noWrap w:val="0"/>
            <w:vAlign w:val="center"/>
          </w:tcPr>
          <w:p w14:paraId="23784CCF">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1</w:t>
            </w:r>
          </w:p>
        </w:tc>
        <w:tc>
          <w:tcPr>
            <w:tcW w:w="619" w:type="pct"/>
            <w:noWrap w:val="0"/>
            <w:vAlign w:val="center"/>
          </w:tcPr>
          <w:p w14:paraId="3B292AE3">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负载均衡</w:t>
            </w:r>
          </w:p>
        </w:tc>
        <w:tc>
          <w:tcPr>
            <w:tcW w:w="3477" w:type="pct"/>
            <w:noWrap w:val="0"/>
            <w:vAlign w:val="center"/>
          </w:tcPr>
          <w:p w14:paraId="40F924F0">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一、性能参数：</w:t>
            </w:r>
          </w:p>
          <w:p w14:paraId="21F56F0F">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★国产品牌，CPU和底层操作系统符合国家标准，通过中国信息安全测评中心的安全可靠认证，提供证明材料；4层吞吐量≥20Gbps，并发连接数≥2000万，4层新建连接数 CPS≥30万，7层新建连接数 RPS≥50万。规格：高度≤2U，内存≥16G，硬盘容量≥480G SSD，电源：冗余电源，冗余风扇，接口：≥6千兆电口，≥4千兆光口SFP，≥2个万兆光口。≥1个串口，≥2个USB口。</w:t>
            </w:r>
          </w:p>
          <w:p w14:paraId="1C5AB2F8">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二、功能参数：</w:t>
            </w:r>
          </w:p>
          <w:p w14:paraId="7863C693">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1.★支持轮询、加权轮询、按主机加权轮询、加权最小连接、按主机加权最小连接、动态反馈、最快响应、最小流量、加权最小流量、按主机加权最小流量、带宽比例、哈希、主备等算法（</w:t>
            </w:r>
            <w:r>
              <w:rPr>
                <w:rFonts w:hint="eastAsia" w:ascii="宋体" w:hAnsi="宋体" w:cs="宋体"/>
                <w:bCs/>
                <w:kern w:val="0"/>
                <w:sz w:val="21"/>
                <w:szCs w:val="21"/>
                <w:lang w:val="en-US" w:eastAsia="zh-CN"/>
              </w:rPr>
              <w:t>参选文件中</w:t>
            </w:r>
            <w:r>
              <w:rPr>
                <w:rFonts w:hint="eastAsia" w:ascii="宋体" w:hAnsi="宋体" w:cs="宋体"/>
                <w:bCs/>
                <w:kern w:val="0"/>
                <w:sz w:val="21"/>
                <w:szCs w:val="21"/>
              </w:rPr>
              <w:t>提供产品界面截图，</w:t>
            </w:r>
            <w:r>
              <w:rPr>
                <w:rFonts w:hint="eastAsia" w:ascii="宋体" w:hAnsi="宋体" w:cs="宋体"/>
                <w:bCs/>
                <w:kern w:val="0"/>
                <w:sz w:val="21"/>
                <w:szCs w:val="21"/>
                <w:lang w:val="en-US" w:eastAsia="zh-CN"/>
              </w:rPr>
              <w:t>成交后提供</w:t>
            </w:r>
            <w:r>
              <w:rPr>
                <w:rFonts w:hint="eastAsia" w:ascii="宋体" w:hAnsi="宋体" w:cs="宋体"/>
                <w:bCs/>
                <w:kern w:val="0"/>
                <w:sz w:val="21"/>
                <w:szCs w:val="21"/>
              </w:rPr>
              <w:t>加盖生产商公章</w:t>
            </w:r>
            <w:r>
              <w:rPr>
                <w:rFonts w:hint="eastAsia" w:ascii="宋体" w:hAnsi="宋体" w:cs="宋体"/>
                <w:bCs/>
                <w:kern w:val="0"/>
                <w:sz w:val="21"/>
                <w:szCs w:val="21"/>
                <w:lang w:val="en-US" w:eastAsia="zh-CN"/>
              </w:rPr>
              <w:t>的证明</w:t>
            </w:r>
            <w:r>
              <w:rPr>
                <w:rFonts w:hint="eastAsia" w:ascii="宋体" w:hAnsi="宋体" w:cs="宋体"/>
                <w:bCs/>
                <w:kern w:val="0"/>
                <w:sz w:val="21"/>
                <w:szCs w:val="21"/>
              </w:rPr>
              <w:t>）；支持SSL卸载功能。</w:t>
            </w:r>
          </w:p>
          <w:p w14:paraId="162D0E21">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2.支持HTTPS方式登录、用户角色管理、多级授权管理。</w:t>
            </w:r>
          </w:p>
          <w:p w14:paraId="07DB6D1E">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3.支持cookie加密，提升cookie安全性。</w:t>
            </w:r>
          </w:p>
          <w:p w14:paraId="1DE3C25C">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4.支持优先级算法下最少可用节点保障，优先级高的节点故障时会自动进行选举，保证优先级高节点的可用性。</w:t>
            </w:r>
          </w:p>
          <w:p w14:paraId="58241DEB">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5.★支持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需提供产品功能截图证明）；</w:t>
            </w:r>
          </w:p>
          <w:p w14:paraId="3DDFE84D">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6.支持主动探测方式与被动观测方式结合使用的服务器健康检查手段，以便适应各种复杂应用交互流程，保障业务系统的高可用性；</w:t>
            </w:r>
          </w:p>
          <w:p w14:paraId="03F4E368">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7.服务器负载状态支持显示设备的电源状态、风扇转速、磁盘温度、CPU温度、CPU和内存占用率、新建连接数、并发连接数、吞吐情况、SSL新建和SSL吞吐数据、压缩优化和缓存优化数据；业务的健康状态、新建连接数、并发连接数、上下行流量、每秒请求数；节点池的调度算法、健康状态、新建连接数、并发连接数、上下行流量；</w:t>
            </w:r>
          </w:p>
          <w:p w14:paraId="6A0EF8EE">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8.对于超过服务器的连接数上限或者请求数上限的新建连接缓存起来放入队列中，后续分批逐步发送给服务器，而不是直接丢弃数据包。</w:t>
            </w:r>
          </w:p>
          <w:p w14:paraId="4D5F0325">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9. 支持集群化部署，多台负载均衡设备中任何一台设备故障不会导致业务中断。</w:t>
            </w:r>
          </w:p>
          <w:p w14:paraId="4F0DA576">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10.标配 IPV6 功能，在 IPv4 和 IPv6 网络之间提供完整的 IP 转换和负载均衡能力可以支持用户迁移以及建立 IPv4 和 IPv6 混合主机资源；</w:t>
            </w:r>
          </w:p>
          <w:p w14:paraId="015F3302">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11.可根据应用系统提供的检查入口参数对应用进行应用级的监控以避免服务器地址端口监听正常而实际应用挂起的情况；可根据 App 服务进程信息定制应用服务级的健康检查方式；</w:t>
            </w:r>
          </w:p>
          <w:p w14:paraId="6040EDF0">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12.提供基于源 IP、Radius、Http、插入 cookie 等多种方式多种场景下的会话保持功能；</w:t>
            </w:r>
          </w:p>
          <w:p w14:paraId="016A0C32">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13.★支持同一台设备同时并存不同的系统版本，便于系统升级或回退，进行软件版本更迭；</w:t>
            </w:r>
          </w:p>
          <w:p w14:paraId="40BE5D45">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14.支持 Active-Active 及 Active-Standby 冗余方式；提供连接会话的镜像功能,实现无缝故障切换；</w:t>
            </w:r>
          </w:p>
          <w:p w14:paraId="381BF0A8">
            <w:pPr>
              <w:widowControl/>
              <w:spacing w:line="360" w:lineRule="exact"/>
              <w:jc w:val="left"/>
              <w:rPr>
                <w:rFonts w:hint="eastAsia" w:ascii="宋体" w:hAnsi="宋体" w:cs="宋体"/>
                <w:bCs/>
                <w:kern w:val="0"/>
                <w:sz w:val="21"/>
                <w:szCs w:val="21"/>
              </w:rPr>
            </w:pPr>
            <w:r>
              <w:rPr>
                <w:rFonts w:hint="eastAsia" w:ascii="宋体" w:hAnsi="宋体" w:cs="宋体"/>
                <w:bCs/>
                <w:kern w:val="0"/>
                <w:sz w:val="21"/>
                <w:szCs w:val="21"/>
              </w:rPr>
              <w:t>15.近</w:t>
            </w:r>
            <w:r>
              <w:rPr>
                <w:rFonts w:hint="eastAsia" w:ascii="宋体" w:hAnsi="宋体" w:cs="宋体"/>
                <w:bCs/>
                <w:kern w:val="0"/>
                <w:sz w:val="21"/>
                <w:szCs w:val="21"/>
                <w:lang w:val="en-US" w:eastAsia="zh-CN"/>
              </w:rPr>
              <w:t>三</w:t>
            </w:r>
            <w:r>
              <w:rPr>
                <w:rFonts w:hint="eastAsia" w:ascii="宋体" w:hAnsi="宋体" w:cs="宋体"/>
                <w:bCs/>
                <w:kern w:val="0"/>
                <w:sz w:val="21"/>
                <w:szCs w:val="21"/>
              </w:rPr>
              <w:t>年内所投产品在国内市场占有率进入过前三名(成交后提供IDC报告证明)；</w:t>
            </w:r>
          </w:p>
          <w:p w14:paraId="7DAAB139">
            <w:pPr>
              <w:spacing w:line="360" w:lineRule="exact"/>
              <w:rPr>
                <w:rFonts w:hint="eastAsia" w:ascii="宋体" w:hAnsi="宋体" w:cs="宋体"/>
                <w:bCs/>
                <w:kern w:val="0"/>
                <w:sz w:val="21"/>
                <w:szCs w:val="21"/>
              </w:rPr>
            </w:pPr>
            <w:r>
              <w:rPr>
                <w:rFonts w:hint="eastAsia" w:ascii="宋体" w:hAnsi="宋体" w:cs="宋体"/>
                <w:bCs/>
                <w:kern w:val="0"/>
                <w:sz w:val="21"/>
                <w:szCs w:val="21"/>
              </w:rPr>
              <w:t>16.★提供工信部入网许可证明；</w:t>
            </w:r>
          </w:p>
          <w:p w14:paraId="502C059E">
            <w:pPr>
              <w:widowControl/>
              <w:spacing w:line="360" w:lineRule="exact"/>
              <w:jc w:val="left"/>
              <w:rPr>
                <w:rFonts w:hint="eastAsia" w:ascii="宋体" w:hAnsi="宋体" w:cs="宋体"/>
                <w:bCs/>
                <w:sz w:val="21"/>
                <w:szCs w:val="21"/>
              </w:rPr>
            </w:pPr>
            <w:r>
              <w:rPr>
                <w:rFonts w:hint="eastAsia" w:ascii="宋体" w:hAnsi="宋体" w:cs="宋体"/>
                <w:kern w:val="0"/>
                <w:sz w:val="21"/>
                <w:szCs w:val="21"/>
              </w:rPr>
              <w:t>17</w:t>
            </w:r>
            <w:r>
              <w:rPr>
                <w:rFonts w:hint="eastAsia" w:ascii="宋体" w:hAnsi="宋体" w:cs="宋体"/>
                <w:kern w:val="0"/>
                <w:sz w:val="21"/>
                <w:szCs w:val="21"/>
                <w:lang w:eastAsia="zh-Hans"/>
              </w:rPr>
              <w:t>.</w:t>
            </w:r>
            <w:r>
              <w:rPr>
                <w:rFonts w:hint="eastAsia" w:ascii="宋体" w:hAnsi="宋体" w:cs="宋体"/>
                <w:bCs/>
                <w:kern w:val="0"/>
                <w:sz w:val="21"/>
                <w:szCs w:val="21"/>
              </w:rPr>
              <w:t>★</w:t>
            </w:r>
            <w:r>
              <w:rPr>
                <w:rFonts w:hint="eastAsia" w:ascii="宋体" w:hAnsi="宋体" w:cs="宋体"/>
                <w:kern w:val="0"/>
                <w:sz w:val="21"/>
                <w:szCs w:val="21"/>
              </w:rPr>
              <w:t>提供原厂5年免费人工、所有部件更换及软件升级，7x24小时响应服务，</w:t>
            </w:r>
            <w:r>
              <w:rPr>
                <w:rFonts w:hint="eastAsia" w:ascii="宋体" w:hAnsi="宋体" w:cs="宋体"/>
                <w:kern w:val="0"/>
                <w:sz w:val="21"/>
                <w:szCs w:val="21"/>
                <w:lang w:val="en-US" w:eastAsia="zh-CN"/>
              </w:rPr>
              <w:t>成交后</w:t>
            </w:r>
            <w:r>
              <w:rPr>
                <w:rFonts w:hint="eastAsia" w:ascii="宋体" w:hAnsi="宋体" w:cs="宋体"/>
                <w:kern w:val="0"/>
                <w:sz w:val="21"/>
                <w:szCs w:val="21"/>
              </w:rPr>
              <w:t>提供所涉及产品原厂商针对本项目专项授权和原厂服务承诺函。</w:t>
            </w:r>
          </w:p>
        </w:tc>
        <w:tc>
          <w:tcPr>
            <w:tcW w:w="300" w:type="pct"/>
            <w:noWrap w:val="0"/>
            <w:vAlign w:val="center"/>
          </w:tcPr>
          <w:p w14:paraId="008EF34C">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台</w:t>
            </w:r>
          </w:p>
        </w:tc>
        <w:tc>
          <w:tcPr>
            <w:tcW w:w="301" w:type="pct"/>
            <w:noWrap w:val="0"/>
            <w:vAlign w:val="center"/>
          </w:tcPr>
          <w:p w14:paraId="188EBAA8">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2</w:t>
            </w:r>
          </w:p>
        </w:tc>
      </w:tr>
      <w:tr w14:paraId="7DF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301" w:type="pct"/>
            <w:noWrap w:val="0"/>
            <w:vAlign w:val="center"/>
          </w:tcPr>
          <w:p w14:paraId="59C99DD7">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2</w:t>
            </w:r>
          </w:p>
        </w:tc>
        <w:tc>
          <w:tcPr>
            <w:tcW w:w="619" w:type="pct"/>
            <w:noWrap w:val="0"/>
            <w:vAlign w:val="center"/>
          </w:tcPr>
          <w:p w14:paraId="1FFD1B3A">
            <w:pPr>
              <w:spacing w:line="360" w:lineRule="auto"/>
              <w:jc w:val="center"/>
              <w:rPr>
                <w:rFonts w:hint="eastAsia" w:ascii="宋体" w:hAnsi="宋体" w:cs="宋体"/>
                <w:bCs/>
                <w:color w:val="000000"/>
                <w:sz w:val="21"/>
                <w:szCs w:val="21"/>
              </w:rPr>
            </w:pPr>
            <w:r>
              <w:rPr>
                <w:rFonts w:hint="eastAsia" w:ascii="宋体" w:hAnsi="宋体" w:cs="宋体"/>
                <w:bCs/>
                <w:color w:val="000000"/>
                <w:sz w:val="21"/>
                <w:szCs w:val="21"/>
              </w:rPr>
              <w:t>其它</w:t>
            </w:r>
          </w:p>
        </w:tc>
        <w:tc>
          <w:tcPr>
            <w:tcW w:w="3477" w:type="pct"/>
            <w:noWrap w:val="0"/>
            <w:vAlign w:val="center"/>
          </w:tcPr>
          <w:p w14:paraId="4BF92536">
            <w:pPr>
              <w:pStyle w:val="8"/>
              <w:spacing w:line="360" w:lineRule="exact"/>
              <w:ind w:firstLine="0" w:firstLineChars="0"/>
              <w:rPr>
                <w:rFonts w:hint="eastAsia" w:ascii="宋体" w:hAnsi="宋体" w:cs="宋体"/>
                <w:szCs w:val="21"/>
              </w:rPr>
            </w:pPr>
            <w:r>
              <w:rPr>
                <w:rFonts w:hint="eastAsia" w:ascii="宋体" w:hAnsi="宋体" w:cs="宋体"/>
                <w:szCs w:val="21"/>
              </w:rPr>
              <w:t>1、实施过程中需要的各种线缆，辅材等由成交方免费提供。</w:t>
            </w:r>
          </w:p>
          <w:p w14:paraId="0E647BE2">
            <w:pPr>
              <w:spacing w:line="360" w:lineRule="exact"/>
              <w:ind w:left="315" w:hanging="315" w:hangingChars="150"/>
              <w:rPr>
                <w:rFonts w:hint="eastAsia" w:ascii="宋体" w:hAnsi="宋体" w:cs="宋体"/>
                <w:sz w:val="21"/>
                <w:szCs w:val="21"/>
              </w:rPr>
            </w:pPr>
            <w:r>
              <w:rPr>
                <w:rFonts w:hint="eastAsia" w:ascii="宋体" w:hAnsi="宋体" w:cs="宋体"/>
                <w:sz w:val="21"/>
                <w:szCs w:val="21"/>
              </w:rPr>
              <w:t>2、设备安装完成后涉及的系统集成调试，数据迁移，业务切换，理线贴标签等工作，由成交方负责，在此期间需保证现有生产业务持续不间断运行。</w:t>
            </w:r>
          </w:p>
        </w:tc>
        <w:tc>
          <w:tcPr>
            <w:tcW w:w="300" w:type="pct"/>
            <w:noWrap w:val="0"/>
            <w:vAlign w:val="center"/>
          </w:tcPr>
          <w:p w14:paraId="17A3144B">
            <w:pPr>
              <w:spacing w:line="360" w:lineRule="auto"/>
              <w:jc w:val="center"/>
              <w:rPr>
                <w:rFonts w:hint="eastAsia" w:ascii="宋体" w:hAnsi="宋体" w:cs="宋体"/>
                <w:bCs/>
                <w:color w:val="000000"/>
                <w:sz w:val="21"/>
                <w:szCs w:val="21"/>
              </w:rPr>
            </w:pPr>
          </w:p>
        </w:tc>
        <w:tc>
          <w:tcPr>
            <w:tcW w:w="301" w:type="pct"/>
            <w:noWrap w:val="0"/>
            <w:vAlign w:val="center"/>
          </w:tcPr>
          <w:p w14:paraId="5B121292">
            <w:pPr>
              <w:spacing w:line="360" w:lineRule="auto"/>
              <w:jc w:val="center"/>
              <w:rPr>
                <w:rFonts w:hint="eastAsia" w:ascii="宋体" w:hAnsi="宋体" w:cs="宋体"/>
                <w:bCs/>
                <w:color w:val="000000"/>
                <w:sz w:val="21"/>
                <w:szCs w:val="21"/>
              </w:rPr>
            </w:pPr>
          </w:p>
        </w:tc>
      </w:tr>
    </w:tbl>
    <w:p w14:paraId="4065137D">
      <w:pPr>
        <w:pStyle w:val="7"/>
        <w:ind w:firstLine="0" w:firstLineChars="0"/>
        <w:jc w:val="left"/>
        <w:rPr>
          <w:rFonts w:ascii="Calibri" w:hAnsi="Calibri" w:cs="Calibri"/>
          <w:b/>
          <w:bCs/>
          <w:color w:val="FF0000"/>
          <w:spacing w:val="1"/>
        </w:rPr>
      </w:pPr>
    </w:p>
    <w:p w14:paraId="2FCF2B21">
      <w:pPr>
        <w:pStyle w:val="7"/>
        <w:ind w:firstLine="0" w:firstLineChars="0"/>
        <w:jc w:val="left"/>
        <w:rPr>
          <w:rFonts w:ascii="Calibri" w:hAnsi="Calibri" w:cs="Calibri"/>
          <w:b/>
          <w:bCs/>
          <w:color w:val="FF0000"/>
          <w:spacing w:val="1"/>
        </w:rPr>
      </w:pPr>
      <w:r>
        <w:rPr>
          <w:rFonts w:hint="eastAsia" w:ascii="Calibri" w:hAnsi="Calibri" w:cs="Calibri"/>
          <w:b/>
          <w:bCs/>
          <w:color w:val="FF0000"/>
          <w:spacing w:val="1"/>
        </w:rPr>
        <w:t>备注：第五章采购需求中的★参数为必须满足项目，</w:t>
      </w:r>
      <w:r>
        <w:rPr>
          <w:rFonts w:hint="eastAsia" w:ascii="Calibri" w:hAnsi="Calibri" w:cs="Calibri"/>
          <w:b/>
          <w:bCs/>
          <w:color w:val="FF0000"/>
          <w:spacing w:val="1"/>
          <w:lang w:val="en-US" w:eastAsia="zh-CN"/>
        </w:rPr>
        <w:t>且</w:t>
      </w:r>
      <w:r>
        <w:rPr>
          <w:rFonts w:hint="eastAsia" w:ascii="Calibri" w:hAnsi="Calibri" w:cs="Calibri"/>
          <w:b/>
          <w:bCs/>
          <w:color w:val="FF0000"/>
          <w:spacing w:val="1"/>
        </w:rPr>
        <w:t>提供相关证明材料；其他条款承诺满足即可。若成交人实际供货的产品技术参数未能达到其参选文件的响应程度，视作成交人虚假响应，成交人须承担违约责任。</w:t>
      </w:r>
    </w:p>
    <w:bookmarkEnd w:id="1"/>
    <w:p w14:paraId="5B610D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pStyle w:val="2"/>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31180"/>
    <w:rsid w:val="43231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tabs>
        <w:tab w:val="left" w:pos="2693"/>
        <w:tab w:val="left" w:pos="9497"/>
      </w:tabs>
      <w:adjustRightInd w:val="0"/>
      <w:spacing w:before="340" w:after="330" w:line="578" w:lineRule="atLeast"/>
      <w:ind w:left="9497" w:hanging="1275"/>
      <w:textAlignment w:val="baseline"/>
      <w:outlineLvl w:val="0"/>
    </w:pPr>
    <w:rPr>
      <w:b/>
      <w:kern w:val="44"/>
      <w:sz w:val="44"/>
    </w:rPr>
  </w:style>
  <w:style w:type="paragraph" w:styleId="2">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标题1 Ctrl+1"/>
    <w:basedOn w:val="3"/>
    <w:next w:val="7"/>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7">
    <w:name w:val="!我的正文 Ctr+Q"/>
    <w:basedOn w:val="1"/>
    <w:qFormat/>
    <w:uiPriority w:val="0"/>
    <w:pPr>
      <w:adjustRightInd w:val="0"/>
      <w:snapToGrid w:val="0"/>
      <w:spacing w:line="360" w:lineRule="auto"/>
      <w:ind w:firstLine="480" w:firstLineChars="200"/>
    </w:pPr>
    <w:rPr>
      <w:rFonts w:ascii="Arial" w:hAnsi="Arial"/>
      <w:szCs w:val="21"/>
    </w:rPr>
  </w:style>
  <w:style w:type="paragraph" w:styleId="8">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2026-06-30T07:29:00Z</dcterms:created>
  <dc:creator>汪宪宜</dc:creator>
  <cp:lastModifiedBy>汪宪宜</cp:lastModifiedBy>
  <dcterms:modified xsi:type="dcterms:W3CDTF">2026-06-30T07:29:21Z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9EBC6B6D64F64D82B9E861C2513977C0_11</vt:lpwstr>
  </property>
  <property fmtid="{D5CDD505-2E9C-101B-9397-08002B2CF9AE}" pid="4" name="KSOTemplateDocerSaveRecord">
    <vt:lpwstr>eyJoZGlkIjoiZWUyOTQ1NDM2Zjc0YjU0MjZhMWI3YTAyMzgxNTM2MDQiLCJ1c2VySWQiOiI0NjEyMTI0ODEifQ==</vt:lpwstr>
  </property>
</Properties>
</file>