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1D4D4">
      <w:pPr>
        <w:numPr>
          <w:numId w:val="0"/>
        </w:numPr>
        <w:spacing w:line="360" w:lineRule="auto"/>
        <w:ind w:left="1418" w:leftChars="0" w:firstLine="1606" w:firstLineChars="500"/>
        <w:jc w:val="both"/>
        <w:outlineLvl w:val="0"/>
        <w:rPr>
          <w:b/>
          <w:sz w:val="32"/>
          <w:szCs w:val="32"/>
        </w:rPr>
      </w:pPr>
      <w:bookmarkStart w:id="1" w:name="_GoBack"/>
      <w:bookmarkEnd w:id="1"/>
      <w:bookmarkStart w:id="0" w:name="_Toc32076"/>
      <w:r>
        <w:rPr>
          <w:rFonts w:hint="eastAsia"/>
          <w:b/>
          <w:sz w:val="32"/>
          <w:szCs w:val="32"/>
        </w:rPr>
        <w:t>采购需求</w:t>
      </w:r>
      <w:bookmarkEnd w:id="0"/>
    </w:p>
    <w:p w14:paraId="6B9E1530">
      <w:pPr>
        <w:spacing w:line="360" w:lineRule="auto"/>
        <w:rPr>
          <w:rFonts w:ascii="宋体" w:hAnsi="宋体" w:cs="宋体"/>
          <w:b/>
          <w:color w:val="FF0000"/>
          <w:sz w:val="21"/>
          <w:szCs w:val="21"/>
        </w:rPr>
      </w:pPr>
      <w:r>
        <w:rPr>
          <w:rFonts w:hint="eastAsia" w:ascii="宋体" w:hAnsi="宋体" w:cs="宋体"/>
          <w:b/>
          <w:sz w:val="21"/>
          <w:szCs w:val="21"/>
        </w:rPr>
        <w:t>一、</w:t>
      </w:r>
      <w:r>
        <w:rPr>
          <w:rFonts w:hint="eastAsia" w:ascii="宋体" w:hAnsi="宋体" w:cs="宋体"/>
          <w:b/>
          <w:color w:val="FF0000"/>
          <w:sz w:val="21"/>
          <w:szCs w:val="21"/>
        </w:rPr>
        <w:t>要求：以下条款如参选人参与参选，视为参选人自动响应。</w:t>
      </w:r>
    </w:p>
    <w:p w14:paraId="3DB560A7">
      <w:pPr>
        <w:spacing w:line="360" w:lineRule="auto"/>
        <w:ind w:firstLine="413" w:firstLineChars="196"/>
        <w:rPr>
          <w:rFonts w:ascii="宋体" w:hAnsi="宋体" w:cs="宋体"/>
          <w:b/>
          <w:sz w:val="21"/>
          <w:szCs w:val="21"/>
        </w:rPr>
      </w:pPr>
      <w:r>
        <w:rPr>
          <w:rFonts w:hint="eastAsia" w:ascii="宋体" w:hAnsi="宋体" w:cs="宋体"/>
          <w:b/>
          <w:sz w:val="21"/>
          <w:szCs w:val="21"/>
        </w:rPr>
        <w:t>1、按照参选方案提供配置清单，标明品牌、型号、产地、数量等并分项报价；</w:t>
      </w:r>
    </w:p>
    <w:p w14:paraId="5767F68A">
      <w:pPr>
        <w:spacing w:line="360" w:lineRule="auto"/>
        <w:ind w:firstLine="413" w:firstLineChars="196"/>
        <w:rPr>
          <w:rFonts w:ascii="宋体" w:hAnsi="宋体" w:cs="宋体"/>
          <w:b/>
          <w:sz w:val="21"/>
          <w:szCs w:val="21"/>
        </w:rPr>
      </w:pPr>
      <w:r>
        <w:rPr>
          <w:rFonts w:hint="eastAsia" w:ascii="宋体" w:hAnsi="宋体" w:cs="宋体"/>
          <w:b/>
          <w:sz w:val="21"/>
          <w:szCs w:val="21"/>
        </w:rPr>
        <w:t>2、提供产品日常使用的所有配套专用耗材清单，确保产品正常使用。须标明品牌、型号、产地、规格、最小供货单位等并分项报价，报价不计入参选总价。在成交后如发现有漏报、瞒报的配套专用耗材，一律视为已包含在成交总价内，不得以赠送形式向采购人提供产品及服务。耗材供应期按照医院相关耗材管理规定执行；</w:t>
      </w:r>
    </w:p>
    <w:p w14:paraId="1F4C42AB">
      <w:pPr>
        <w:spacing w:line="360" w:lineRule="auto"/>
        <w:ind w:firstLine="413" w:firstLineChars="196"/>
        <w:rPr>
          <w:rFonts w:ascii="宋体" w:hAnsi="宋体" w:cs="宋体"/>
          <w:b/>
          <w:sz w:val="21"/>
          <w:szCs w:val="21"/>
        </w:rPr>
      </w:pPr>
      <w:r>
        <w:rPr>
          <w:rFonts w:hint="eastAsia" w:ascii="宋体" w:hAnsi="宋体" w:cs="宋体"/>
          <w:b/>
          <w:sz w:val="21"/>
          <w:szCs w:val="21"/>
        </w:rPr>
        <w:t>3、说明是否需要其他设备配套使用，请列出配套设备名称、数量等，如未说明一律视为已包含在参选总价内；</w:t>
      </w:r>
    </w:p>
    <w:p w14:paraId="55736FD8">
      <w:pPr>
        <w:spacing w:line="360" w:lineRule="auto"/>
        <w:ind w:firstLine="413" w:firstLineChars="196"/>
        <w:rPr>
          <w:rFonts w:ascii="宋体" w:hAnsi="宋体" w:cs="宋体"/>
          <w:b/>
          <w:sz w:val="21"/>
          <w:szCs w:val="21"/>
        </w:rPr>
      </w:pPr>
      <w:r>
        <w:rPr>
          <w:rFonts w:ascii="宋体" w:hAnsi="宋体" w:cs="宋体"/>
          <w:b/>
          <w:sz w:val="21"/>
          <w:szCs w:val="21"/>
        </w:rPr>
        <w:t>4</w:t>
      </w:r>
      <w:r>
        <w:rPr>
          <w:rFonts w:hint="eastAsia" w:ascii="宋体" w:hAnsi="宋体" w:cs="宋体"/>
          <w:b/>
          <w:sz w:val="21"/>
          <w:szCs w:val="21"/>
        </w:rPr>
        <w:t>、参选公司及产品须资质、证照齐全且在有效期内，如确无注册证的产品，须提供官方说明材料；</w:t>
      </w:r>
    </w:p>
    <w:p w14:paraId="5394FC5B">
      <w:pPr>
        <w:spacing w:line="360" w:lineRule="auto"/>
        <w:ind w:firstLine="413" w:firstLineChars="196"/>
        <w:rPr>
          <w:rFonts w:ascii="宋体" w:hAnsi="宋体" w:cs="宋体"/>
          <w:b/>
          <w:sz w:val="21"/>
          <w:szCs w:val="21"/>
        </w:rPr>
      </w:pPr>
      <w:r>
        <w:rPr>
          <w:rFonts w:ascii="宋体" w:hAnsi="宋体" w:cs="宋体"/>
          <w:b/>
          <w:sz w:val="21"/>
          <w:szCs w:val="21"/>
        </w:rPr>
        <w:t>5</w:t>
      </w:r>
      <w:r>
        <w:rPr>
          <w:rFonts w:hint="eastAsia" w:ascii="宋体" w:hAnsi="宋体" w:cs="宋体"/>
          <w:b/>
          <w:sz w:val="21"/>
          <w:szCs w:val="21"/>
        </w:rPr>
        <w:t>、若属安徽省医用耗材政策管理范围内产品，需满足相关要求（如“集采”、“两票制”等）；若为集采管理范围内产品，需在集采目录中，同类产品原则上选择限价产品，同类无替代选择备案产品；</w:t>
      </w:r>
    </w:p>
    <w:p w14:paraId="30AFBA70">
      <w:pPr>
        <w:spacing w:line="360" w:lineRule="auto"/>
        <w:ind w:firstLine="413" w:firstLineChars="196"/>
        <w:rPr>
          <w:rFonts w:ascii="宋体" w:hAnsi="宋体" w:cs="宋体"/>
          <w:b/>
          <w:sz w:val="21"/>
          <w:szCs w:val="21"/>
        </w:rPr>
      </w:pPr>
      <w:r>
        <w:rPr>
          <w:rFonts w:ascii="宋体" w:hAnsi="宋体" w:cs="宋体"/>
          <w:b/>
          <w:sz w:val="21"/>
          <w:szCs w:val="21"/>
        </w:rPr>
        <w:t>6</w:t>
      </w:r>
      <w:r>
        <w:rPr>
          <w:rFonts w:hint="eastAsia" w:ascii="宋体" w:hAnsi="宋体" w:cs="宋体"/>
          <w:b/>
          <w:sz w:val="21"/>
          <w:szCs w:val="21"/>
        </w:rPr>
        <w:t>、</w:t>
      </w:r>
      <w:r>
        <w:rPr>
          <w:rFonts w:hint="eastAsia" w:ascii="宋体" w:hAnsi="宋体" w:cs="宋体"/>
          <w:b/>
          <w:bCs/>
          <w:sz w:val="21"/>
          <w:szCs w:val="21"/>
        </w:rPr>
        <w:t>成交人须将供应的医用物资包括但不限于医用耗材、检验试剂、后勤物资等，纳入采购人医用物资SPD智慧物流管理模式进行一元化管理，与采购人SPD服务商签订服务协议并承担相关的服务费。其中医用耗材、试剂的具体服务费率由成交人与SPD服务商协商，服务费率不高于医院与SPD服务商约定的收费标准（现行服务费率为供货金额的1%，如后期采购人与SPD服务商约定的服务费率发生变动，以采购人与SPD服务商签订合同约定的服务费率为准）；后勤物资等其他物资，成交人无需承担服务费。如成交人不予配合，采购人有权终止与成交人的医用物资供应关系或选择备选医用物资成交人</w:t>
      </w:r>
      <w:r>
        <w:rPr>
          <w:rFonts w:hint="eastAsia" w:ascii="宋体" w:hAnsi="宋体" w:cs="宋体"/>
          <w:b/>
          <w:sz w:val="21"/>
          <w:szCs w:val="21"/>
        </w:rPr>
        <w:t>；</w:t>
      </w:r>
    </w:p>
    <w:p w14:paraId="0881E23C">
      <w:pPr>
        <w:spacing w:line="360" w:lineRule="auto"/>
        <w:ind w:firstLine="413" w:firstLineChars="196"/>
        <w:rPr>
          <w:rFonts w:ascii="宋体" w:hAnsi="宋体" w:cs="宋体"/>
          <w:b/>
          <w:sz w:val="21"/>
          <w:szCs w:val="21"/>
        </w:rPr>
      </w:pPr>
      <w:r>
        <w:rPr>
          <w:rFonts w:ascii="宋体" w:hAnsi="宋体" w:cs="宋体"/>
          <w:b/>
          <w:sz w:val="21"/>
          <w:szCs w:val="21"/>
        </w:rPr>
        <w:t>7</w:t>
      </w:r>
      <w:r>
        <w:rPr>
          <w:rFonts w:hint="eastAsia" w:ascii="宋体" w:hAnsi="宋体" w:cs="宋体"/>
          <w:b/>
          <w:sz w:val="21"/>
          <w:szCs w:val="21"/>
        </w:rPr>
        <w:t>、根据医保政策，可单独收费医用耗材请提供安徽医保局下发的27位医保编码，并按编码进行报价；</w:t>
      </w:r>
    </w:p>
    <w:p w14:paraId="5AB1BBB3">
      <w:pPr>
        <w:wordWrap w:val="0"/>
        <w:spacing w:line="360" w:lineRule="auto"/>
        <w:ind w:firstLine="422" w:firstLineChars="200"/>
        <w:jc w:val="left"/>
        <w:rPr>
          <w:rFonts w:ascii="宋体" w:hAnsi="宋体" w:cs="宋体"/>
          <w:b/>
          <w:sz w:val="21"/>
          <w:szCs w:val="21"/>
        </w:rPr>
      </w:pPr>
      <w:r>
        <w:rPr>
          <w:rFonts w:ascii="宋体" w:hAnsi="宋体" w:cs="宋体"/>
          <w:b/>
          <w:sz w:val="21"/>
          <w:szCs w:val="21"/>
        </w:rPr>
        <w:t>8</w:t>
      </w:r>
      <w:r>
        <w:rPr>
          <w:rFonts w:hint="eastAsia" w:ascii="宋体" w:hAnsi="宋体" w:cs="宋体"/>
          <w:b/>
          <w:sz w:val="21"/>
          <w:szCs w:val="21"/>
        </w:rPr>
        <w:t>、需长期供应的医用耗材及试剂产品，成交后合同期内不得变更配送公司，否则取消该品牌成交资格。参选时生产厂家须出具长期授权函，并提供合同期内不变更配送公司的承诺函，如不提供的评审委员会有权按无效参选处理。</w:t>
      </w:r>
    </w:p>
    <w:p w14:paraId="44974358">
      <w:pPr>
        <w:wordWrap w:val="0"/>
        <w:spacing w:line="360" w:lineRule="auto"/>
        <w:ind w:firstLine="422" w:firstLineChars="200"/>
        <w:jc w:val="left"/>
        <w:rPr>
          <w:rFonts w:ascii="宋体" w:hAnsi="宋体" w:cs="宋体"/>
          <w:b/>
          <w:sz w:val="21"/>
          <w:szCs w:val="21"/>
        </w:rPr>
      </w:pPr>
      <w:r>
        <w:rPr>
          <w:rFonts w:ascii="宋体" w:hAnsi="宋体" w:cs="宋体"/>
          <w:b/>
          <w:sz w:val="21"/>
          <w:szCs w:val="21"/>
        </w:rPr>
        <w:t>9</w:t>
      </w:r>
      <w:r>
        <w:rPr>
          <w:rFonts w:hint="eastAsia" w:ascii="宋体" w:hAnsi="宋体" w:cs="宋体"/>
          <w:b/>
          <w:sz w:val="21"/>
          <w:szCs w:val="21"/>
        </w:rPr>
        <w:t>、医用耗材及配套使用的工具按医院规定需要消毒的，其相关费用由参选人自行承担。</w:t>
      </w:r>
    </w:p>
    <w:p w14:paraId="04F340C7">
      <w:pPr>
        <w:wordWrap w:val="0"/>
        <w:spacing w:line="360" w:lineRule="auto"/>
        <w:ind w:firstLine="422" w:firstLineChars="200"/>
        <w:jc w:val="left"/>
        <w:rPr>
          <w:rFonts w:ascii="宋体" w:hAnsi="宋体" w:cs="宋体"/>
          <w:b/>
          <w:sz w:val="21"/>
          <w:szCs w:val="21"/>
        </w:rPr>
      </w:pPr>
      <w:r>
        <w:rPr>
          <w:rFonts w:ascii="宋体" w:hAnsi="宋体" w:cs="宋体"/>
          <w:b/>
          <w:sz w:val="21"/>
          <w:szCs w:val="21"/>
        </w:rPr>
        <w:t>10</w:t>
      </w:r>
      <w:r>
        <w:rPr>
          <w:rFonts w:hint="eastAsia" w:ascii="宋体" w:hAnsi="宋体" w:cs="宋体"/>
          <w:b/>
          <w:sz w:val="21"/>
          <w:szCs w:val="21"/>
        </w:rPr>
        <w:t>、检验试剂项目和需配套检验试剂使用的检验设备项目，均须免费提供同品牌或第三方符合溯源要求的质控品。</w:t>
      </w:r>
    </w:p>
    <w:p w14:paraId="3FAEF1FD">
      <w:pPr>
        <w:wordWrap w:val="0"/>
        <w:spacing w:line="360" w:lineRule="auto"/>
        <w:ind w:firstLine="422" w:firstLineChars="200"/>
        <w:jc w:val="left"/>
        <w:rPr>
          <w:rFonts w:ascii="宋体" w:hAnsi="宋体" w:cs="宋体"/>
          <w:b/>
          <w:sz w:val="21"/>
          <w:szCs w:val="21"/>
        </w:rPr>
      </w:pPr>
      <w:r>
        <w:rPr>
          <w:rFonts w:ascii="宋体" w:hAnsi="宋体" w:cs="宋体"/>
          <w:b/>
          <w:sz w:val="21"/>
          <w:szCs w:val="21"/>
        </w:rPr>
        <w:t>11</w:t>
      </w:r>
      <w:r>
        <w:rPr>
          <w:rFonts w:hint="eastAsia" w:ascii="宋体" w:hAnsi="宋体" w:cs="宋体"/>
          <w:b/>
          <w:sz w:val="21"/>
          <w:szCs w:val="21"/>
        </w:rPr>
        <w:t>、参选人需无条件接受因国家及安徽省相关政策（如医用耗材带量采购等）对比选结果带来的变动，参选人不得提出异议。</w:t>
      </w:r>
    </w:p>
    <w:p w14:paraId="55651956">
      <w:pPr>
        <w:wordWrap w:val="0"/>
        <w:spacing w:line="360" w:lineRule="auto"/>
        <w:ind w:firstLine="422" w:firstLineChars="200"/>
        <w:jc w:val="left"/>
        <w:rPr>
          <w:rFonts w:ascii="宋体" w:hAnsi="宋体" w:cs="宋体"/>
          <w:b/>
          <w:sz w:val="21"/>
          <w:szCs w:val="21"/>
        </w:rPr>
      </w:pPr>
      <w:r>
        <w:rPr>
          <w:rFonts w:ascii="宋体" w:hAnsi="宋体" w:cs="宋体"/>
          <w:b/>
          <w:sz w:val="21"/>
          <w:szCs w:val="21"/>
        </w:rPr>
        <w:t>12</w:t>
      </w:r>
      <w:r>
        <w:rPr>
          <w:rFonts w:hint="eastAsia" w:ascii="宋体" w:hAnsi="宋体" w:cs="宋体"/>
          <w:b/>
          <w:sz w:val="21"/>
          <w:szCs w:val="21"/>
        </w:rPr>
        <w:t>、参选人须保证此次参选产品，参选价格不得高于安徽省医药集中采购平台交易目录最高限价；后期安徽省医药集中采购平台交易目录最高限价如有降价，成交产品的成交人应于7个工作日内书面通知采购人启动协商程序。</w:t>
      </w:r>
    </w:p>
    <w:p w14:paraId="74FF783B">
      <w:pPr>
        <w:wordWrap w:val="0"/>
        <w:spacing w:line="360" w:lineRule="auto"/>
        <w:ind w:firstLine="422" w:firstLineChars="200"/>
        <w:jc w:val="left"/>
        <w:rPr>
          <w:rFonts w:ascii="宋体" w:hAnsi="宋体" w:cs="宋体"/>
          <w:b/>
          <w:sz w:val="21"/>
          <w:szCs w:val="21"/>
        </w:rPr>
      </w:pPr>
      <w:r>
        <w:rPr>
          <w:rFonts w:hint="eastAsia" w:ascii="宋体" w:hAnsi="宋体" w:cs="宋体"/>
          <w:b/>
          <w:sz w:val="21"/>
          <w:szCs w:val="21"/>
        </w:rPr>
        <w:t>1</w:t>
      </w:r>
      <w:r>
        <w:rPr>
          <w:rFonts w:ascii="宋体" w:hAnsi="宋体" w:cs="宋体"/>
          <w:b/>
          <w:sz w:val="21"/>
          <w:szCs w:val="21"/>
        </w:rPr>
        <w:t>3</w:t>
      </w:r>
      <w:r>
        <w:rPr>
          <w:rFonts w:hint="eastAsia" w:ascii="宋体" w:hAnsi="宋体" w:cs="宋体"/>
          <w:b/>
          <w:sz w:val="21"/>
          <w:szCs w:val="21"/>
        </w:rPr>
        <w:t>、按收费价格费率投标的检验项目，如后期收费价格下调，试剂供货价格须按中标费率同比例下浮。</w:t>
      </w:r>
    </w:p>
    <w:p w14:paraId="72694880">
      <w:pPr>
        <w:spacing w:line="360" w:lineRule="auto"/>
        <w:ind w:firstLine="411" w:firstLineChars="196"/>
        <w:rPr>
          <w:rFonts w:ascii="宋体" w:hAnsi="宋体"/>
          <w:b/>
          <w:sz w:val="21"/>
          <w:szCs w:val="21"/>
        </w:rPr>
      </w:pPr>
      <w:r>
        <w:rPr>
          <w:rFonts w:hint="eastAsia" w:ascii="宋体" w:hAnsi="宋体" w:cs="宋体"/>
          <w:sz w:val="21"/>
          <w:szCs w:val="21"/>
        </w:rPr>
        <w:t>备注：请列出易损件，耗材及其他相关产品清单，并注明编码报价；耗材类产品必须带样品到开标/比选现场。</w:t>
      </w:r>
    </w:p>
    <w:p w14:paraId="3E8031A3">
      <w:pPr>
        <w:wordWrap w:val="0"/>
        <w:spacing w:line="360" w:lineRule="auto"/>
        <w:jc w:val="left"/>
        <w:rPr>
          <w:rFonts w:ascii="宋体" w:hAnsi="宋体"/>
          <w:b/>
          <w:szCs w:val="24"/>
        </w:rPr>
      </w:pPr>
      <w:r>
        <w:rPr>
          <w:rFonts w:hint="eastAsia" w:ascii="宋体" w:hAnsi="宋体"/>
          <w:b/>
          <w:szCs w:val="24"/>
        </w:rPr>
        <w:t>二、不满足技术要求中“★”参数（如有）的,属于重大偏离，会对最终评审产生较大影响。</w:t>
      </w:r>
    </w:p>
    <w:p w14:paraId="4BC213DE">
      <w:pPr>
        <w:wordWrap w:val="0"/>
        <w:spacing w:line="360" w:lineRule="auto"/>
        <w:jc w:val="left"/>
        <w:rPr>
          <w:rFonts w:hint="eastAsia" w:ascii="宋体" w:hAnsi="宋体"/>
          <w:b/>
          <w:szCs w:val="24"/>
        </w:rPr>
      </w:pPr>
      <w:r>
        <w:rPr>
          <w:rFonts w:hint="eastAsia" w:ascii="宋体" w:hAnsi="宋体"/>
          <w:b/>
          <w:szCs w:val="24"/>
        </w:rPr>
        <w:t>三、主要技术参数：</w:t>
      </w:r>
    </w:p>
    <w:p w14:paraId="3BF22C66">
      <w:pPr>
        <w:wordWrap w:val="0"/>
        <w:spacing w:line="360" w:lineRule="auto"/>
        <w:jc w:val="left"/>
        <w:rPr>
          <w:rFonts w:hint="eastAsia" w:ascii="宋体" w:hAnsi="宋体"/>
          <w:b w:val="0"/>
          <w:bCs/>
          <w:color w:val="auto"/>
          <w:szCs w:val="24"/>
        </w:rPr>
      </w:pPr>
    </w:p>
    <w:p w14:paraId="694EBD52">
      <w:pPr>
        <w:wordWrap w:val="0"/>
        <w:spacing w:line="360" w:lineRule="auto"/>
        <w:jc w:val="left"/>
        <w:rPr>
          <w:rFonts w:hint="eastAsia" w:ascii="宋体" w:hAnsi="宋体"/>
          <w:b w:val="0"/>
          <w:bCs/>
          <w:color w:val="auto"/>
          <w:szCs w:val="24"/>
        </w:rPr>
      </w:pPr>
      <w:r>
        <w:rPr>
          <w:rFonts w:hint="eastAsia" w:ascii="宋体" w:hAnsi="宋体"/>
          <w:b w:val="0"/>
          <w:bCs/>
          <w:color w:val="auto"/>
          <w:szCs w:val="24"/>
        </w:rPr>
        <w:t>★1</w:t>
      </w:r>
      <w:r>
        <w:rPr>
          <w:rFonts w:hint="eastAsia" w:ascii="宋体" w:hAnsi="宋体"/>
          <w:b w:val="0"/>
          <w:bCs/>
          <w:color w:val="auto"/>
          <w:szCs w:val="24"/>
        </w:rPr>
        <w:tab/>
      </w:r>
      <w:r>
        <w:rPr>
          <w:rFonts w:hint="eastAsia" w:ascii="宋体" w:hAnsi="宋体"/>
          <w:b w:val="0"/>
          <w:bCs/>
          <w:color w:val="auto"/>
          <w:szCs w:val="24"/>
          <w:lang w:eastAsia="zh-CN"/>
        </w:rPr>
        <w:t>、</w:t>
      </w:r>
      <w:r>
        <w:rPr>
          <w:rFonts w:hint="eastAsia" w:ascii="宋体" w:hAnsi="宋体"/>
          <w:b w:val="0"/>
          <w:bCs/>
          <w:color w:val="auto"/>
          <w:szCs w:val="24"/>
        </w:rPr>
        <w:t>视野范围 ：≥140°</w:t>
      </w:r>
    </w:p>
    <w:p w14:paraId="1D14B8D3">
      <w:pPr>
        <w:wordWrap w:val="0"/>
        <w:spacing w:line="360" w:lineRule="auto"/>
        <w:jc w:val="left"/>
        <w:rPr>
          <w:rFonts w:hint="eastAsia" w:ascii="宋体" w:hAnsi="宋体"/>
          <w:b w:val="0"/>
          <w:bCs/>
          <w:color w:val="auto"/>
          <w:szCs w:val="24"/>
        </w:rPr>
      </w:pPr>
      <w:r>
        <w:rPr>
          <w:rFonts w:hint="eastAsia" w:ascii="宋体" w:hAnsi="宋体"/>
          <w:b w:val="0"/>
          <w:bCs/>
          <w:color w:val="auto"/>
          <w:szCs w:val="24"/>
        </w:rPr>
        <w:t>2</w:t>
      </w:r>
      <w:r>
        <w:rPr>
          <w:rFonts w:hint="eastAsia" w:ascii="宋体" w:hAnsi="宋体"/>
          <w:b w:val="0"/>
          <w:bCs/>
          <w:color w:val="auto"/>
          <w:szCs w:val="24"/>
          <w:lang w:eastAsia="zh-CN"/>
        </w:rPr>
        <w:t>、</w:t>
      </w:r>
      <w:r>
        <w:rPr>
          <w:rFonts w:hint="eastAsia" w:ascii="宋体" w:hAnsi="宋体"/>
          <w:b w:val="0"/>
          <w:bCs/>
          <w:color w:val="auto"/>
          <w:szCs w:val="24"/>
        </w:rPr>
        <w:t>视野方向 ：0°（直视）</w:t>
      </w:r>
    </w:p>
    <w:p w14:paraId="63CADE93">
      <w:pPr>
        <w:wordWrap w:val="0"/>
        <w:spacing w:line="360" w:lineRule="auto"/>
        <w:jc w:val="left"/>
        <w:rPr>
          <w:rFonts w:hint="eastAsia" w:ascii="宋体" w:hAnsi="宋体"/>
          <w:b w:val="0"/>
          <w:bCs/>
          <w:color w:val="auto"/>
          <w:szCs w:val="24"/>
        </w:rPr>
      </w:pPr>
      <w:r>
        <w:rPr>
          <w:rFonts w:hint="eastAsia" w:ascii="宋体" w:hAnsi="宋体"/>
          <w:b w:val="0"/>
          <w:bCs/>
          <w:color w:val="auto"/>
          <w:szCs w:val="24"/>
        </w:rPr>
        <w:t>3</w:t>
      </w:r>
      <w:r>
        <w:rPr>
          <w:rFonts w:hint="eastAsia" w:ascii="宋体" w:hAnsi="宋体"/>
          <w:b w:val="0"/>
          <w:bCs/>
          <w:color w:val="auto"/>
          <w:szCs w:val="24"/>
          <w:lang w:eastAsia="zh-CN"/>
        </w:rPr>
        <w:t>、</w:t>
      </w:r>
      <w:r>
        <w:rPr>
          <w:rFonts w:hint="eastAsia" w:ascii="宋体" w:hAnsi="宋体"/>
          <w:b w:val="0"/>
          <w:bCs/>
          <w:color w:val="auto"/>
          <w:szCs w:val="24"/>
        </w:rPr>
        <w:t>景深： 3-100 mm</w:t>
      </w:r>
    </w:p>
    <w:p w14:paraId="12C4E883">
      <w:pPr>
        <w:wordWrap w:val="0"/>
        <w:spacing w:line="360" w:lineRule="auto"/>
        <w:jc w:val="left"/>
        <w:rPr>
          <w:rFonts w:hint="eastAsia" w:ascii="宋体" w:hAnsi="宋体"/>
          <w:b w:val="0"/>
          <w:bCs/>
          <w:color w:val="auto"/>
          <w:szCs w:val="24"/>
        </w:rPr>
      </w:pPr>
      <w:r>
        <w:rPr>
          <w:rFonts w:hint="eastAsia" w:ascii="宋体" w:hAnsi="宋体"/>
          <w:b w:val="0"/>
          <w:bCs/>
          <w:color w:val="auto"/>
          <w:szCs w:val="24"/>
        </w:rPr>
        <w:t>★4</w:t>
      </w:r>
      <w:r>
        <w:rPr>
          <w:rFonts w:hint="eastAsia" w:ascii="宋体" w:hAnsi="宋体"/>
          <w:b w:val="0"/>
          <w:bCs/>
          <w:color w:val="auto"/>
          <w:szCs w:val="24"/>
          <w:lang w:eastAsia="zh-CN"/>
        </w:rPr>
        <w:t>、</w:t>
      </w:r>
      <w:r>
        <w:rPr>
          <w:rFonts w:hint="eastAsia" w:ascii="宋体" w:hAnsi="宋体"/>
          <w:b w:val="0"/>
          <w:bCs/>
          <w:color w:val="auto"/>
          <w:szCs w:val="24"/>
        </w:rPr>
        <w:t>弯曲角度： 上≥210°，下≥90°，左≥100°，右≥100°</w:t>
      </w:r>
    </w:p>
    <w:p w14:paraId="10B3E283">
      <w:pPr>
        <w:wordWrap w:val="0"/>
        <w:spacing w:line="360" w:lineRule="auto"/>
        <w:jc w:val="left"/>
        <w:rPr>
          <w:rFonts w:hint="eastAsia" w:ascii="宋体" w:hAnsi="宋体"/>
          <w:b w:val="0"/>
          <w:bCs/>
          <w:color w:val="auto"/>
          <w:szCs w:val="24"/>
        </w:rPr>
      </w:pPr>
      <w:r>
        <w:rPr>
          <w:rFonts w:hint="eastAsia" w:ascii="宋体" w:hAnsi="宋体"/>
          <w:b w:val="0"/>
          <w:bCs/>
          <w:color w:val="auto"/>
          <w:szCs w:val="24"/>
        </w:rPr>
        <w:t>★5</w:t>
      </w:r>
      <w:r>
        <w:rPr>
          <w:rFonts w:hint="eastAsia" w:ascii="宋体" w:hAnsi="宋体"/>
          <w:b w:val="0"/>
          <w:bCs/>
          <w:color w:val="auto"/>
          <w:szCs w:val="24"/>
          <w:lang w:eastAsia="zh-CN"/>
        </w:rPr>
        <w:t>、</w:t>
      </w:r>
      <w:r>
        <w:rPr>
          <w:rFonts w:hint="eastAsia" w:ascii="宋体" w:hAnsi="宋体"/>
          <w:b w:val="0"/>
          <w:bCs/>
          <w:color w:val="auto"/>
          <w:szCs w:val="24"/>
        </w:rPr>
        <w:t>先端部外径：≤5.4mm</w:t>
      </w:r>
    </w:p>
    <w:p w14:paraId="50EB1952">
      <w:pPr>
        <w:wordWrap w:val="0"/>
        <w:spacing w:line="360" w:lineRule="auto"/>
        <w:jc w:val="left"/>
        <w:rPr>
          <w:rFonts w:hint="eastAsia" w:ascii="宋体" w:hAnsi="宋体"/>
          <w:b w:val="0"/>
          <w:bCs/>
          <w:color w:val="auto"/>
          <w:szCs w:val="24"/>
        </w:rPr>
      </w:pPr>
      <w:r>
        <w:rPr>
          <w:rFonts w:hint="eastAsia" w:ascii="宋体" w:hAnsi="宋体"/>
          <w:b w:val="0"/>
          <w:bCs/>
          <w:color w:val="auto"/>
          <w:szCs w:val="24"/>
        </w:rPr>
        <w:t>6</w:t>
      </w:r>
      <w:r>
        <w:rPr>
          <w:rFonts w:hint="eastAsia" w:ascii="宋体" w:hAnsi="宋体"/>
          <w:b w:val="0"/>
          <w:bCs/>
          <w:color w:val="auto"/>
          <w:szCs w:val="24"/>
          <w:lang w:eastAsia="zh-CN"/>
        </w:rPr>
        <w:t>、</w:t>
      </w:r>
      <w:r>
        <w:rPr>
          <w:rFonts w:hint="eastAsia" w:ascii="宋体" w:hAnsi="宋体"/>
          <w:b w:val="0"/>
          <w:bCs/>
          <w:color w:val="auto"/>
          <w:szCs w:val="24"/>
        </w:rPr>
        <w:t>软性部外径： ≤5.8mm</w:t>
      </w:r>
    </w:p>
    <w:p w14:paraId="5B485EEE">
      <w:pPr>
        <w:wordWrap w:val="0"/>
        <w:spacing w:line="360" w:lineRule="auto"/>
        <w:jc w:val="left"/>
        <w:rPr>
          <w:rFonts w:hint="eastAsia" w:ascii="宋体" w:hAnsi="宋体"/>
          <w:b w:val="0"/>
          <w:bCs/>
          <w:color w:val="auto"/>
          <w:szCs w:val="24"/>
        </w:rPr>
      </w:pPr>
      <w:r>
        <w:rPr>
          <w:rFonts w:hint="eastAsia" w:ascii="宋体" w:hAnsi="宋体"/>
          <w:b w:val="0"/>
          <w:bCs/>
          <w:color w:val="auto"/>
          <w:szCs w:val="24"/>
        </w:rPr>
        <w:t>7</w:t>
      </w:r>
      <w:r>
        <w:rPr>
          <w:rFonts w:hint="eastAsia" w:ascii="宋体" w:hAnsi="宋体"/>
          <w:b w:val="0"/>
          <w:bCs/>
          <w:color w:val="auto"/>
          <w:szCs w:val="24"/>
          <w:lang w:eastAsia="zh-CN"/>
        </w:rPr>
        <w:t>、</w:t>
      </w:r>
      <w:r>
        <w:rPr>
          <w:rFonts w:hint="eastAsia" w:ascii="宋体" w:hAnsi="宋体"/>
          <w:b w:val="0"/>
          <w:bCs/>
          <w:color w:val="auto"/>
          <w:szCs w:val="24"/>
        </w:rPr>
        <w:t>工作长度： ≥1100mm</w:t>
      </w:r>
    </w:p>
    <w:p w14:paraId="6A667DD1">
      <w:pPr>
        <w:wordWrap w:val="0"/>
        <w:spacing w:line="360" w:lineRule="auto"/>
        <w:jc w:val="left"/>
        <w:rPr>
          <w:rFonts w:hint="eastAsia" w:ascii="宋体" w:hAnsi="宋体"/>
          <w:b w:val="0"/>
          <w:bCs/>
          <w:color w:val="auto"/>
          <w:szCs w:val="24"/>
        </w:rPr>
      </w:pPr>
      <w:r>
        <w:rPr>
          <w:rFonts w:hint="eastAsia" w:ascii="宋体" w:hAnsi="宋体"/>
          <w:b w:val="0"/>
          <w:bCs/>
          <w:color w:val="auto"/>
          <w:szCs w:val="24"/>
        </w:rPr>
        <w:t>8</w:t>
      </w:r>
      <w:r>
        <w:rPr>
          <w:rFonts w:hint="eastAsia" w:ascii="宋体" w:hAnsi="宋体"/>
          <w:b w:val="0"/>
          <w:bCs/>
          <w:color w:val="auto"/>
          <w:szCs w:val="24"/>
          <w:lang w:eastAsia="zh-CN"/>
        </w:rPr>
        <w:t>、</w:t>
      </w:r>
      <w:r>
        <w:rPr>
          <w:rFonts w:hint="eastAsia" w:ascii="宋体" w:hAnsi="宋体"/>
          <w:b w:val="0"/>
          <w:bCs/>
          <w:color w:val="auto"/>
          <w:szCs w:val="24"/>
        </w:rPr>
        <w:t>全长 ：≥1420mm</w:t>
      </w:r>
    </w:p>
    <w:p w14:paraId="61A83B3C">
      <w:pPr>
        <w:wordWrap w:val="0"/>
        <w:spacing w:line="360" w:lineRule="auto"/>
        <w:jc w:val="left"/>
        <w:rPr>
          <w:rFonts w:hint="eastAsia" w:ascii="宋体" w:hAnsi="宋体"/>
          <w:b w:val="0"/>
          <w:bCs/>
          <w:color w:val="auto"/>
          <w:szCs w:val="24"/>
        </w:rPr>
      </w:pPr>
      <w:r>
        <w:rPr>
          <w:rFonts w:hint="eastAsia" w:ascii="宋体" w:hAnsi="宋体"/>
          <w:b w:val="0"/>
          <w:bCs/>
          <w:color w:val="auto"/>
          <w:szCs w:val="24"/>
        </w:rPr>
        <w:t>9</w:t>
      </w:r>
      <w:r>
        <w:rPr>
          <w:rFonts w:hint="eastAsia" w:ascii="宋体" w:hAnsi="宋体"/>
          <w:b w:val="0"/>
          <w:bCs/>
          <w:color w:val="auto"/>
          <w:szCs w:val="24"/>
          <w:lang w:eastAsia="zh-CN"/>
        </w:rPr>
        <w:t>、</w:t>
      </w:r>
      <w:r>
        <w:rPr>
          <w:rFonts w:hint="eastAsia" w:ascii="宋体" w:hAnsi="宋体"/>
          <w:b w:val="0"/>
          <w:bCs/>
          <w:color w:val="auto"/>
          <w:szCs w:val="24"/>
        </w:rPr>
        <w:t xml:space="preserve">钳子管道最小可视距离： 距离先端≤2.0mm </w:t>
      </w:r>
    </w:p>
    <w:p w14:paraId="1186C249">
      <w:pPr>
        <w:wordWrap w:val="0"/>
        <w:spacing w:line="360" w:lineRule="auto"/>
        <w:jc w:val="left"/>
        <w:rPr>
          <w:rFonts w:hint="eastAsia" w:ascii="宋体" w:hAnsi="宋体"/>
          <w:b w:val="0"/>
          <w:bCs/>
          <w:color w:val="auto"/>
          <w:szCs w:val="24"/>
        </w:rPr>
      </w:pPr>
      <w:r>
        <w:rPr>
          <w:rFonts w:hint="eastAsia" w:ascii="宋体" w:hAnsi="宋体"/>
          <w:b w:val="0"/>
          <w:bCs/>
          <w:color w:val="auto"/>
          <w:szCs w:val="24"/>
        </w:rPr>
        <w:t>10</w:t>
      </w:r>
      <w:r>
        <w:rPr>
          <w:rFonts w:hint="eastAsia" w:ascii="宋体" w:hAnsi="宋体"/>
          <w:b w:val="0"/>
          <w:bCs/>
          <w:color w:val="auto"/>
          <w:szCs w:val="24"/>
          <w:lang w:eastAsia="zh-CN"/>
        </w:rPr>
        <w:t>、</w:t>
      </w:r>
      <w:r>
        <w:rPr>
          <w:rFonts w:hint="eastAsia" w:ascii="宋体" w:hAnsi="宋体"/>
          <w:b w:val="0"/>
          <w:bCs/>
          <w:color w:val="auto"/>
          <w:szCs w:val="24"/>
        </w:rPr>
        <w:t>钳子管道内径： ≥2.10mm</w:t>
      </w:r>
    </w:p>
    <w:p w14:paraId="0D066888">
      <w:pPr>
        <w:wordWrap w:val="0"/>
        <w:spacing w:line="360" w:lineRule="auto"/>
        <w:jc w:val="left"/>
        <w:rPr>
          <w:rFonts w:hint="eastAsia" w:ascii="宋体" w:hAnsi="宋体"/>
          <w:b w:val="0"/>
          <w:bCs/>
          <w:color w:val="auto"/>
          <w:szCs w:val="24"/>
        </w:rPr>
      </w:pPr>
      <w:r>
        <w:rPr>
          <w:rFonts w:hint="eastAsia" w:ascii="宋体" w:hAnsi="宋体"/>
          <w:b w:val="0"/>
          <w:bCs/>
          <w:color w:val="auto"/>
          <w:szCs w:val="24"/>
        </w:rPr>
        <w:t>11</w:t>
      </w:r>
      <w:r>
        <w:rPr>
          <w:rFonts w:hint="eastAsia" w:ascii="宋体" w:hAnsi="宋体"/>
          <w:b w:val="0"/>
          <w:bCs/>
          <w:color w:val="auto"/>
          <w:szCs w:val="24"/>
          <w:lang w:eastAsia="zh-CN"/>
        </w:rPr>
        <w:t>、</w:t>
      </w:r>
      <w:r>
        <w:rPr>
          <w:rFonts w:hint="eastAsia" w:ascii="宋体" w:hAnsi="宋体"/>
          <w:b w:val="0"/>
          <w:bCs/>
          <w:color w:val="auto"/>
          <w:szCs w:val="24"/>
        </w:rPr>
        <w:t>窄带光成像：支持</w:t>
      </w:r>
    </w:p>
    <w:p w14:paraId="5D8D15A0">
      <w:pPr>
        <w:wordWrap w:val="0"/>
        <w:spacing w:line="360" w:lineRule="auto"/>
        <w:jc w:val="left"/>
        <w:rPr>
          <w:rFonts w:hint="eastAsia" w:ascii="宋体" w:hAnsi="宋体"/>
          <w:b w:val="0"/>
          <w:bCs/>
          <w:color w:val="auto"/>
          <w:szCs w:val="24"/>
        </w:rPr>
      </w:pPr>
      <w:r>
        <w:rPr>
          <w:rFonts w:hint="eastAsia" w:ascii="宋体" w:hAnsi="宋体"/>
          <w:b w:val="0"/>
          <w:bCs/>
          <w:color w:val="auto"/>
          <w:szCs w:val="24"/>
        </w:rPr>
        <w:t>12</w:t>
      </w:r>
      <w:r>
        <w:rPr>
          <w:rFonts w:hint="eastAsia" w:ascii="宋体" w:hAnsi="宋体"/>
          <w:b w:val="0"/>
          <w:bCs/>
          <w:color w:val="auto"/>
          <w:szCs w:val="24"/>
          <w:lang w:eastAsia="zh-CN"/>
        </w:rPr>
        <w:t>、</w:t>
      </w:r>
      <w:r>
        <w:rPr>
          <w:rFonts w:hint="eastAsia" w:ascii="宋体" w:hAnsi="宋体"/>
          <w:b w:val="0"/>
          <w:bCs/>
          <w:color w:val="auto"/>
          <w:szCs w:val="24"/>
        </w:rPr>
        <w:t>导光束数量：≥2束</w:t>
      </w:r>
    </w:p>
    <w:p w14:paraId="60144C79">
      <w:pPr>
        <w:wordWrap w:val="0"/>
        <w:spacing w:line="360" w:lineRule="auto"/>
        <w:jc w:val="left"/>
        <w:rPr>
          <w:rFonts w:hint="eastAsia" w:ascii="宋体" w:hAnsi="宋体"/>
          <w:b w:val="0"/>
          <w:bCs/>
          <w:color w:val="auto"/>
          <w:szCs w:val="24"/>
        </w:rPr>
      </w:pPr>
      <w:r>
        <w:rPr>
          <w:rFonts w:hint="eastAsia" w:ascii="宋体" w:hAnsi="宋体"/>
          <w:b w:val="0"/>
          <w:bCs/>
          <w:color w:val="auto"/>
          <w:szCs w:val="24"/>
        </w:rPr>
        <w:t>13</w:t>
      </w:r>
      <w:r>
        <w:rPr>
          <w:rFonts w:hint="eastAsia" w:ascii="宋体" w:hAnsi="宋体"/>
          <w:b w:val="0"/>
          <w:bCs/>
          <w:color w:val="auto"/>
          <w:szCs w:val="24"/>
          <w:lang w:eastAsia="zh-CN"/>
        </w:rPr>
        <w:t>、</w:t>
      </w:r>
      <w:r>
        <w:rPr>
          <w:rFonts w:hint="eastAsia" w:ascii="宋体" w:hAnsi="宋体"/>
          <w:b w:val="0"/>
          <w:bCs/>
          <w:color w:val="auto"/>
          <w:szCs w:val="24"/>
        </w:rPr>
        <w:t>一触式无需防水帽插头：具备，提高清洗消毒便捷性。</w:t>
      </w:r>
    </w:p>
    <w:p w14:paraId="4B956128">
      <w:pPr>
        <w:wordWrap w:val="0"/>
        <w:spacing w:line="360" w:lineRule="auto"/>
        <w:jc w:val="left"/>
        <w:rPr>
          <w:rFonts w:hint="eastAsia" w:ascii="宋体" w:hAnsi="宋体"/>
          <w:b w:val="0"/>
          <w:bCs/>
          <w:color w:val="auto"/>
          <w:szCs w:val="24"/>
        </w:rPr>
      </w:pPr>
      <w:r>
        <w:rPr>
          <w:rFonts w:hint="eastAsia" w:ascii="宋体" w:hAnsi="宋体"/>
          <w:b w:val="0"/>
          <w:bCs/>
          <w:color w:val="auto"/>
          <w:szCs w:val="24"/>
        </w:rPr>
        <w:t>★14</w:t>
      </w:r>
      <w:r>
        <w:rPr>
          <w:rFonts w:hint="eastAsia" w:ascii="宋体" w:hAnsi="宋体"/>
          <w:b w:val="0"/>
          <w:bCs/>
          <w:color w:val="auto"/>
          <w:szCs w:val="24"/>
          <w:lang w:eastAsia="zh-CN"/>
        </w:rPr>
        <w:t>、</w:t>
      </w:r>
      <w:r>
        <w:rPr>
          <w:rFonts w:hint="eastAsia" w:ascii="宋体" w:hAnsi="宋体"/>
          <w:b w:val="0"/>
          <w:bCs/>
          <w:color w:val="auto"/>
          <w:szCs w:val="24"/>
        </w:rPr>
        <w:t>兼容性：兼容科室现有奥林巴斯主机。</w:t>
      </w:r>
    </w:p>
    <w:p w14:paraId="687BA60C">
      <w:pPr>
        <w:wordWrap w:val="0"/>
        <w:spacing w:line="360" w:lineRule="auto"/>
        <w:jc w:val="left"/>
        <w:rPr>
          <w:rFonts w:hint="eastAsia" w:ascii="宋体" w:hAnsi="宋体"/>
          <w:b w:val="0"/>
          <w:bCs/>
          <w:color w:val="auto"/>
          <w:szCs w:val="24"/>
        </w:rPr>
      </w:pPr>
      <w:r>
        <w:rPr>
          <w:rFonts w:hint="eastAsia" w:ascii="宋体" w:hAnsi="宋体"/>
          <w:b w:val="0"/>
          <w:bCs/>
          <w:color w:val="auto"/>
          <w:szCs w:val="24"/>
        </w:rPr>
        <w:t>15</w:t>
      </w:r>
      <w:r>
        <w:rPr>
          <w:rFonts w:hint="eastAsia" w:ascii="宋体" w:hAnsi="宋体"/>
          <w:b w:val="0"/>
          <w:bCs/>
          <w:color w:val="auto"/>
          <w:szCs w:val="24"/>
          <w:lang w:eastAsia="zh-CN"/>
        </w:rPr>
        <w:t>、</w:t>
      </w:r>
      <w:r>
        <w:rPr>
          <w:rFonts w:hint="eastAsia" w:ascii="宋体" w:hAnsi="宋体"/>
          <w:b w:val="0"/>
          <w:bCs/>
          <w:color w:val="auto"/>
          <w:szCs w:val="24"/>
        </w:rPr>
        <w:t>激光、高频电：具备</w:t>
      </w:r>
    </w:p>
    <w:p w14:paraId="27FF32C3">
      <w:r>
        <w:rPr>
          <w:rFonts w:hint="eastAsia" w:ascii="宋体" w:hAnsi="宋体"/>
          <w:b w:val="0"/>
          <w:bCs/>
          <w:color w:val="auto"/>
          <w:szCs w:val="24"/>
        </w:rPr>
        <w:t>16</w:t>
      </w:r>
      <w:r>
        <w:rPr>
          <w:rFonts w:hint="eastAsia" w:ascii="宋体" w:hAnsi="宋体"/>
          <w:b w:val="0"/>
          <w:bCs/>
          <w:color w:val="auto"/>
          <w:szCs w:val="24"/>
          <w:lang w:eastAsia="zh-CN"/>
        </w:rPr>
        <w:t>、</w:t>
      </w:r>
      <w:r>
        <w:rPr>
          <w:rFonts w:hint="eastAsia" w:ascii="宋体" w:hAnsi="宋体"/>
          <w:b w:val="0"/>
          <w:bCs/>
          <w:color w:val="auto"/>
          <w:szCs w:val="24"/>
        </w:rPr>
        <w:t>内镜信息记忆功能：具备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2532A"/>
    <w:rsid w:val="02E25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2026-06-24T11:41:00Z</dcterms:created>
  <dc:creator>汪宪宜</dc:creator>
  <cp:lastModifiedBy>汪宪宜</cp:lastModifiedBy>
  <dcterms:modified xsi:type="dcterms:W3CDTF">2026-06-24T11:42:49Z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664E638EE5EA47D8B7EA9B626AB53F86_11</vt:lpwstr>
  </property>
  <property fmtid="{D5CDD505-2E9C-101B-9397-08002B2CF9AE}" pid="4" name="KSOTemplateDocerSaveRecord">
    <vt:lpwstr>eyJoZGlkIjoiZWUyOTQ1NDM2Zjc0YjU0MjZhMWI3YTAyMzgxNTM2MDQiLCJ1c2VySWQiOiI0NjEyMTI0ODEifQ==</vt:lpwstr>
  </property>
</Properties>
</file>