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D051">
      <w:pPr>
        <w:pStyle w:val="2"/>
        <w:numPr>
          <w:numId w:val="0"/>
        </w:numPr>
        <w:spacing w:before="0" w:after="0" w:line="360" w:lineRule="auto"/>
        <w:ind w:leftChars="322" w:firstLine="562" w:firstLineChars="200"/>
        <w:jc w:val="center"/>
        <w:rPr>
          <w:rFonts w:hint="eastAsia"/>
          <w:color w:val="00000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  <w:highlight w:val="none"/>
        </w:rPr>
        <w:t>服务要求</w:t>
      </w:r>
    </w:p>
    <w:p w14:paraId="26E44C45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705C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一、项目概况</w:t>
      </w:r>
    </w:p>
    <w:p w14:paraId="4F15D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优化本院区停车资源，释放院内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及毗邻市人民医院优质便利车位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优先供给就诊患者，疏导全院职工私家车院外停放，配合院区门诊楼二期施工及交通综合治理，采购周边合规商业停车场1家，专项提供职工包月停车服务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1CA7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服务期限：1年，合同期内车位包月单价固定，成交人不得擅自调价、新增收费项目。</w:t>
      </w:r>
    </w:p>
    <w:p w14:paraId="0F98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</w:p>
    <w:p w14:paraId="682A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二、供应商及场地要求</w:t>
      </w:r>
    </w:p>
    <w:p w14:paraId="0C84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（一）场地区位要求</w:t>
      </w:r>
    </w:p>
    <w:p w14:paraId="38A8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停车场坐落安徽省肿瘤医院周边，场地至医院院区步行距离≤10分钟（备注：距离医院中心点直线距离≤800米），通行道路通畅。</w:t>
      </w:r>
    </w:p>
    <w:p w14:paraId="6D819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（二）车位规模要求</w:t>
      </w:r>
    </w:p>
    <w:p w14:paraId="76C7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成交人提供200个标准机动车固定专属车位，划定区域专供安徽省肿瘤医院职工、公务车辆专属停放，严禁社会车辆、外来车辆挤占、挪用专属车位。医院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享有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上述区域内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场地停车统筹调配权限，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可结合场地实际空间布局自主优化车辆停放排布方式，提升实际停车容纳数量，充分行使场地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自主决策权。</w:t>
      </w:r>
    </w:p>
    <w:p w14:paraId="3A93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（三）场地资质要求</w:t>
      </w:r>
    </w:p>
    <w:p w14:paraId="47B1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1.停车场权属清晰合法，具备经营性停车场备案、合规经营全部手续；</w:t>
      </w:r>
    </w:p>
    <w:p w14:paraId="16A6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2.成交人具备停车场运营、场地维保服务能力。</w:t>
      </w:r>
    </w:p>
    <w:p w14:paraId="70A6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</w:p>
    <w:p w14:paraId="2C76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三、结算要求</w:t>
      </w:r>
    </w:p>
    <w:p w14:paraId="2F9F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1.计费标准：执行固定包月单价，单个车位包月单价最高限价180元/个/月，合同期内价格固定不变；</w:t>
      </w:r>
    </w:p>
    <w:p w14:paraId="2E14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2.结算方式：无月度固定总费用、无车位保底费用，医院根据本院职工实际审核通过、开通包月停车权限的有效台账，按月核对、据实结算。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医院可根据现场每日停车数量实际，要求停车场开通不低于200辆车的停车权限，充分利用停车资源，实际结算时该部分费用免费，服务须无条件配合。</w:t>
      </w:r>
    </w:p>
    <w:p w14:paraId="5476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3.收费约束：成交人严禁向医院职工收取任何额外服务费、管理费、办卡费，仅与医院对公统一结算；</w:t>
      </w:r>
    </w:p>
    <w:p w14:paraId="0FAD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4.付款流程：成交人按季度提交对账清单、合规票据，医院审核无误后20日内完成对公支付；</w:t>
      </w:r>
    </w:p>
    <w:p w14:paraId="2ECF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5.办理规则：职工凭医院有效工作证件和保卫部门证明材料，即可办理包月停车权限，流程简化高效。</w:t>
      </w:r>
    </w:p>
    <w:p w14:paraId="515A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</w:p>
    <w:p w14:paraId="5283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四、场地硬件及设施服务要求</w:t>
      </w:r>
    </w:p>
    <w:p w14:paraId="2B3C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1.场地条件：场地路面硬化完好、停车标线清晰、车道通行顺畅，满足机动车安全停放、错车通行要求；</w:t>
      </w:r>
    </w:p>
    <w:p w14:paraId="7382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2.安防设施：全域全覆盖高清监控设备，配套车牌识别道闸、全域夜间照明系统完好可用；</w:t>
      </w:r>
    </w:p>
    <w:p w14:paraId="7201C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3.应急保障：雨雪、暴雪天气成交人免费落实融雪（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提前撒融雪剂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清雪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除冰、排水作业，保障职工车辆全天候安全通行停放。</w:t>
      </w:r>
    </w:p>
    <w:p w14:paraId="0FDBD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4.系统权限：成交人无条件对医院监管部门开放停车场后台数据、进出台账、监控调取、包月台账查询权限，全程接受医院监管核查。</w:t>
      </w:r>
    </w:p>
    <w:p w14:paraId="34536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</w:p>
    <w:p w14:paraId="4D65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五、现场运营管理服务要求</w:t>
      </w:r>
    </w:p>
    <w:p w14:paraId="5722B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1.专人值守：停车场工作日配置专职现场管理员，负责职工月票办理、车辆引导、秩序管控、乱停乱放整治，维持停车区域规整有序。</w:t>
      </w:r>
    </w:p>
    <w:p w14:paraId="016755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2.专属保障：优先保障本院职工备案车辆停放权限，严禁外来社会车辆挤占职工停车权限。</w:t>
      </w:r>
    </w:p>
    <w:p w14:paraId="2E8F8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3.纠纷处置：场内车辆剐蹭、纠纷、投诉时，成交人第一时间现场积极处置。</w:t>
      </w:r>
    </w:p>
    <w:p w14:paraId="293A5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4.通行要求：保障医院职工车辆便捷通行，严禁设置关卡、二次收费、拦截职工通勤车辆。</w:t>
      </w:r>
    </w:p>
    <w:p w14:paraId="33CADA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5.台账管理：成交人按月报送职工包月办理台账、车辆进出明细，配合医院对账审核。</w:t>
      </w:r>
    </w:p>
    <w:p w14:paraId="04C6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</w:p>
    <w:p w14:paraId="0C1AF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六、双方权责及责任划分</w:t>
      </w:r>
    </w:p>
    <w:p w14:paraId="2F5B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（一）医院权责</w:t>
      </w:r>
    </w:p>
    <w:p w14:paraId="1D3C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1.负责审核本院职工停车资质、核定包月有效台账，据实核对费用、按期对公付款；</w:t>
      </w:r>
    </w:p>
    <w:p w14:paraId="294E7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2.全程监督停车场服务质量、场地运维、人员值守工作，下发整改通知；</w:t>
      </w:r>
    </w:p>
    <w:p w14:paraId="6970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3.督促本院职工遵守停车场现场管理规定，文明规范停车。</w:t>
      </w:r>
    </w:p>
    <w:p w14:paraId="4D4B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（二）成交人权责</w:t>
      </w:r>
    </w:p>
    <w:p w14:paraId="1D7E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1.承担停车场全域安全管理、场地保洁、秩序管控、纠纷处置工作，场内车辆剐蹭、财物丢失、人员纠纷等全部现场问题由成交人负责处置；</w:t>
      </w:r>
    </w:p>
    <w:p w14:paraId="6F52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2.服从医院统筹调度与监管考核，落实全部服务整改要求；</w:t>
      </w:r>
    </w:p>
    <w:p w14:paraId="05F4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3.因设施故障、管理缺位、值守不力、违规对外开放等造成医院及职工损失、投诉纠纷，全部由成交人承担处置责任。</w:t>
      </w:r>
    </w:p>
    <w:p w14:paraId="573C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（三）免责条款</w:t>
      </w:r>
    </w:p>
    <w:p w14:paraId="78B8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职工车辆自身操作不当、物品自行遗失、第三方肇事破坏、不可抗力自然灾害造成损失，成交人不承担赔偿责任。</w:t>
      </w:r>
    </w:p>
    <w:p w14:paraId="2FDDC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</w:p>
    <w:p w14:paraId="29F6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七、考核与合同终止要求</w:t>
      </w:r>
    </w:p>
    <w:p w14:paraId="6F43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1.医院组织专项服务季度考核，考核不合格，合同自动终止，双方据实结算已产生服务费用，互不承担违约责任；</w:t>
      </w:r>
    </w:p>
    <w:p w14:paraId="72C0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2.成交人存在擅自涨价、挤占职工车位、拒绝医院监管、服务整改逾期、转包分包等违约行为，医院有权单方解除合同、扣除对应服务款项，成交人承担对应违约责任；</w:t>
      </w:r>
    </w:p>
    <w:p w14:paraId="3853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3.合同终止后，成交人无条件配合医院职工车辆迁出，不得设置通行、权限障碍。</w:t>
      </w:r>
    </w:p>
    <w:p w14:paraId="086CC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pStyle w:val="2"/>
      <w:lvlText w:val="第%1章"/>
      <w:lvlJc w:val="left"/>
      <w:pPr>
        <w:tabs>
          <w:tab w:val="left" w:pos="3402"/>
        </w:tabs>
        <w:ind w:left="3402" w:hanging="1275"/>
      </w:pPr>
      <w:rPr>
        <w:rFonts w:hint="default"/>
        <w:b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tabs>
          <w:tab w:val="left" w:pos="1609"/>
        </w:tabs>
        <w:ind w:left="1609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 w:tentative="0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 w:tentative="0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C1DA3"/>
    <w:rsid w:val="104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693"/>
      </w:tabs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20" w:lineRule="exact"/>
    </w:pPr>
    <w:rPr>
      <w:rFonts w:eastAsia="微软简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2026-06-24T12:05:00Z</dcterms:created>
  <dc:creator>汪宪宜</dc:creator>
  <cp:lastModifiedBy>汪宪宜</cp:lastModifiedBy>
  <dcterms:modified xsi:type="dcterms:W3CDTF">2026-06-24T12:06:03Z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03A789573D1C416F90AF9F63269DFDBE_11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