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E7614">
      <w:pPr>
        <w:spacing w:line="360" w:lineRule="auto"/>
        <w:jc w:val="center"/>
        <w:outlineLvl w:val="0"/>
        <w:rPr>
          <w:rFonts w:hint="eastAsia"/>
        </w:rPr>
      </w:pPr>
      <w:r>
        <w:rPr>
          <w:rFonts w:hint="eastAsia"/>
          <w:b/>
          <w:sz w:val="32"/>
          <w:lang w:eastAsia="zh-CN"/>
        </w:rPr>
        <w:t>附件</w:t>
      </w:r>
      <w:r>
        <w:rPr>
          <w:rFonts w:hint="eastAsia"/>
          <w:b/>
          <w:sz w:val="32"/>
          <w:lang w:val="en-US" w:eastAsia="zh-CN"/>
        </w:rPr>
        <w:t xml:space="preserve"> </w:t>
      </w:r>
      <w:bookmarkStart w:id="18" w:name="_GoBack"/>
      <w:bookmarkEnd w:id="18"/>
      <w:r>
        <w:rPr>
          <w:rFonts w:hint="eastAsia"/>
          <w:b/>
          <w:sz w:val="32"/>
        </w:rPr>
        <w:t>采购需求</w:t>
      </w:r>
    </w:p>
    <w:p w14:paraId="4EDB153A">
      <w:pPr>
        <w:rPr>
          <w:rFonts w:hint="eastAsia" w:ascii="宋体" w:hAnsi="宋体"/>
          <w:b/>
          <w:color w:val="000000"/>
        </w:rPr>
      </w:pPr>
      <w:bookmarkStart w:id="0" w:name="_Toc22987"/>
      <w:bookmarkStart w:id="1" w:name="_Toc553"/>
      <w:bookmarkStart w:id="2" w:name="_Toc11247"/>
      <w:bookmarkStart w:id="3" w:name="_Toc10989"/>
      <w:bookmarkStart w:id="4" w:name="_Toc10062"/>
      <w:bookmarkStart w:id="5" w:name="_Toc8025"/>
      <w:bookmarkStart w:id="6" w:name="_Toc15170"/>
      <w:bookmarkStart w:id="7" w:name="_Toc17276"/>
      <w:bookmarkStart w:id="8" w:name="_Toc26630"/>
      <w:bookmarkStart w:id="9" w:name="_Toc19874"/>
      <w:bookmarkStart w:id="10" w:name="_Toc13774"/>
      <w:bookmarkStart w:id="11" w:name="_Toc3792"/>
      <w:bookmarkStart w:id="12" w:name="_Toc9203"/>
      <w:bookmarkStart w:id="13" w:name="_Toc17385"/>
      <w:bookmarkStart w:id="14" w:name="_Toc1042"/>
      <w:bookmarkStart w:id="15" w:name="_Toc26048"/>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690F44F7">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1EE32C4F">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353B86B9">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6564E1A9">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1FE223CD">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3EE9EA09">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47115C98">
      <w:pPr>
        <w:ind w:firstLine="482" w:firstLineChars="200"/>
        <w:rPr>
          <w:rFonts w:hint="eastAsia" w:ascii="宋体" w:hAnsi="宋体" w:eastAsia="宋体"/>
          <w:b/>
          <w:color w:val="000000"/>
          <w:lang w:eastAsia="zh-CN"/>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080BCFAC">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F266005">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1DB8BD1F">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609FFE3B">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5842D989">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2A021405">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0D03180E">
      <w:pPr>
        <w:rPr>
          <w:rFonts w:hint="eastAsia" w:ascii="宋体" w:hAnsi="宋体"/>
          <w:b/>
          <w:color w:val="000000"/>
        </w:rPr>
      </w:pPr>
    </w:p>
    <w:p w14:paraId="0A558F23">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6D621E37">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r>
        <w:rPr>
          <w:rFonts w:hint="eastAsia" w:ascii="宋体" w:hAnsi="宋体" w:eastAsia="宋体"/>
          <w:b/>
          <w:color w:val="000000"/>
          <w:sz w:val="24"/>
          <w:szCs w:val="20"/>
          <w:lang w:eastAsia="zh-CN"/>
        </w:rPr>
        <w:t>及其他要求</w:t>
      </w:r>
    </w:p>
    <w:p w14:paraId="7F0E6F1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1.处理技术：超声空化组织处理技术；</w:t>
      </w:r>
    </w:p>
    <w:p w14:paraId="30DC18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2.功能：全自动快速完成病理组织固定、脱水、透明、浸蜡的随取随做流水线式处理，中间无需人工操作；</w:t>
      </w:r>
    </w:p>
    <w:p w14:paraId="32B01F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3.一种试剂即可完成组织固定、脱水、透明全流程，试剂一次性使用保证浓度，保证组织处理效果；</w:t>
      </w:r>
    </w:p>
    <w:p w14:paraId="2EEB3C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4.新试剂储存箱：设备1次最大可加载≥14L新试剂，1次加载多天使用；</w:t>
      </w:r>
    </w:p>
    <w:p w14:paraId="6F4747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5.废试剂储存箱：设备1次最大可收集≥16L废试剂；</w:t>
      </w:r>
    </w:p>
    <w:p w14:paraId="628AE9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6.废液自动收集：一次按键，加载试剂后原桶自动回收废液；</w:t>
      </w:r>
    </w:p>
    <w:p w14:paraId="1DABA1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7.异常断电恢复：具有异常断电恢复功能，异常断电后屏幕显示流程恢复提示信息，使用更安全或内置备用电池，待机时长≥3小时；</w:t>
      </w:r>
    </w:p>
    <w:p w14:paraId="3A83AA6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8.管路清洗：具备管路一键自动清洗功能，防止磷酸盐结晶堵塞，屏幕可实时显示正在清洗界面；</w:t>
      </w:r>
    </w:p>
    <w:p w14:paraId="597378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9.处理结果不影响免疫组化和分子病理检测；</w:t>
      </w:r>
    </w:p>
    <w:p w14:paraId="26AD66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10.提篮清理：集成高温烘烤清理提篮功能，屏幕可实时显示正在提篮烘烤清理界面；清理不使用二甲苯等特殊试剂；</w:t>
      </w:r>
    </w:p>
    <w:p w14:paraId="2ED285EE">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11.最大处理通量：≥90例/小时；</w:t>
      </w:r>
    </w:p>
    <w:p w14:paraId="72F6435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12.最大载机量：≥240例；</w:t>
      </w:r>
    </w:p>
    <w:p w14:paraId="0DEE7E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13.批次处理间隔：约40分钟/批次；</w:t>
      </w:r>
    </w:p>
    <w:p w14:paraId="0E0F70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14.组织脱水时间：小组织（0.3cm及以下点状活检及0.1cm穿刺标本）约20~40min；大组织（直径≤1.5，厚度0.2cm）约60~90min；</w:t>
      </w:r>
    </w:p>
    <w:p w14:paraId="1C4271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15.显示器：≥12英寸彩色触摸屏；</w:t>
      </w:r>
    </w:p>
    <w:p w14:paraId="5EFD1D3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16.蜡液管理：具有一键自动排蜡功能；</w:t>
      </w:r>
    </w:p>
    <w:p w14:paraId="158541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17.废气处理：废气处理系统内置活性炭炭包，对废气集中处理；</w:t>
      </w:r>
    </w:p>
    <w:p w14:paraId="2A31A8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18.安全防护：设备开机自检；</w:t>
      </w:r>
    </w:p>
    <w:p w14:paraId="26651B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19.预约化蜡：具有定时预约化蜡功能；</w:t>
      </w:r>
    </w:p>
    <w:p w14:paraId="1F61A8D7">
      <w:r>
        <w:rPr>
          <w:rFonts w:hint="eastAsia" w:ascii="宋体" w:hAnsi="宋体" w:eastAsia="宋体" w:cs="宋体"/>
          <w:kern w:val="2"/>
          <w:sz w:val="24"/>
          <w:szCs w:val="24"/>
          <w:lang w:val="en-US" w:eastAsia="zh-CN" w:bidi="ar"/>
        </w:rPr>
        <w:t>20.远程联网功能：在线故障监测。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646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ind w:firstLine="570"/>
    </w:pPr>
    <w:rPr>
      <w:rFonts w:ascii="黑体" w:eastAsia="仿宋_GB2312"/>
      <w:sz w:val="28"/>
    </w:rPr>
  </w:style>
  <w:style w:type="paragraph" w:styleId="3">
    <w:name w:val="Body Text First Indent 2"/>
    <w:basedOn w:val="2"/>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2026-07-03T06:21:26Z</dcterms:created>
  <dc:creator>Administrator</dc:creator>
  <cp:lastModifiedBy>Administrator</cp:lastModifiedBy>
  <dcterms:modified xsi:type="dcterms:W3CDTF">2026-07-03T06:21:44Z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4597E344D3634F4CBCD4F8D4BEB026E9_12</vt:lpwstr>
  </property>
</Properties>
</file>