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38E7C3">
      <w:pPr>
        <w:pStyle w:val="7"/>
        <w:numPr>
          <w:ilvl w:val="0"/>
          <w:numId w:val="0"/>
        </w:numPr>
        <w:spacing w:before="240" w:after="240"/>
        <w:ind w:left="2693" w:leftChars="0" w:hanging="1275" w:firstLineChars="0"/>
        <w:rPr>
          <w:sz w:val="32"/>
          <w:szCs w:val="32"/>
          <w:highlight w:val="none"/>
        </w:rPr>
      </w:pPr>
      <w:bookmarkStart w:id="0" w:name="_Toc6891"/>
      <w:r>
        <w:rPr>
          <w:rFonts w:hint="eastAsia"/>
          <w:sz w:val="32"/>
          <w:szCs w:val="32"/>
          <w:highlight w:val="none"/>
        </w:rPr>
        <w:t>采购需求</w:t>
      </w:r>
      <w:bookmarkEnd w:id="0"/>
    </w:p>
    <w:p w14:paraId="0BCFA691">
      <w:pPr>
        <w:spacing w:line="360" w:lineRule="auto"/>
        <w:rPr>
          <w:rFonts w:hint="eastAsia" w:ascii="宋体" w:hAnsi="宋体" w:cs="宋体"/>
          <w:b/>
          <w:bCs/>
          <w:szCs w:val="24"/>
          <w:highlight w:val="none"/>
        </w:rPr>
      </w:pPr>
      <w:bookmarkStart w:id="1" w:name="_Toc481227638"/>
      <w:r>
        <w:rPr>
          <w:rFonts w:hint="eastAsia" w:ascii="宋体" w:hAnsi="宋体" w:cs="宋体"/>
          <w:b/>
          <w:bCs/>
          <w:szCs w:val="24"/>
          <w:highlight w:val="none"/>
        </w:rPr>
        <w:t>总则：以下条款如参选人参与参选，视为参</w:t>
      </w:r>
      <w:bookmarkStart w:id="2" w:name="_GoBack"/>
      <w:bookmarkEnd w:id="2"/>
      <w:r>
        <w:rPr>
          <w:rFonts w:hint="eastAsia" w:ascii="宋体" w:hAnsi="宋体" w:cs="宋体"/>
          <w:b/>
          <w:bCs/>
          <w:szCs w:val="24"/>
          <w:highlight w:val="none"/>
        </w:rPr>
        <w:t>选人自动响应。</w:t>
      </w:r>
    </w:p>
    <w:p w14:paraId="691ECB25">
      <w:pPr>
        <w:spacing w:line="360" w:lineRule="auto"/>
        <w:rPr>
          <w:rFonts w:hint="eastAsia" w:ascii="宋体" w:hAnsi="宋体" w:cs="宋体"/>
          <w:b/>
          <w:bCs/>
          <w:szCs w:val="24"/>
          <w:highlight w:val="none"/>
        </w:rPr>
      </w:pPr>
      <w:r>
        <w:rPr>
          <w:rFonts w:hint="eastAsia" w:ascii="宋体" w:hAnsi="宋体" w:cs="宋体"/>
          <w:b/>
          <w:bCs/>
          <w:szCs w:val="24"/>
          <w:highlight w:val="none"/>
        </w:rPr>
        <w:t>1、</w:t>
      </w:r>
      <w:r>
        <w:rPr>
          <w:rFonts w:hint="eastAsia" w:ascii="宋体" w:hAnsi="宋体" w:cs="宋体"/>
          <w:b/>
          <w:bCs/>
          <w:szCs w:val="24"/>
          <w:highlight w:val="none"/>
          <w:lang w:val="en-US" w:eastAsia="zh-CN"/>
        </w:rPr>
        <w:t>参选</w:t>
      </w:r>
      <w:r>
        <w:rPr>
          <w:rFonts w:hint="eastAsia" w:ascii="宋体" w:hAnsi="宋体" w:cs="宋体"/>
          <w:b/>
          <w:bCs/>
          <w:szCs w:val="24"/>
          <w:highlight w:val="none"/>
        </w:rPr>
        <w:t>产品信息接口全部免费开放，并按采购人要求无条件免费与医院相关信息系统对接；</w:t>
      </w:r>
    </w:p>
    <w:p w14:paraId="1524BD2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kern w:val="2"/>
          <w:sz w:val="24"/>
          <w:szCs w:val="24"/>
          <w:highlight w:val="none"/>
          <w:lang w:val="en-US" w:eastAsia="zh-CN" w:bidi="ar-SA"/>
        </w:rPr>
      </w:pPr>
    </w:p>
    <w:p w14:paraId="3773E1ED">
      <w:pPr>
        <w:pStyle w:val="4"/>
        <w:rPr>
          <w:rFonts w:hint="eastAsia"/>
          <w:highlight w:val="none"/>
          <w:lang w:val="en-US" w:eastAsia="zh-CN"/>
        </w:rPr>
      </w:pPr>
    </w:p>
    <w:p w14:paraId="68BD4B70">
      <w:pPr>
        <w:keepNext w:val="0"/>
        <w:keepLines w:val="0"/>
        <w:pageBreakBefore w:val="0"/>
        <w:numPr>
          <w:ilvl w:val="0"/>
          <w:numId w:val="0"/>
        </w:numPr>
        <w:shd w:val="clear" w:color="auto" w:fill="auto"/>
        <w:kinsoku/>
        <w:wordWrap/>
        <w:overflowPunct/>
        <w:topLinePunct w:val="0"/>
        <w:autoSpaceDE/>
        <w:autoSpaceDN/>
        <w:bidi w:val="0"/>
        <w:spacing w:line="360" w:lineRule="auto"/>
        <w:ind w:left="0" w:leftChars="0" w:firstLine="0" w:firstLineChars="0"/>
        <w:jc w:val="left"/>
        <w:outlineLvl w:val="0"/>
        <w:rPr>
          <w:rFonts w:hint="eastAsia" w:ascii="宋体" w:hAnsi="宋体" w:eastAsia="宋体" w:cs="宋体"/>
          <w:b/>
          <w:color w:val="auto"/>
          <w:kern w:val="2"/>
          <w:sz w:val="24"/>
          <w:szCs w:val="24"/>
          <w:highlight w:val="none"/>
          <w:lang w:val="en-US" w:eastAsia="zh-CN"/>
        </w:rPr>
      </w:pPr>
      <w:r>
        <w:rPr>
          <w:rFonts w:hint="eastAsia" w:ascii="宋体" w:hAnsi="宋体" w:eastAsia="宋体" w:cs="宋体"/>
          <w:b/>
          <w:color w:val="auto"/>
          <w:kern w:val="2"/>
          <w:sz w:val="24"/>
          <w:szCs w:val="24"/>
          <w:highlight w:val="none"/>
          <w:lang w:val="en-US" w:eastAsia="zh-CN" w:bidi="ar-SA"/>
        </w:rPr>
        <w:t>一、</w:t>
      </w:r>
      <w:r>
        <w:rPr>
          <w:rFonts w:hint="eastAsia" w:ascii="宋体" w:hAnsi="宋体" w:eastAsia="宋体" w:cs="宋体"/>
          <w:b/>
          <w:color w:val="auto"/>
          <w:kern w:val="2"/>
          <w:sz w:val="24"/>
          <w:szCs w:val="24"/>
          <w:highlight w:val="none"/>
          <w:lang w:val="en-US" w:eastAsia="zh-CN"/>
        </w:rPr>
        <w:t>升级拓展配置</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3"/>
        <w:gridCol w:w="1066"/>
        <w:gridCol w:w="1183"/>
        <w:gridCol w:w="4205"/>
        <w:gridCol w:w="789"/>
        <w:gridCol w:w="716"/>
      </w:tblGrid>
      <w:tr w14:paraId="2A492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30" w:type="pct"/>
            <w:noWrap/>
            <w:vAlign w:val="center"/>
          </w:tcPr>
          <w:p w14:paraId="152F2C4F">
            <w:pPr>
              <w:keepNext w:val="0"/>
              <w:keepLines w:val="0"/>
              <w:pageBreakBefore w:val="0"/>
              <w:widowControl/>
              <w:kinsoku/>
              <w:wordWrap/>
              <w:overflowPunct/>
              <w:topLinePunct w:val="0"/>
              <w:autoSpaceDE/>
              <w:autoSpaceDN/>
              <w:bidi w:val="0"/>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序号</w:t>
            </w:r>
          </w:p>
        </w:tc>
        <w:tc>
          <w:tcPr>
            <w:tcW w:w="625" w:type="pct"/>
            <w:noWrap/>
            <w:vAlign w:val="center"/>
          </w:tcPr>
          <w:p w14:paraId="143D3892">
            <w:pPr>
              <w:keepNext w:val="0"/>
              <w:keepLines w:val="0"/>
              <w:pageBreakBefore w:val="0"/>
              <w:widowControl/>
              <w:kinsoku/>
              <w:wordWrap/>
              <w:overflowPunct/>
              <w:topLinePunct w:val="0"/>
              <w:autoSpaceDE/>
              <w:autoSpaceDN/>
              <w:bidi w:val="0"/>
              <w:spacing w:line="360" w:lineRule="auto"/>
              <w:ind w:left="0"/>
              <w:jc w:val="center"/>
              <w:textAlignment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项目</w:t>
            </w:r>
          </w:p>
        </w:tc>
        <w:tc>
          <w:tcPr>
            <w:tcW w:w="694" w:type="pct"/>
            <w:noWrap/>
            <w:vAlign w:val="center"/>
          </w:tcPr>
          <w:p w14:paraId="615DD1D3">
            <w:pPr>
              <w:keepNext w:val="0"/>
              <w:keepLines w:val="0"/>
              <w:pageBreakBefore w:val="0"/>
              <w:widowControl/>
              <w:kinsoku/>
              <w:wordWrap/>
              <w:overflowPunct/>
              <w:topLinePunct w:val="0"/>
              <w:autoSpaceDE/>
              <w:autoSpaceDN/>
              <w:bidi w:val="0"/>
              <w:spacing w:line="360" w:lineRule="auto"/>
              <w:ind w:left="0"/>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功能</w:t>
            </w:r>
            <w:r>
              <w:rPr>
                <w:rFonts w:hint="eastAsia" w:ascii="宋体" w:hAnsi="宋体" w:eastAsia="宋体" w:cs="宋体"/>
                <w:color w:val="000000"/>
                <w:kern w:val="0"/>
                <w:sz w:val="24"/>
                <w:szCs w:val="24"/>
                <w:highlight w:val="none"/>
                <w:lang w:bidi="ar"/>
              </w:rPr>
              <w:t>模块</w:t>
            </w:r>
          </w:p>
        </w:tc>
        <w:tc>
          <w:tcPr>
            <w:tcW w:w="2467" w:type="pct"/>
            <w:noWrap/>
            <w:vAlign w:val="center"/>
          </w:tcPr>
          <w:p w14:paraId="664C8945">
            <w:pPr>
              <w:keepNext w:val="0"/>
              <w:keepLines w:val="0"/>
              <w:pageBreakBefore w:val="0"/>
              <w:widowControl/>
              <w:kinsoku/>
              <w:wordWrap/>
              <w:overflowPunct/>
              <w:topLinePunct w:val="0"/>
              <w:autoSpaceDE/>
              <w:autoSpaceDN/>
              <w:bidi w:val="0"/>
              <w:spacing w:line="360" w:lineRule="auto"/>
              <w:ind w:left="0"/>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功能描述</w:t>
            </w:r>
          </w:p>
        </w:tc>
        <w:tc>
          <w:tcPr>
            <w:tcW w:w="462" w:type="pct"/>
            <w:noWrap/>
            <w:vAlign w:val="center"/>
          </w:tcPr>
          <w:p w14:paraId="09D3EFE4">
            <w:pPr>
              <w:keepNext w:val="0"/>
              <w:keepLines w:val="0"/>
              <w:pageBreakBefore w:val="0"/>
              <w:widowControl/>
              <w:kinsoku/>
              <w:wordWrap/>
              <w:overflowPunct/>
              <w:topLinePunct w:val="0"/>
              <w:autoSpaceDE/>
              <w:autoSpaceDN/>
              <w:bidi w:val="0"/>
              <w:spacing w:line="360" w:lineRule="auto"/>
              <w:ind w:left="0"/>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单位</w:t>
            </w:r>
          </w:p>
        </w:tc>
        <w:tc>
          <w:tcPr>
            <w:tcW w:w="420" w:type="pct"/>
            <w:noWrap/>
            <w:vAlign w:val="center"/>
          </w:tcPr>
          <w:p w14:paraId="30E7A107">
            <w:pPr>
              <w:keepNext w:val="0"/>
              <w:keepLines w:val="0"/>
              <w:pageBreakBefore w:val="0"/>
              <w:widowControl/>
              <w:kinsoku/>
              <w:wordWrap/>
              <w:overflowPunct/>
              <w:topLinePunct w:val="0"/>
              <w:autoSpaceDE/>
              <w:autoSpaceDN/>
              <w:bidi w:val="0"/>
              <w:spacing w:line="360" w:lineRule="auto"/>
              <w:ind w:left="0"/>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数量</w:t>
            </w:r>
          </w:p>
        </w:tc>
      </w:tr>
      <w:tr w14:paraId="57457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330" w:type="pct"/>
            <w:noWrap w:val="0"/>
            <w:vAlign w:val="center"/>
          </w:tcPr>
          <w:p w14:paraId="2BB760B2">
            <w:pPr>
              <w:keepNext w:val="0"/>
              <w:keepLines w:val="0"/>
              <w:pageBreakBefore w:val="0"/>
              <w:widowControl/>
              <w:kinsoku/>
              <w:wordWrap/>
              <w:overflowPunct/>
              <w:topLinePunct w:val="0"/>
              <w:autoSpaceDE/>
              <w:autoSpaceDN/>
              <w:bidi w:val="0"/>
              <w:spacing w:line="360" w:lineRule="auto"/>
              <w:ind w:left="0"/>
              <w:jc w:val="center"/>
              <w:textAlignment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w:t>
            </w:r>
          </w:p>
        </w:tc>
        <w:tc>
          <w:tcPr>
            <w:tcW w:w="625" w:type="pct"/>
            <w:vMerge w:val="restart"/>
            <w:noWrap/>
            <w:vAlign w:val="center"/>
          </w:tcPr>
          <w:p w14:paraId="6B598D03">
            <w:pPr>
              <w:keepNext w:val="0"/>
              <w:keepLines w:val="0"/>
              <w:pageBreakBefore w:val="0"/>
              <w:widowControl/>
              <w:kinsoku/>
              <w:wordWrap/>
              <w:overflowPunct/>
              <w:topLinePunct w:val="0"/>
              <w:autoSpaceDE/>
              <w:autoSpaceDN/>
              <w:bidi w:val="0"/>
              <w:spacing w:line="360" w:lineRule="auto"/>
              <w:ind w:left="0"/>
              <w:textAlignment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核医学</w:t>
            </w:r>
            <w:r>
              <w:rPr>
                <w:rFonts w:hint="eastAsia" w:ascii="宋体" w:hAnsi="宋体" w:eastAsia="宋体" w:cs="宋体"/>
                <w:color w:val="000000"/>
                <w:kern w:val="0"/>
                <w:sz w:val="24"/>
                <w:szCs w:val="24"/>
                <w:highlight w:val="none"/>
                <w:lang w:bidi="ar"/>
              </w:rPr>
              <w:t>平台升级</w:t>
            </w:r>
            <w:r>
              <w:rPr>
                <w:rFonts w:hint="eastAsia" w:ascii="宋体" w:hAnsi="宋体" w:eastAsia="宋体" w:cs="宋体"/>
                <w:color w:val="000000"/>
                <w:kern w:val="0"/>
                <w:sz w:val="24"/>
                <w:szCs w:val="24"/>
                <w:highlight w:val="none"/>
                <w:lang w:val="en-US" w:eastAsia="zh-CN" w:bidi="ar"/>
              </w:rPr>
              <w:t>拓展</w:t>
            </w:r>
          </w:p>
        </w:tc>
        <w:tc>
          <w:tcPr>
            <w:tcW w:w="694" w:type="pct"/>
            <w:noWrap/>
            <w:vAlign w:val="center"/>
          </w:tcPr>
          <w:p w14:paraId="6360F2CD">
            <w:pPr>
              <w:keepNext w:val="0"/>
              <w:keepLines w:val="0"/>
              <w:pageBreakBefore w:val="0"/>
              <w:widowControl/>
              <w:kinsoku/>
              <w:wordWrap/>
              <w:overflowPunct/>
              <w:topLinePunct w:val="0"/>
              <w:autoSpaceDE/>
              <w:autoSpaceDN/>
              <w:bidi w:val="0"/>
              <w:spacing w:line="360" w:lineRule="auto"/>
              <w:ind w:left="0"/>
              <w:textAlignment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核医学平台整体升级</w:t>
            </w:r>
          </w:p>
        </w:tc>
        <w:tc>
          <w:tcPr>
            <w:tcW w:w="2467" w:type="pct"/>
            <w:noWrap/>
            <w:vAlign w:val="center"/>
          </w:tcPr>
          <w:p w14:paraId="287466BB">
            <w:pPr>
              <w:keepNext w:val="0"/>
              <w:keepLines w:val="0"/>
              <w:pageBreakBefore w:val="0"/>
              <w:widowControl/>
              <w:kinsoku/>
              <w:wordWrap/>
              <w:overflowPunct/>
              <w:topLinePunct w:val="0"/>
              <w:autoSpaceDE/>
              <w:autoSpaceDN/>
              <w:bidi w:val="0"/>
              <w:spacing w:line="360" w:lineRule="auto"/>
              <w:ind w:left="0"/>
              <w:textAlignment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现有系统平台升级为全新的BS系统平台</w:t>
            </w:r>
          </w:p>
        </w:tc>
        <w:tc>
          <w:tcPr>
            <w:tcW w:w="462" w:type="pct"/>
            <w:noWrap/>
            <w:vAlign w:val="center"/>
          </w:tcPr>
          <w:p w14:paraId="50A87B74">
            <w:pPr>
              <w:keepNext w:val="0"/>
              <w:keepLines w:val="0"/>
              <w:pageBreakBefore w:val="0"/>
              <w:widowControl/>
              <w:kinsoku/>
              <w:wordWrap/>
              <w:overflowPunct/>
              <w:topLinePunct w:val="0"/>
              <w:autoSpaceDE/>
              <w:autoSpaceDN/>
              <w:bidi w:val="0"/>
              <w:spacing w:line="360" w:lineRule="auto"/>
              <w:ind w:left="0"/>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套</w:t>
            </w:r>
          </w:p>
        </w:tc>
        <w:tc>
          <w:tcPr>
            <w:tcW w:w="420" w:type="pct"/>
            <w:noWrap/>
            <w:vAlign w:val="center"/>
          </w:tcPr>
          <w:p w14:paraId="253273B7">
            <w:pPr>
              <w:keepNext w:val="0"/>
              <w:keepLines w:val="0"/>
              <w:pageBreakBefore w:val="0"/>
              <w:widowControl/>
              <w:kinsoku/>
              <w:wordWrap/>
              <w:overflowPunct/>
              <w:topLinePunct w:val="0"/>
              <w:autoSpaceDE/>
              <w:autoSpaceDN/>
              <w:bidi w:val="0"/>
              <w:spacing w:line="360" w:lineRule="auto"/>
              <w:ind w:left="0"/>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１</w:t>
            </w:r>
          </w:p>
        </w:tc>
      </w:tr>
      <w:tr w14:paraId="7F79B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330" w:type="pct"/>
            <w:noWrap w:val="0"/>
            <w:vAlign w:val="center"/>
          </w:tcPr>
          <w:p w14:paraId="357611C5">
            <w:pPr>
              <w:keepNext w:val="0"/>
              <w:keepLines w:val="0"/>
              <w:pageBreakBefore w:val="0"/>
              <w:widowControl/>
              <w:kinsoku/>
              <w:wordWrap/>
              <w:overflowPunct/>
              <w:topLinePunct w:val="0"/>
              <w:autoSpaceDE/>
              <w:autoSpaceDN/>
              <w:bidi w:val="0"/>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w:t>
            </w:r>
          </w:p>
        </w:tc>
        <w:tc>
          <w:tcPr>
            <w:tcW w:w="625" w:type="pct"/>
            <w:vMerge w:val="continue"/>
            <w:noWrap/>
            <w:vAlign w:val="center"/>
          </w:tcPr>
          <w:p w14:paraId="26705815">
            <w:pPr>
              <w:keepNext w:val="0"/>
              <w:keepLines w:val="0"/>
              <w:pageBreakBefore w:val="0"/>
              <w:widowControl/>
              <w:kinsoku/>
              <w:wordWrap/>
              <w:overflowPunct/>
              <w:topLinePunct w:val="0"/>
              <w:autoSpaceDE/>
              <w:autoSpaceDN/>
              <w:bidi w:val="0"/>
              <w:spacing w:line="360" w:lineRule="auto"/>
              <w:ind w:left="0"/>
              <w:textAlignment w:val="center"/>
              <w:rPr>
                <w:rFonts w:hint="eastAsia" w:ascii="宋体" w:hAnsi="宋体" w:eastAsia="宋体" w:cs="宋体"/>
                <w:color w:val="000000"/>
                <w:sz w:val="24"/>
                <w:szCs w:val="24"/>
                <w:highlight w:val="none"/>
                <w:lang w:val="en-US" w:eastAsia="zh-CN"/>
              </w:rPr>
            </w:pPr>
          </w:p>
        </w:tc>
        <w:tc>
          <w:tcPr>
            <w:tcW w:w="694" w:type="pct"/>
            <w:noWrap/>
            <w:vAlign w:val="center"/>
          </w:tcPr>
          <w:p w14:paraId="04833D0A">
            <w:pPr>
              <w:keepNext w:val="0"/>
              <w:keepLines w:val="0"/>
              <w:pageBreakBefore w:val="0"/>
              <w:widowControl/>
              <w:kinsoku/>
              <w:wordWrap/>
              <w:overflowPunct/>
              <w:topLinePunct w:val="0"/>
              <w:autoSpaceDE/>
              <w:autoSpaceDN/>
              <w:bidi w:val="0"/>
              <w:spacing w:line="360" w:lineRule="auto"/>
              <w:ind w:left="0"/>
              <w:textAlignment w:val="center"/>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sz w:val="24"/>
                <w:szCs w:val="24"/>
                <w:highlight w:val="none"/>
                <w:lang w:val="en-US" w:eastAsia="zh-CN"/>
              </w:rPr>
              <w:t>旧数据备份与导入</w:t>
            </w:r>
          </w:p>
        </w:tc>
        <w:tc>
          <w:tcPr>
            <w:tcW w:w="2467" w:type="pct"/>
            <w:noWrap w:val="0"/>
            <w:vAlign w:val="center"/>
          </w:tcPr>
          <w:p w14:paraId="1CDA802F">
            <w:pPr>
              <w:keepNext w:val="0"/>
              <w:keepLines w:val="0"/>
              <w:pageBreakBefore w:val="0"/>
              <w:widowControl/>
              <w:kinsoku/>
              <w:wordWrap/>
              <w:overflowPunct/>
              <w:topLinePunct w:val="0"/>
              <w:autoSpaceDE/>
              <w:autoSpaceDN/>
              <w:bidi w:val="0"/>
              <w:spacing w:line="360" w:lineRule="auto"/>
              <w:ind w:left="0"/>
              <w:jc w:val="left"/>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kern w:val="0"/>
                <w:sz w:val="24"/>
                <w:szCs w:val="24"/>
                <w:highlight w:val="none"/>
                <w:lang w:val="en-US" w:eastAsia="zh-CN" w:bidi="ar"/>
              </w:rPr>
              <w:t>历史旧数据无缝迁移至新系统</w:t>
            </w:r>
          </w:p>
        </w:tc>
        <w:tc>
          <w:tcPr>
            <w:tcW w:w="462" w:type="pct"/>
            <w:noWrap/>
            <w:vAlign w:val="center"/>
          </w:tcPr>
          <w:p w14:paraId="34F30981">
            <w:pPr>
              <w:keepNext w:val="0"/>
              <w:keepLines w:val="0"/>
              <w:pageBreakBefore w:val="0"/>
              <w:widowControl/>
              <w:kinsoku/>
              <w:wordWrap/>
              <w:overflowPunct/>
              <w:topLinePunct w:val="0"/>
              <w:autoSpaceDE/>
              <w:autoSpaceDN/>
              <w:bidi w:val="0"/>
              <w:spacing w:line="360" w:lineRule="auto"/>
              <w:ind w:left="0"/>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套</w:t>
            </w:r>
          </w:p>
        </w:tc>
        <w:tc>
          <w:tcPr>
            <w:tcW w:w="420" w:type="pct"/>
            <w:noWrap/>
            <w:vAlign w:val="center"/>
          </w:tcPr>
          <w:p w14:paraId="7C36CE20">
            <w:pPr>
              <w:keepNext w:val="0"/>
              <w:keepLines w:val="0"/>
              <w:pageBreakBefore w:val="0"/>
              <w:widowControl/>
              <w:kinsoku/>
              <w:wordWrap/>
              <w:overflowPunct/>
              <w:topLinePunct w:val="0"/>
              <w:autoSpaceDE/>
              <w:autoSpaceDN/>
              <w:bidi w:val="0"/>
              <w:spacing w:line="360" w:lineRule="auto"/>
              <w:ind w:left="0"/>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w:t>
            </w:r>
          </w:p>
        </w:tc>
      </w:tr>
      <w:tr w14:paraId="15CD0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330" w:type="pct"/>
            <w:noWrap w:val="0"/>
            <w:vAlign w:val="center"/>
          </w:tcPr>
          <w:p w14:paraId="6117DD02">
            <w:pPr>
              <w:keepNext w:val="0"/>
              <w:keepLines w:val="0"/>
              <w:pageBreakBefore w:val="0"/>
              <w:widowControl/>
              <w:kinsoku/>
              <w:wordWrap/>
              <w:overflowPunct/>
              <w:topLinePunct w:val="0"/>
              <w:autoSpaceDE/>
              <w:autoSpaceDN/>
              <w:bidi w:val="0"/>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w:t>
            </w:r>
          </w:p>
        </w:tc>
        <w:tc>
          <w:tcPr>
            <w:tcW w:w="625" w:type="pct"/>
            <w:vMerge w:val="restart"/>
            <w:noWrap/>
            <w:vAlign w:val="center"/>
          </w:tcPr>
          <w:p w14:paraId="0E636251">
            <w:pPr>
              <w:keepNext w:val="0"/>
              <w:keepLines w:val="0"/>
              <w:pageBreakBefore w:val="0"/>
              <w:widowControl/>
              <w:kinsoku/>
              <w:wordWrap/>
              <w:overflowPunct/>
              <w:topLinePunct w:val="0"/>
              <w:autoSpaceDE/>
              <w:autoSpaceDN/>
              <w:bidi w:val="0"/>
              <w:spacing w:line="360" w:lineRule="auto"/>
              <w:ind w:left="0"/>
              <w:textAlignment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sz w:val="24"/>
                <w:szCs w:val="24"/>
                <w:highlight w:val="none"/>
                <w:lang w:val="en-US" w:eastAsia="zh-CN"/>
              </w:rPr>
              <w:t>功能升级</w:t>
            </w:r>
          </w:p>
        </w:tc>
        <w:tc>
          <w:tcPr>
            <w:tcW w:w="694" w:type="pct"/>
            <w:noWrap/>
            <w:vAlign w:val="center"/>
          </w:tcPr>
          <w:p w14:paraId="48258A03">
            <w:pPr>
              <w:keepNext w:val="0"/>
              <w:keepLines w:val="0"/>
              <w:pageBreakBefore w:val="0"/>
              <w:widowControl/>
              <w:kinsoku/>
              <w:wordWrap/>
              <w:overflowPunct/>
              <w:topLinePunct w:val="0"/>
              <w:autoSpaceDE/>
              <w:autoSpaceDN/>
              <w:bidi w:val="0"/>
              <w:spacing w:line="360" w:lineRule="auto"/>
              <w:ind w:left="0"/>
              <w:textAlignment w:val="center"/>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
              </w:rPr>
              <w:t>核医学服务端</w:t>
            </w:r>
          </w:p>
        </w:tc>
        <w:tc>
          <w:tcPr>
            <w:tcW w:w="2467" w:type="pct"/>
            <w:noWrap/>
            <w:vAlign w:val="center"/>
          </w:tcPr>
          <w:p w14:paraId="26C186C9">
            <w:pPr>
              <w:keepNext w:val="0"/>
              <w:keepLines w:val="0"/>
              <w:pageBreakBefore w:val="0"/>
              <w:widowControl/>
              <w:kinsoku/>
              <w:wordWrap/>
              <w:overflowPunct/>
              <w:topLinePunct w:val="0"/>
              <w:autoSpaceDE/>
              <w:autoSpaceDN/>
              <w:bidi w:val="0"/>
              <w:spacing w:line="360" w:lineRule="auto"/>
              <w:ind w:left="0"/>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kern w:val="0"/>
                <w:sz w:val="24"/>
                <w:szCs w:val="24"/>
                <w:highlight w:val="none"/>
                <w:lang w:val="en-US" w:eastAsia="zh-CN" w:bidi="ar"/>
              </w:rPr>
              <w:t>现有旧系统服务平台升级为新的核医学服务平台</w:t>
            </w:r>
          </w:p>
        </w:tc>
        <w:tc>
          <w:tcPr>
            <w:tcW w:w="462" w:type="pct"/>
            <w:noWrap/>
            <w:vAlign w:val="center"/>
          </w:tcPr>
          <w:p w14:paraId="3364DF02">
            <w:pPr>
              <w:keepNext w:val="0"/>
              <w:keepLines w:val="0"/>
              <w:pageBreakBefore w:val="0"/>
              <w:widowControl/>
              <w:kinsoku/>
              <w:wordWrap/>
              <w:overflowPunct/>
              <w:topLinePunct w:val="0"/>
              <w:autoSpaceDE/>
              <w:autoSpaceDN/>
              <w:bidi w:val="0"/>
              <w:spacing w:line="360" w:lineRule="auto"/>
              <w:ind w:left="0"/>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套</w:t>
            </w:r>
          </w:p>
        </w:tc>
        <w:tc>
          <w:tcPr>
            <w:tcW w:w="420" w:type="pct"/>
            <w:noWrap/>
            <w:vAlign w:val="center"/>
          </w:tcPr>
          <w:p w14:paraId="413D7C18">
            <w:pPr>
              <w:keepNext w:val="0"/>
              <w:keepLines w:val="0"/>
              <w:pageBreakBefore w:val="0"/>
              <w:widowControl/>
              <w:kinsoku/>
              <w:wordWrap/>
              <w:overflowPunct/>
              <w:topLinePunct w:val="0"/>
              <w:autoSpaceDE/>
              <w:autoSpaceDN/>
              <w:bidi w:val="0"/>
              <w:spacing w:line="360" w:lineRule="auto"/>
              <w:ind w:left="0"/>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w:t>
            </w:r>
          </w:p>
        </w:tc>
      </w:tr>
      <w:tr w14:paraId="21F65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30" w:type="pct"/>
            <w:noWrap w:val="0"/>
            <w:vAlign w:val="center"/>
          </w:tcPr>
          <w:p w14:paraId="09CC213A">
            <w:pPr>
              <w:keepNext w:val="0"/>
              <w:keepLines w:val="0"/>
              <w:pageBreakBefore w:val="0"/>
              <w:widowControl/>
              <w:kinsoku/>
              <w:wordWrap/>
              <w:overflowPunct/>
              <w:topLinePunct w:val="0"/>
              <w:autoSpaceDE/>
              <w:autoSpaceDN/>
              <w:bidi w:val="0"/>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w:t>
            </w:r>
          </w:p>
        </w:tc>
        <w:tc>
          <w:tcPr>
            <w:tcW w:w="625" w:type="pct"/>
            <w:vMerge w:val="continue"/>
            <w:noWrap/>
            <w:vAlign w:val="center"/>
          </w:tcPr>
          <w:p w14:paraId="33AC3E88">
            <w:pPr>
              <w:keepNext w:val="0"/>
              <w:keepLines w:val="0"/>
              <w:pageBreakBefore w:val="0"/>
              <w:widowControl/>
              <w:kinsoku/>
              <w:wordWrap/>
              <w:overflowPunct/>
              <w:topLinePunct w:val="0"/>
              <w:autoSpaceDE/>
              <w:autoSpaceDN/>
              <w:bidi w:val="0"/>
              <w:spacing w:line="360" w:lineRule="auto"/>
              <w:ind w:left="0"/>
              <w:textAlignment w:val="center"/>
              <w:rPr>
                <w:rFonts w:hint="eastAsia" w:ascii="宋体" w:hAnsi="宋体" w:eastAsia="宋体" w:cs="宋体"/>
                <w:color w:val="000000"/>
                <w:kern w:val="0"/>
                <w:sz w:val="24"/>
                <w:szCs w:val="24"/>
                <w:highlight w:val="none"/>
                <w:lang w:val="en-US" w:eastAsia="zh-CN" w:bidi="ar"/>
              </w:rPr>
            </w:pPr>
          </w:p>
        </w:tc>
        <w:tc>
          <w:tcPr>
            <w:tcW w:w="694" w:type="pct"/>
            <w:noWrap/>
            <w:vAlign w:val="center"/>
          </w:tcPr>
          <w:p w14:paraId="346F483C">
            <w:pPr>
              <w:keepNext w:val="0"/>
              <w:keepLines w:val="0"/>
              <w:pageBreakBefore w:val="0"/>
              <w:widowControl/>
              <w:kinsoku/>
              <w:wordWrap/>
              <w:overflowPunct/>
              <w:topLinePunct w:val="0"/>
              <w:autoSpaceDE/>
              <w:autoSpaceDN/>
              <w:bidi w:val="0"/>
              <w:spacing w:line="360" w:lineRule="auto"/>
              <w:ind w:left="0"/>
              <w:textAlignment w:val="center"/>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
              </w:rPr>
              <w:t>预约登记</w:t>
            </w:r>
          </w:p>
        </w:tc>
        <w:tc>
          <w:tcPr>
            <w:tcW w:w="2467" w:type="pct"/>
            <w:noWrap/>
            <w:vAlign w:val="center"/>
          </w:tcPr>
          <w:p w14:paraId="7E719AD5">
            <w:pPr>
              <w:keepNext w:val="0"/>
              <w:keepLines w:val="0"/>
              <w:pageBreakBefore w:val="0"/>
              <w:widowControl/>
              <w:kinsoku/>
              <w:wordWrap/>
              <w:overflowPunct/>
              <w:topLinePunct w:val="0"/>
              <w:autoSpaceDE/>
              <w:autoSpaceDN/>
              <w:bidi w:val="0"/>
              <w:spacing w:line="360" w:lineRule="auto"/>
              <w:ind w:left="0"/>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与</w:t>
            </w:r>
            <w:r>
              <w:rPr>
                <w:rFonts w:hint="eastAsia" w:ascii="宋体" w:hAnsi="宋体" w:eastAsia="宋体" w:cs="宋体"/>
                <w:color w:val="000000"/>
                <w:kern w:val="0"/>
                <w:sz w:val="24"/>
                <w:szCs w:val="24"/>
                <w:highlight w:val="none"/>
                <w:lang w:val="en-US" w:eastAsia="zh-CN" w:bidi="ar"/>
              </w:rPr>
              <w:t>ESB服务总线平台</w:t>
            </w:r>
            <w:r>
              <w:rPr>
                <w:rFonts w:hint="eastAsia" w:ascii="宋体" w:hAnsi="宋体" w:eastAsia="宋体" w:cs="宋体"/>
                <w:color w:val="000000"/>
                <w:kern w:val="0"/>
                <w:sz w:val="24"/>
                <w:szCs w:val="24"/>
                <w:highlight w:val="none"/>
                <w:lang w:bidi="ar"/>
              </w:rPr>
              <w:t>对接，实现患者数据归档</w:t>
            </w:r>
          </w:p>
        </w:tc>
        <w:tc>
          <w:tcPr>
            <w:tcW w:w="462" w:type="pct"/>
            <w:noWrap/>
            <w:vAlign w:val="center"/>
          </w:tcPr>
          <w:p w14:paraId="7FAC80B3">
            <w:pPr>
              <w:keepNext w:val="0"/>
              <w:keepLines w:val="0"/>
              <w:pageBreakBefore w:val="0"/>
              <w:widowControl/>
              <w:kinsoku/>
              <w:wordWrap/>
              <w:overflowPunct/>
              <w:topLinePunct w:val="0"/>
              <w:autoSpaceDE/>
              <w:autoSpaceDN/>
              <w:bidi w:val="0"/>
              <w:spacing w:line="360" w:lineRule="auto"/>
              <w:ind w:left="0"/>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套</w:t>
            </w:r>
          </w:p>
        </w:tc>
        <w:tc>
          <w:tcPr>
            <w:tcW w:w="420" w:type="pct"/>
            <w:noWrap/>
            <w:vAlign w:val="center"/>
          </w:tcPr>
          <w:p w14:paraId="537B4ADC">
            <w:pPr>
              <w:keepNext w:val="0"/>
              <w:keepLines w:val="0"/>
              <w:pageBreakBefore w:val="0"/>
              <w:widowControl/>
              <w:kinsoku/>
              <w:wordWrap/>
              <w:overflowPunct/>
              <w:topLinePunct w:val="0"/>
              <w:autoSpaceDE/>
              <w:autoSpaceDN/>
              <w:bidi w:val="0"/>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strike w:val="0"/>
                <w:dstrike w:val="0"/>
                <w:color w:val="000000"/>
                <w:sz w:val="24"/>
                <w:szCs w:val="24"/>
                <w:highlight w:val="none"/>
                <w:lang w:val="en-US" w:eastAsia="zh-CN"/>
              </w:rPr>
              <w:t>4</w:t>
            </w:r>
          </w:p>
        </w:tc>
      </w:tr>
      <w:tr w14:paraId="6E8BF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330" w:type="pct"/>
            <w:noWrap w:val="0"/>
            <w:vAlign w:val="center"/>
          </w:tcPr>
          <w:p w14:paraId="30C24037">
            <w:pPr>
              <w:keepNext w:val="0"/>
              <w:keepLines w:val="0"/>
              <w:pageBreakBefore w:val="0"/>
              <w:widowControl/>
              <w:kinsoku/>
              <w:wordWrap/>
              <w:overflowPunct/>
              <w:topLinePunct w:val="0"/>
              <w:autoSpaceDE/>
              <w:autoSpaceDN/>
              <w:bidi w:val="0"/>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w:t>
            </w:r>
          </w:p>
        </w:tc>
        <w:tc>
          <w:tcPr>
            <w:tcW w:w="625" w:type="pct"/>
            <w:vMerge w:val="continue"/>
            <w:noWrap/>
            <w:vAlign w:val="center"/>
          </w:tcPr>
          <w:p w14:paraId="0F7FDE57">
            <w:pPr>
              <w:keepNext w:val="0"/>
              <w:keepLines w:val="0"/>
              <w:pageBreakBefore w:val="0"/>
              <w:widowControl/>
              <w:kinsoku/>
              <w:wordWrap/>
              <w:overflowPunct/>
              <w:topLinePunct w:val="0"/>
              <w:autoSpaceDE/>
              <w:autoSpaceDN/>
              <w:bidi w:val="0"/>
              <w:spacing w:line="360" w:lineRule="auto"/>
              <w:ind w:left="0"/>
              <w:textAlignment w:val="center"/>
              <w:rPr>
                <w:rFonts w:hint="eastAsia" w:ascii="宋体" w:hAnsi="宋体" w:eastAsia="宋体" w:cs="宋体"/>
                <w:color w:val="000000"/>
                <w:kern w:val="0"/>
                <w:sz w:val="24"/>
                <w:szCs w:val="24"/>
                <w:highlight w:val="none"/>
                <w:lang w:val="en-US" w:eastAsia="zh-CN" w:bidi="ar"/>
              </w:rPr>
            </w:pPr>
          </w:p>
        </w:tc>
        <w:tc>
          <w:tcPr>
            <w:tcW w:w="694" w:type="pct"/>
            <w:noWrap/>
            <w:vAlign w:val="center"/>
          </w:tcPr>
          <w:p w14:paraId="7AB25786">
            <w:pPr>
              <w:keepNext w:val="0"/>
              <w:keepLines w:val="0"/>
              <w:pageBreakBefore w:val="0"/>
              <w:widowControl/>
              <w:kinsoku/>
              <w:wordWrap/>
              <w:overflowPunct/>
              <w:topLinePunct w:val="0"/>
              <w:autoSpaceDE/>
              <w:autoSpaceDN/>
              <w:bidi w:val="0"/>
              <w:spacing w:line="360" w:lineRule="auto"/>
              <w:ind w:left="0"/>
              <w:textAlignment w:val="center"/>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
              </w:rPr>
              <w:t>电子叫号</w:t>
            </w:r>
          </w:p>
        </w:tc>
        <w:tc>
          <w:tcPr>
            <w:tcW w:w="2467" w:type="pct"/>
            <w:noWrap/>
            <w:vAlign w:val="center"/>
          </w:tcPr>
          <w:p w14:paraId="3E448B7D">
            <w:pPr>
              <w:keepNext w:val="0"/>
              <w:keepLines w:val="0"/>
              <w:pageBreakBefore w:val="0"/>
              <w:widowControl/>
              <w:kinsoku/>
              <w:wordWrap/>
              <w:overflowPunct/>
              <w:topLinePunct w:val="0"/>
              <w:autoSpaceDE/>
              <w:autoSpaceDN/>
              <w:bidi w:val="0"/>
              <w:spacing w:line="360" w:lineRule="auto"/>
              <w:ind w:left="0"/>
              <w:jc w:val="left"/>
              <w:rPr>
                <w:rFonts w:hint="eastAsia" w:ascii="宋体" w:hAnsi="宋体" w:eastAsia="宋体" w:cs="宋体"/>
                <w:color w:val="000000"/>
                <w:sz w:val="24"/>
                <w:szCs w:val="24"/>
                <w:highlight w:val="none"/>
              </w:rPr>
            </w:pPr>
            <w:r>
              <w:rPr>
                <w:rFonts w:hint="eastAsia" w:ascii="宋体" w:hAnsi="宋体" w:eastAsia="宋体" w:cs="宋体"/>
                <w:color w:val="auto"/>
                <w:sz w:val="24"/>
                <w:szCs w:val="24"/>
                <w:highlight w:val="none"/>
              </w:rPr>
              <w:t>支持核医学注射前后双叫号流程，通过注射前后候诊厅安装呼叫显示终端，显示患者排队列表、检查注意事项等信息，指引患者完成后续检查流程，叫号软件支持多种显示模式自定义设置。</w:t>
            </w:r>
          </w:p>
        </w:tc>
        <w:tc>
          <w:tcPr>
            <w:tcW w:w="462" w:type="pct"/>
            <w:noWrap/>
            <w:vAlign w:val="center"/>
          </w:tcPr>
          <w:p w14:paraId="1C713903">
            <w:pPr>
              <w:keepNext w:val="0"/>
              <w:keepLines w:val="0"/>
              <w:pageBreakBefore w:val="0"/>
              <w:widowControl/>
              <w:kinsoku/>
              <w:wordWrap/>
              <w:overflowPunct/>
              <w:topLinePunct w:val="0"/>
              <w:autoSpaceDE/>
              <w:autoSpaceDN/>
              <w:bidi w:val="0"/>
              <w:spacing w:line="360" w:lineRule="auto"/>
              <w:ind w:left="0"/>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并发</w:t>
            </w:r>
          </w:p>
        </w:tc>
        <w:tc>
          <w:tcPr>
            <w:tcW w:w="420" w:type="pct"/>
            <w:noWrap/>
            <w:vAlign w:val="center"/>
          </w:tcPr>
          <w:p w14:paraId="31A2DF49">
            <w:pPr>
              <w:keepNext w:val="0"/>
              <w:keepLines w:val="0"/>
              <w:pageBreakBefore w:val="0"/>
              <w:widowControl/>
              <w:kinsoku/>
              <w:wordWrap/>
              <w:overflowPunct/>
              <w:topLinePunct w:val="0"/>
              <w:autoSpaceDE/>
              <w:autoSpaceDN/>
              <w:bidi w:val="0"/>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strike w:val="0"/>
                <w:dstrike w:val="0"/>
                <w:color w:val="000000"/>
                <w:sz w:val="24"/>
                <w:szCs w:val="24"/>
                <w:highlight w:val="none"/>
                <w:lang w:val="en-US" w:eastAsia="zh-CN"/>
              </w:rPr>
              <w:t>4</w:t>
            </w:r>
          </w:p>
        </w:tc>
      </w:tr>
      <w:tr w14:paraId="60D2E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330" w:type="pct"/>
            <w:noWrap w:val="0"/>
            <w:vAlign w:val="center"/>
          </w:tcPr>
          <w:p w14:paraId="322C1A15">
            <w:pPr>
              <w:keepNext w:val="0"/>
              <w:keepLines w:val="0"/>
              <w:pageBreakBefore w:val="0"/>
              <w:widowControl/>
              <w:kinsoku/>
              <w:wordWrap/>
              <w:overflowPunct/>
              <w:topLinePunct w:val="0"/>
              <w:autoSpaceDE/>
              <w:autoSpaceDN/>
              <w:bidi w:val="0"/>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6</w:t>
            </w:r>
          </w:p>
        </w:tc>
        <w:tc>
          <w:tcPr>
            <w:tcW w:w="625" w:type="pct"/>
            <w:vMerge w:val="continue"/>
            <w:noWrap/>
            <w:vAlign w:val="center"/>
          </w:tcPr>
          <w:p w14:paraId="1956F7D7">
            <w:pPr>
              <w:keepNext w:val="0"/>
              <w:keepLines w:val="0"/>
              <w:pageBreakBefore w:val="0"/>
              <w:widowControl/>
              <w:kinsoku/>
              <w:wordWrap/>
              <w:overflowPunct/>
              <w:topLinePunct w:val="0"/>
              <w:autoSpaceDE/>
              <w:autoSpaceDN/>
              <w:bidi w:val="0"/>
              <w:spacing w:line="360" w:lineRule="auto"/>
              <w:ind w:left="0"/>
              <w:textAlignment w:val="center"/>
              <w:rPr>
                <w:rFonts w:hint="eastAsia" w:ascii="宋体" w:hAnsi="宋体" w:eastAsia="宋体" w:cs="宋体"/>
                <w:color w:val="000000"/>
                <w:sz w:val="24"/>
                <w:szCs w:val="24"/>
                <w:highlight w:val="none"/>
                <w:lang w:val="en-US" w:eastAsia="zh-CN"/>
              </w:rPr>
            </w:pPr>
          </w:p>
        </w:tc>
        <w:tc>
          <w:tcPr>
            <w:tcW w:w="694" w:type="pct"/>
            <w:noWrap/>
            <w:vAlign w:val="center"/>
          </w:tcPr>
          <w:p w14:paraId="77EBB97D">
            <w:pPr>
              <w:keepNext w:val="0"/>
              <w:keepLines w:val="0"/>
              <w:pageBreakBefore w:val="0"/>
              <w:widowControl/>
              <w:kinsoku/>
              <w:wordWrap/>
              <w:overflowPunct/>
              <w:topLinePunct w:val="0"/>
              <w:autoSpaceDE/>
              <w:autoSpaceDN/>
              <w:bidi w:val="0"/>
              <w:spacing w:line="360" w:lineRule="auto"/>
              <w:ind w:left="0"/>
              <w:textAlignment w:val="center"/>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sz w:val="24"/>
                <w:szCs w:val="24"/>
                <w:highlight w:val="none"/>
                <w:lang w:val="en-US" w:eastAsia="zh-CN"/>
              </w:rPr>
              <w:t>病史问诊</w:t>
            </w:r>
          </w:p>
        </w:tc>
        <w:tc>
          <w:tcPr>
            <w:tcW w:w="2467" w:type="pct"/>
            <w:noWrap/>
            <w:vAlign w:val="center"/>
          </w:tcPr>
          <w:p w14:paraId="4DC773BF">
            <w:pPr>
              <w:keepNext w:val="0"/>
              <w:keepLines w:val="0"/>
              <w:pageBreakBefore w:val="0"/>
              <w:kinsoku/>
              <w:wordWrap/>
              <w:overflowPunct/>
              <w:topLinePunct w:val="0"/>
              <w:autoSpaceDE/>
              <w:autoSpaceDN/>
              <w:bidi w:val="0"/>
              <w:spacing w:line="360" w:lineRule="auto"/>
              <w:ind w:left="0"/>
              <w:rPr>
                <w:rFonts w:hint="eastAsia" w:ascii="宋体" w:hAnsi="宋体" w:eastAsia="宋体" w:cs="宋体"/>
                <w:color w:val="000000"/>
                <w:sz w:val="24"/>
                <w:szCs w:val="24"/>
                <w:highlight w:val="none"/>
              </w:rPr>
            </w:pPr>
            <w:r>
              <w:rPr>
                <w:rFonts w:hint="eastAsia" w:ascii="宋体" w:hAnsi="宋体" w:eastAsia="宋体" w:cs="宋体"/>
                <w:color w:val="auto"/>
                <w:sz w:val="24"/>
                <w:szCs w:val="24"/>
                <w:highlight w:val="none"/>
                <w:lang w:val="en-US" w:eastAsia="zh-CN"/>
              </w:rPr>
              <w:t>完善</w:t>
            </w:r>
            <w:r>
              <w:rPr>
                <w:rFonts w:hint="eastAsia" w:ascii="宋体" w:hAnsi="宋体" w:eastAsia="宋体" w:cs="宋体"/>
                <w:color w:val="auto"/>
                <w:sz w:val="24"/>
                <w:szCs w:val="24"/>
                <w:highlight w:val="none"/>
              </w:rPr>
              <w:t>核医学信息化检查流程，记录患者的详细病史，根据不同检查类型提供不同的结构化问诊模板，问诊系统与报告系统无缝融合，信息实时共享</w:t>
            </w:r>
          </w:p>
        </w:tc>
        <w:tc>
          <w:tcPr>
            <w:tcW w:w="462" w:type="pct"/>
            <w:noWrap/>
            <w:vAlign w:val="center"/>
          </w:tcPr>
          <w:p w14:paraId="6CD6301B">
            <w:pPr>
              <w:keepNext w:val="0"/>
              <w:keepLines w:val="0"/>
              <w:pageBreakBefore w:val="0"/>
              <w:widowControl/>
              <w:kinsoku/>
              <w:wordWrap/>
              <w:overflowPunct/>
              <w:topLinePunct w:val="0"/>
              <w:autoSpaceDE/>
              <w:autoSpaceDN/>
              <w:bidi w:val="0"/>
              <w:spacing w:line="360" w:lineRule="auto"/>
              <w:ind w:left="0"/>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并发</w:t>
            </w:r>
          </w:p>
        </w:tc>
        <w:tc>
          <w:tcPr>
            <w:tcW w:w="420" w:type="pct"/>
            <w:noWrap/>
            <w:vAlign w:val="center"/>
          </w:tcPr>
          <w:p w14:paraId="0A369D65">
            <w:pPr>
              <w:keepNext w:val="0"/>
              <w:keepLines w:val="0"/>
              <w:pageBreakBefore w:val="0"/>
              <w:widowControl/>
              <w:kinsoku/>
              <w:wordWrap/>
              <w:overflowPunct/>
              <w:topLinePunct w:val="0"/>
              <w:autoSpaceDE/>
              <w:autoSpaceDN/>
              <w:bidi w:val="0"/>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strike w:val="0"/>
                <w:dstrike w:val="0"/>
                <w:color w:val="000000"/>
                <w:sz w:val="24"/>
                <w:szCs w:val="24"/>
                <w:highlight w:val="none"/>
                <w:lang w:val="en-US" w:eastAsia="zh-CN"/>
              </w:rPr>
              <w:t>4</w:t>
            </w:r>
          </w:p>
        </w:tc>
      </w:tr>
      <w:tr w14:paraId="64C87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330" w:type="pct"/>
            <w:noWrap w:val="0"/>
            <w:vAlign w:val="center"/>
          </w:tcPr>
          <w:p w14:paraId="753E6701">
            <w:pPr>
              <w:keepNext w:val="0"/>
              <w:keepLines w:val="0"/>
              <w:pageBreakBefore w:val="0"/>
              <w:widowControl/>
              <w:kinsoku/>
              <w:wordWrap/>
              <w:overflowPunct/>
              <w:topLinePunct w:val="0"/>
              <w:autoSpaceDE/>
              <w:autoSpaceDN/>
              <w:bidi w:val="0"/>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7</w:t>
            </w:r>
          </w:p>
        </w:tc>
        <w:tc>
          <w:tcPr>
            <w:tcW w:w="625" w:type="pct"/>
            <w:vMerge w:val="continue"/>
            <w:noWrap/>
            <w:vAlign w:val="center"/>
          </w:tcPr>
          <w:p w14:paraId="3FA8A1B9">
            <w:pPr>
              <w:keepNext w:val="0"/>
              <w:keepLines w:val="0"/>
              <w:pageBreakBefore w:val="0"/>
              <w:widowControl/>
              <w:kinsoku/>
              <w:wordWrap/>
              <w:overflowPunct/>
              <w:topLinePunct w:val="0"/>
              <w:autoSpaceDE/>
              <w:autoSpaceDN/>
              <w:bidi w:val="0"/>
              <w:spacing w:line="360" w:lineRule="auto"/>
              <w:ind w:left="0"/>
              <w:textAlignment w:val="center"/>
              <w:rPr>
                <w:rFonts w:hint="eastAsia" w:ascii="宋体" w:hAnsi="宋体" w:eastAsia="宋体" w:cs="宋体"/>
                <w:color w:val="000000"/>
                <w:kern w:val="0"/>
                <w:sz w:val="24"/>
                <w:szCs w:val="24"/>
                <w:highlight w:val="none"/>
                <w:lang w:val="en-US" w:eastAsia="zh-CN" w:bidi="ar"/>
              </w:rPr>
            </w:pPr>
          </w:p>
        </w:tc>
        <w:tc>
          <w:tcPr>
            <w:tcW w:w="694" w:type="pct"/>
            <w:noWrap/>
            <w:vAlign w:val="center"/>
          </w:tcPr>
          <w:p w14:paraId="145CE335">
            <w:pPr>
              <w:keepNext w:val="0"/>
              <w:keepLines w:val="0"/>
              <w:pageBreakBefore w:val="0"/>
              <w:widowControl/>
              <w:kinsoku/>
              <w:wordWrap/>
              <w:overflowPunct/>
              <w:topLinePunct w:val="0"/>
              <w:autoSpaceDE/>
              <w:autoSpaceDN/>
              <w:bidi w:val="0"/>
              <w:spacing w:line="360" w:lineRule="auto"/>
              <w:ind w:left="0"/>
              <w:textAlignment w:val="center"/>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
              </w:rPr>
              <w:t>药物注射</w:t>
            </w:r>
          </w:p>
        </w:tc>
        <w:tc>
          <w:tcPr>
            <w:tcW w:w="2467" w:type="pct"/>
            <w:noWrap/>
            <w:vAlign w:val="center"/>
          </w:tcPr>
          <w:p w14:paraId="1C66E899">
            <w:pPr>
              <w:keepNext w:val="0"/>
              <w:keepLines w:val="0"/>
              <w:pageBreakBefore w:val="0"/>
              <w:widowControl/>
              <w:kinsoku/>
              <w:wordWrap/>
              <w:overflowPunct/>
              <w:topLinePunct w:val="0"/>
              <w:autoSpaceDE/>
              <w:autoSpaceDN/>
              <w:bidi w:val="0"/>
              <w:spacing w:line="360" w:lineRule="auto"/>
              <w:ind w:left="0"/>
              <w:jc w:val="left"/>
              <w:rPr>
                <w:rFonts w:hint="eastAsia" w:ascii="宋体" w:hAnsi="宋体" w:eastAsia="宋体" w:cs="宋体"/>
                <w:color w:val="000000"/>
                <w:sz w:val="24"/>
                <w:szCs w:val="24"/>
                <w:highlight w:val="none"/>
              </w:rPr>
            </w:pPr>
            <w:r>
              <w:rPr>
                <w:rFonts w:hint="eastAsia" w:ascii="宋体" w:hAnsi="宋体" w:eastAsia="宋体" w:cs="宋体"/>
                <w:color w:val="auto"/>
                <w:sz w:val="24"/>
                <w:szCs w:val="24"/>
                <w:highlight w:val="none"/>
                <w:lang w:val="en-US" w:eastAsia="zh-CN"/>
              </w:rPr>
              <w:t>支持记录患者注射信息，注射时间、注射剂量、注射部位等药物注射相关信息。</w:t>
            </w:r>
          </w:p>
        </w:tc>
        <w:tc>
          <w:tcPr>
            <w:tcW w:w="462" w:type="pct"/>
            <w:noWrap/>
            <w:vAlign w:val="center"/>
          </w:tcPr>
          <w:p w14:paraId="212DC0BD">
            <w:pPr>
              <w:keepNext w:val="0"/>
              <w:keepLines w:val="0"/>
              <w:pageBreakBefore w:val="0"/>
              <w:widowControl/>
              <w:kinsoku/>
              <w:wordWrap/>
              <w:overflowPunct/>
              <w:topLinePunct w:val="0"/>
              <w:autoSpaceDE/>
              <w:autoSpaceDN/>
              <w:bidi w:val="0"/>
              <w:spacing w:line="360" w:lineRule="auto"/>
              <w:ind w:left="0"/>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并发</w:t>
            </w:r>
          </w:p>
        </w:tc>
        <w:tc>
          <w:tcPr>
            <w:tcW w:w="420" w:type="pct"/>
            <w:noWrap/>
            <w:vAlign w:val="center"/>
          </w:tcPr>
          <w:p w14:paraId="7670A74C">
            <w:pPr>
              <w:keepNext w:val="0"/>
              <w:keepLines w:val="0"/>
              <w:pageBreakBefore w:val="0"/>
              <w:widowControl/>
              <w:kinsoku/>
              <w:wordWrap/>
              <w:overflowPunct/>
              <w:topLinePunct w:val="0"/>
              <w:autoSpaceDE/>
              <w:autoSpaceDN/>
              <w:bidi w:val="0"/>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strike w:val="0"/>
                <w:dstrike w:val="0"/>
                <w:color w:val="000000"/>
                <w:sz w:val="24"/>
                <w:szCs w:val="24"/>
                <w:highlight w:val="none"/>
                <w:lang w:val="en-US" w:eastAsia="zh-CN"/>
              </w:rPr>
              <w:t>4</w:t>
            </w:r>
          </w:p>
        </w:tc>
      </w:tr>
      <w:tr w14:paraId="21649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30" w:type="pct"/>
            <w:noWrap w:val="0"/>
            <w:vAlign w:val="center"/>
          </w:tcPr>
          <w:p w14:paraId="2392E2F0">
            <w:pPr>
              <w:keepNext w:val="0"/>
              <w:keepLines w:val="0"/>
              <w:pageBreakBefore w:val="0"/>
              <w:widowControl/>
              <w:kinsoku/>
              <w:wordWrap/>
              <w:overflowPunct/>
              <w:topLinePunct w:val="0"/>
              <w:autoSpaceDE/>
              <w:autoSpaceDN/>
              <w:bidi w:val="0"/>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8</w:t>
            </w:r>
          </w:p>
        </w:tc>
        <w:tc>
          <w:tcPr>
            <w:tcW w:w="625" w:type="pct"/>
            <w:vMerge w:val="continue"/>
            <w:noWrap/>
            <w:vAlign w:val="center"/>
          </w:tcPr>
          <w:p w14:paraId="363E8CAC">
            <w:pPr>
              <w:keepNext w:val="0"/>
              <w:keepLines w:val="0"/>
              <w:pageBreakBefore w:val="0"/>
              <w:widowControl/>
              <w:kinsoku/>
              <w:wordWrap/>
              <w:overflowPunct/>
              <w:topLinePunct w:val="0"/>
              <w:autoSpaceDE/>
              <w:autoSpaceDN/>
              <w:bidi w:val="0"/>
              <w:spacing w:line="360" w:lineRule="auto"/>
              <w:ind w:left="0"/>
              <w:textAlignment w:val="center"/>
              <w:rPr>
                <w:rFonts w:hint="eastAsia" w:ascii="宋体" w:hAnsi="宋体" w:eastAsia="宋体" w:cs="宋体"/>
                <w:color w:val="000000"/>
                <w:kern w:val="0"/>
                <w:sz w:val="24"/>
                <w:szCs w:val="24"/>
                <w:highlight w:val="none"/>
                <w:lang w:val="en-US" w:eastAsia="zh-CN" w:bidi="ar"/>
              </w:rPr>
            </w:pPr>
          </w:p>
        </w:tc>
        <w:tc>
          <w:tcPr>
            <w:tcW w:w="694" w:type="pct"/>
            <w:noWrap/>
            <w:vAlign w:val="center"/>
          </w:tcPr>
          <w:p w14:paraId="1B231E5F">
            <w:pPr>
              <w:keepNext w:val="0"/>
              <w:keepLines w:val="0"/>
              <w:pageBreakBefore w:val="0"/>
              <w:widowControl/>
              <w:kinsoku/>
              <w:wordWrap/>
              <w:overflowPunct/>
              <w:topLinePunct w:val="0"/>
              <w:autoSpaceDE/>
              <w:autoSpaceDN/>
              <w:bidi w:val="0"/>
              <w:spacing w:line="360" w:lineRule="auto"/>
              <w:ind w:left="0"/>
              <w:textAlignment w:val="center"/>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
              </w:rPr>
              <w:t>检查管理</w:t>
            </w:r>
          </w:p>
        </w:tc>
        <w:tc>
          <w:tcPr>
            <w:tcW w:w="2467" w:type="pct"/>
            <w:noWrap/>
            <w:vAlign w:val="center"/>
          </w:tcPr>
          <w:p w14:paraId="0BEAA1F9">
            <w:pPr>
              <w:keepNext w:val="0"/>
              <w:keepLines w:val="0"/>
              <w:pageBreakBefore w:val="0"/>
              <w:kinsoku/>
              <w:wordWrap/>
              <w:overflowPunct/>
              <w:topLinePunct w:val="0"/>
              <w:autoSpaceDE/>
              <w:autoSpaceDN/>
              <w:bidi w:val="0"/>
              <w:spacing w:line="360" w:lineRule="auto"/>
              <w:ind w:left="0"/>
              <w:rPr>
                <w:rFonts w:hint="eastAsia" w:ascii="宋体" w:hAnsi="宋体" w:eastAsia="宋体" w:cs="宋体"/>
                <w:color w:val="000000"/>
                <w:sz w:val="24"/>
                <w:szCs w:val="24"/>
                <w:highlight w:val="none"/>
              </w:rPr>
            </w:pPr>
            <w:r>
              <w:rPr>
                <w:rFonts w:hint="eastAsia" w:ascii="宋体" w:hAnsi="宋体" w:eastAsia="宋体" w:cs="宋体"/>
                <w:color w:val="auto"/>
                <w:sz w:val="24"/>
                <w:szCs w:val="24"/>
                <w:highlight w:val="none"/>
                <w:lang w:val="en-US" w:eastAsia="zh-CN"/>
              </w:rPr>
              <w:t>支持查看患者检查与注射药物信息，具有呼叫功能，呼叫患者到检查室进行检查</w:t>
            </w:r>
          </w:p>
        </w:tc>
        <w:tc>
          <w:tcPr>
            <w:tcW w:w="462" w:type="pct"/>
            <w:noWrap/>
            <w:vAlign w:val="center"/>
          </w:tcPr>
          <w:p w14:paraId="7874279F">
            <w:pPr>
              <w:keepNext w:val="0"/>
              <w:keepLines w:val="0"/>
              <w:pageBreakBefore w:val="0"/>
              <w:widowControl/>
              <w:kinsoku/>
              <w:wordWrap/>
              <w:overflowPunct/>
              <w:topLinePunct w:val="0"/>
              <w:autoSpaceDE/>
              <w:autoSpaceDN/>
              <w:bidi w:val="0"/>
              <w:spacing w:line="360" w:lineRule="auto"/>
              <w:ind w:left="0"/>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并发</w:t>
            </w:r>
          </w:p>
        </w:tc>
        <w:tc>
          <w:tcPr>
            <w:tcW w:w="420" w:type="pct"/>
            <w:noWrap/>
            <w:vAlign w:val="center"/>
          </w:tcPr>
          <w:p w14:paraId="0353D5A1">
            <w:pPr>
              <w:keepNext w:val="0"/>
              <w:keepLines w:val="0"/>
              <w:pageBreakBefore w:val="0"/>
              <w:widowControl/>
              <w:kinsoku/>
              <w:wordWrap/>
              <w:overflowPunct/>
              <w:topLinePunct w:val="0"/>
              <w:autoSpaceDE/>
              <w:autoSpaceDN/>
              <w:bidi w:val="0"/>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strike w:val="0"/>
                <w:dstrike w:val="0"/>
                <w:color w:val="000000"/>
                <w:sz w:val="24"/>
                <w:szCs w:val="24"/>
                <w:highlight w:val="none"/>
                <w:lang w:val="en-US" w:eastAsia="zh-CN"/>
              </w:rPr>
              <w:t>4</w:t>
            </w:r>
          </w:p>
        </w:tc>
      </w:tr>
      <w:tr w14:paraId="3AA60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330" w:type="pct"/>
            <w:noWrap/>
            <w:vAlign w:val="center"/>
          </w:tcPr>
          <w:p w14:paraId="72ADF5DF">
            <w:pPr>
              <w:keepNext w:val="0"/>
              <w:keepLines w:val="0"/>
              <w:pageBreakBefore w:val="0"/>
              <w:widowControl/>
              <w:kinsoku/>
              <w:wordWrap/>
              <w:overflowPunct/>
              <w:topLinePunct w:val="0"/>
              <w:autoSpaceDE/>
              <w:autoSpaceDN/>
              <w:bidi w:val="0"/>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9</w:t>
            </w:r>
          </w:p>
        </w:tc>
        <w:tc>
          <w:tcPr>
            <w:tcW w:w="625" w:type="pct"/>
            <w:vMerge w:val="continue"/>
            <w:noWrap/>
            <w:vAlign w:val="center"/>
          </w:tcPr>
          <w:p w14:paraId="4EAC0621">
            <w:pPr>
              <w:keepNext w:val="0"/>
              <w:keepLines w:val="0"/>
              <w:pageBreakBefore w:val="0"/>
              <w:widowControl/>
              <w:kinsoku/>
              <w:wordWrap/>
              <w:overflowPunct/>
              <w:topLinePunct w:val="0"/>
              <w:autoSpaceDE/>
              <w:autoSpaceDN/>
              <w:bidi w:val="0"/>
              <w:spacing w:line="360" w:lineRule="auto"/>
              <w:ind w:left="0"/>
              <w:textAlignment w:val="center"/>
              <w:rPr>
                <w:rFonts w:hint="eastAsia" w:ascii="宋体" w:hAnsi="宋体" w:eastAsia="宋体" w:cs="宋体"/>
                <w:color w:val="000000"/>
                <w:kern w:val="0"/>
                <w:sz w:val="24"/>
                <w:szCs w:val="24"/>
                <w:highlight w:val="none"/>
                <w:lang w:val="en-US" w:eastAsia="zh-CN" w:bidi="ar"/>
              </w:rPr>
            </w:pPr>
          </w:p>
        </w:tc>
        <w:tc>
          <w:tcPr>
            <w:tcW w:w="694" w:type="pct"/>
            <w:noWrap/>
            <w:vAlign w:val="center"/>
          </w:tcPr>
          <w:p w14:paraId="1B2458EC">
            <w:pPr>
              <w:keepNext w:val="0"/>
              <w:keepLines w:val="0"/>
              <w:pageBreakBefore w:val="0"/>
              <w:widowControl/>
              <w:kinsoku/>
              <w:wordWrap/>
              <w:overflowPunct/>
              <w:topLinePunct w:val="0"/>
              <w:autoSpaceDE/>
              <w:autoSpaceDN/>
              <w:bidi w:val="0"/>
              <w:spacing w:line="360" w:lineRule="auto"/>
              <w:ind w:left="0"/>
              <w:textAlignment w:val="center"/>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
              </w:rPr>
              <w:t>SPECT-CT/PET-CT/PET-MR报告工作站</w:t>
            </w:r>
          </w:p>
        </w:tc>
        <w:tc>
          <w:tcPr>
            <w:tcW w:w="2467" w:type="pct"/>
            <w:noWrap/>
            <w:vAlign w:val="center"/>
          </w:tcPr>
          <w:p w14:paraId="6907B9D5">
            <w:pPr>
              <w:keepNext w:val="0"/>
              <w:keepLines w:val="0"/>
              <w:pageBreakBefore w:val="0"/>
              <w:widowControl/>
              <w:kinsoku/>
              <w:wordWrap/>
              <w:overflowPunct/>
              <w:topLinePunct w:val="0"/>
              <w:autoSpaceDE/>
              <w:autoSpaceDN/>
              <w:bidi w:val="0"/>
              <w:spacing w:line="360" w:lineRule="auto"/>
              <w:ind w:left="0"/>
              <w:textAlignment w:val="center"/>
              <w:rPr>
                <w:rFonts w:hint="eastAsia" w:ascii="宋体" w:hAnsi="宋体" w:eastAsia="宋体" w:cs="宋体"/>
                <w:color w:val="000000"/>
                <w:sz w:val="24"/>
                <w:szCs w:val="24"/>
                <w:highlight w:val="none"/>
              </w:rPr>
            </w:pPr>
            <w:r>
              <w:rPr>
                <w:rFonts w:hint="eastAsia" w:ascii="宋体" w:hAnsi="宋体" w:eastAsia="宋体" w:cs="宋体"/>
                <w:color w:val="auto"/>
                <w:sz w:val="24"/>
                <w:szCs w:val="24"/>
                <w:highlight w:val="none"/>
                <w:lang w:val="en-US" w:eastAsia="zh-CN"/>
              </w:rPr>
              <w:t>提供全新的图像处理报告界面，支持全局自定义调整。可快速查看患者患者各个检查环节的时间节点，对患者整体检查流程进行实时质控</w:t>
            </w:r>
          </w:p>
        </w:tc>
        <w:tc>
          <w:tcPr>
            <w:tcW w:w="462" w:type="pct"/>
            <w:noWrap/>
            <w:vAlign w:val="center"/>
          </w:tcPr>
          <w:p w14:paraId="73C75F90">
            <w:pPr>
              <w:keepNext w:val="0"/>
              <w:keepLines w:val="0"/>
              <w:pageBreakBefore w:val="0"/>
              <w:widowControl/>
              <w:kinsoku/>
              <w:wordWrap/>
              <w:overflowPunct/>
              <w:topLinePunct w:val="0"/>
              <w:autoSpaceDE/>
              <w:autoSpaceDN/>
              <w:bidi w:val="0"/>
              <w:spacing w:line="360" w:lineRule="auto"/>
              <w:ind w:left="0"/>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并发</w:t>
            </w:r>
          </w:p>
        </w:tc>
        <w:tc>
          <w:tcPr>
            <w:tcW w:w="420" w:type="pct"/>
            <w:noWrap/>
            <w:vAlign w:val="center"/>
          </w:tcPr>
          <w:p w14:paraId="7475360C">
            <w:pPr>
              <w:keepNext w:val="0"/>
              <w:keepLines w:val="0"/>
              <w:pageBreakBefore w:val="0"/>
              <w:widowControl/>
              <w:kinsoku/>
              <w:wordWrap/>
              <w:overflowPunct/>
              <w:topLinePunct w:val="0"/>
              <w:autoSpaceDE/>
              <w:autoSpaceDN/>
              <w:bidi w:val="0"/>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28</w:t>
            </w:r>
          </w:p>
        </w:tc>
      </w:tr>
      <w:tr w14:paraId="6489F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0" w:hRule="atLeast"/>
        </w:trPr>
        <w:tc>
          <w:tcPr>
            <w:tcW w:w="330" w:type="pct"/>
            <w:noWrap w:val="0"/>
            <w:vAlign w:val="center"/>
          </w:tcPr>
          <w:p w14:paraId="785FFB77">
            <w:pPr>
              <w:keepNext w:val="0"/>
              <w:keepLines w:val="0"/>
              <w:pageBreakBefore w:val="0"/>
              <w:widowControl/>
              <w:kinsoku/>
              <w:wordWrap/>
              <w:overflowPunct/>
              <w:topLinePunct w:val="0"/>
              <w:autoSpaceDE/>
              <w:autoSpaceDN/>
              <w:bidi w:val="0"/>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w:t>
            </w:r>
          </w:p>
        </w:tc>
        <w:tc>
          <w:tcPr>
            <w:tcW w:w="625" w:type="pct"/>
            <w:vMerge w:val="continue"/>
            <w:noWrap/>
            <w:vAlign w:val="center"/>
          </w:tcPr>
          <w:p w14:paraId="4266B1BA">
            <w:pPr>
              <w:keepNext w:val="0"/>
              <w:keepLines w:val="0"/>
              <w:pageBreakBefore w:val="0"/>
              <w:widowControl/>
              <w:kinsoku/>
              <w:wordWrap/>
              <w:overflowPunct/>
              <w:topLinePunct w:val="0"/>
              <w:autoSpaceDE/>
              <w:autoSpaceDN/>
              <w:bidi w:val="0"/>
              <w:spacing w:line="360" w:lineRule="auto"/>
              <w:ind w:left="0"/>
              <w:textAlignment w:val="center"/>
              <w:rPr>
                <w:rFonts w:hint="eastAsia" w:ascii="宋体" w:hAnsi="宋体" w:eastAsia="宋体" w:cs="宋体"/>
                <w:color w:val="000000"/>
                <w:kern w:val="0"/>
                <w:sz w:val="24"/>
                <w:szCs w:val="24"/>
                <w:highlight w:val="none"/>
                <w:lang w:val="en-US" w:eastAsia="zh-CN" w:bidi="ar"/>
              </w:rPr>
            </w:pPr>
          </w:p>
        </w:tc>
        <w:tc>
          <w:tcPr>
            <w:tcW w:w="694" w:type="pct"/>
            <w:noWrap/>
            <w:vAlign w:val="center"/>
          </w:tcPr>
          <w:p w14:paraId="7964CD2D">
            <w:pPr>
              <w:keepNext w:val="0"/>
              <w:keepLines w:val="0"/>
              <w:pageBreakBefore w:val="0"/>
              <w:widowControl/>
              <w:kinsoku/>
              <w:wordWrap/>
              <w:overflowPunct/>
              <w:topLinePunct w:val="0"/>
              <w:autoSpaceDE/>
              <w:autoSpaceDN/>
              <w:bidi w:val="0"/>
              <w:spacing w:line="360" w:lineRule="auto"/>
              <w:ind w:left="0"/>
              <w:textAlignment w:val="center"/>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
              </w:rPr>
              <w:t>临床WEB浏览</w:t>
            </w:r>
          </w:p>
        </w:tc>
        <w:tc>
          <w:tcPr>
            <w:tcW w:w="2467" w:type="pct"/>
            <w:noWrap/>
            <w:vAlign w:val="center"/>
          </w:tcPr>
          <w:p w14:paraId="0A31B339">
            <w:pPr>
              <w:keepNext w:val="0"/>
              <w:keepLines w:val="0"/>
              <w:pageBreakBefore w:val="0"/>
              <w:kinsoku/>
              <w:wordWrap/>
              <w:overflowPunct/>
              <w:topLinePunct w:val="0"/>
              <w:autoSpaceDE/>
              <w:autoSpaceDN/>
              <w:bidi w:val="0"/>
              <w:spacing w:line="360" w:lineRule="auto"/>
              <w:ind w:left="0"/>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支持临床在线查看已审核的核医学图文一体化报告</w:t>
            </w:r>
          </w:p>
        </w:tc>
        <w:tc>
          <w:tcPr>
            <w:tcW w:w="462" w:type="pct"/>
            <w:noWrap/>
            <w:vAlign w:val="center"/>
          </w:tcPr>
          <w:p w14:paraId="7F445EDA">
            <w:pPr>
              <w:keepNext w:val="0"/>
              <w:keepLines w:val="0"/>
              <w:pageBreakBefore w:val="0"/>
              <w:widowControl/>
              <w:kinsoku/>
              <w:wordWrap/>
              <w:overflowPunct/>
              <w:topLinePunct w:val="0"/>
              <w:autoSpaceDE/>
              <w:autoSpaceDN/>
              <w:bidi w:val="0"/>
              <w:spacing w:line="360" w:lineRule="auto"/>
              <w:ind w:left="0"/>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套</w:t>
            </w:r>
          </w:p>
        </w:tc>
        <w:tc>
          <w:tcPr>
            <w:tcW w:w="420" w:type="pct"/>
            <w:noWrap/>
            <w:vAlign w:val="center"/>
          </w:tcPr>
          <w:p w14:paraId="1F7FD9BE">
            <w:pPr>
              <w:keepNext w:val="0"/>
              <w:keepLines w:val="0"/>
              <w:pageBreakBefore w:val="0"/>
              <w:widowControl/>
              <w:kinsoku/>
              <w:wordWrap/>
              <w:overflowPunct/>
              <w:topLinePunct w:val="0"/>
              <w:autoSpaceDE/>
              <w:autoSpaceDN/>
              <w:bidi w:val="0"/>
              <w:spacing w:line="360" w:lineRule="auto"/>
              <w:ind w:lef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 xml:space="preserve"> </w:t>
            </w:r>
          </w:p>
        </w:tc>
      </w:tr>
      <w:tr w14:paraId="36151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30" w:type="pct"/>
            <w:noWrap/>
            <w:vAlign w:val="center"/>
          </w:tcPr>
          <w:p w14:paraId="085AE03D">
            <w:pPr>
              <w:keepNext w:val="0"/>
              <w:keepLines w:val="0"/>
              <w:pageBreakBefore w:val="0"/>
              <w:widowControl/>
              <w:kinsoku/>
              <w:wordWrap/>
              <w:overflowPunct/>
              <w:topLinePunct w:val="0"/>
              <w:autoSpaceDE/>
              <w:autoSpaceDN/>
              <w:bidi w:val="0"/>
              <w:spacing w:line="360" w:lineRule="auto"/>
              <w:ind w:left="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11</w:t>
            </w:r>
          </w:p>
        </w:tc>
        <w:tc>
          <w:tcPr>
            <w:tcW w:w="625" w:type="pct"/>
            <w:vMerge w:val="restart"/>
            <w:noWrap/>
            <w:vAlign w:val="center"/>
          </w:tcPr>
          <w:p w14:paraId="3A385DAC">
            <w:pPr>
              <w:keepNext w:val="0"/>
              <w:keepLines w:val="0"/>
              <w:pageBreakBefore w:val="0"/>
              <w:widowControl/>
              <w:kinsoku/>
              <w:wordWrap/>
              <w:overflowPunct/>
              <w:topLinePunct w:val="0"/>
              <w:autoSpaceDE/>
              <w:autoSpaceDN/>
              <w:bidi w:val="0"/>
              <w:spacing w:line="360" w:lineRule="auto"/>
              <w:ind w:left="0"/>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sz w:val="24"/>
                <w:szCs w:val="24"/>
                <w:highlight w:val="none"/>
                <w:lang w:val="en-US" w:eastAsia="zh-CN"/>
              </w:rPr>
              <w:t>功能拓展</w:t>
            </w:r>
          </w:p>
        </w:tc>
        <w:tc>
          <w:tcPr>
            <w:tcW w:w="694" w:type="pct"/>
            <w:noWrap/>
            <w:vAlign w:val="center"/>
          </w:tcPr>
          <w:p w14:paraId="54C1DABA">
            <w:pPr>
              <w:keepNext w:val="0"/>
              <w:keepLines w:val="0"/>
              <w:pageBreakBefore w:val="0"/>
              <w:widowControl/>
              <w:kinsoku/>
              <w:wordWrap/>
              <w:overflowPunct/>
              <w:topLinePunct w:val="0"/>
              <w:autoSpaceDE/>
              <w:autoSpaceDN/>
              <w:bidi w:val="0"/>
              <w:spacing w:line="360" w:lineRule="auto"/>
              <w:ind w:left="0"/>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可视化管理</w:t>
            </w:r>
          </w:p>
        </w:tc>
        <w:tc>
          <w:tcPr>
            <w:tcW w:w="2467" w:type="pct"/>
            <w:noWrap w:val="0"/>
            <w:vAlign w:val="center"/>
          </w:tcPr>
          <w:p w14:paraId="19ED1D4A">
            <w:pPr>
              <w:keepNext w:val="0"/>
              <w:keepLines w:val="0"/>
              <w:pageBreakBefore w:val="0"/>
              <w:kinsoku/>
              <w:wordWrap/>
              <w:overflowPunct/>
              <w:topLinePunct w:val="0"/>
              <w:autoSpaceDE/>
              <w:autoSpaceDN/>
              <w:bidi w:val="0"/>
              <w:adjustRightInd w:val="0"/>
              <w:snapToGrid w:val="0"/>
              <w:spacing w:line="360" w:lineRule="auto"/>
              <w:ind w:lef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通</w:t>
            </w:r>
            <w:r>
              <w:rPr>
                <w:rFonts w:hint="eastAsia" w:ascii="宋体" w:hAnsi="宋体" w:eastAsia="宋体" w:cs="宋体"/>
                <w:color w:val="auto"/>
                <w:sz w:val="24"/>
                <w:szCs w:val="24"/>
                <w:highlight w:val="none"/>
              </w:rPr>
              <w:t>过可视化管理实现核医学业务设置</w:t>
            </w:r>
          </w:p>
        </w:tc>
        <w:tc>
          <w:tcPr>
            <w:tcW w:w="462" w:type="pct"/>
            <w:noWrap/>
            <w:vAlign w:val="center"/>
          </w:tcPr>
          <w:p w14:paraId="70F54F93">
            <w:pPr>
              <w:keepNext w:val="0"/>
              <w:keepLines w:val="0"/>
              <w:pageBreakBefore w:val="0"/>
              <w:widowControl/>
              <w:kinsoku/>
              <w:wordWrap/>
              <w:overflowPunct/>
              <w:topLinePunct w:val="0"/>
              <w:autoSpaceDE/>
              <w:autoSpaceDN/>
              <w:bidi w:val="0"/>
              <w:spacing w:line="360" w:lineRule="auto"/>
              <w:ind w:left="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套</w:t>
            </w:r>
          </w:p>
        </w:tc>
        <w:tc>
          <w:tcPr>
            <w:tcW w:w="420" w:type="pct"/>
            <w:noWrap/>
            <w:vAlign w:val="center"/>
          </w:tcPr>
          <w:p w14:paraId="60189B54">
            <w:pPr>
              <w:keepNext w:val="0"/>
              <w:keepLines w:val="0"/>
              <w:pageBreakBefore w:val="0"/>
              <w:widowControl/>
              <w:kinsoku/>
              <w:wordWrap/>
              <w:overflowPunct/>
              <w:topLinePunct w:val="0"/>
              <w:autoSpaceDE/>
              <w:autoSpaceDN/>
              <w:bidi w:val="0"/>
              <w:spacing w:line="360" w:lineRule="auto"/>
              <w:ind w:left="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w:t>
            </w:r>
          </w:p>
        </w:tc>
      </w:tr>
      <w:tr w14:paraId="6CF7D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30" w:type="pct"/>
            <w:noWrap/>
            <w:vAlign w:val="center"/>
          </w:tcPr>
          <w:p w14:paraId="3F738F04">
            <w:pPr>
              <w:keepNext w:val="0"/>
              <w:keepLines w:val="0"/>
              <w:pageBreakBefore w:val="0"/>
              <w:widowControl/>
              <w:kinsoku/>
              <w:wordWrap/>
              <w:overflowPunct/>
              <w:topLinePunct w:val="0"/>
              <w:autoSpaceDE/>
              <w:autoSpaceDN/>
              <w:bidi w:val="0"/>
              <w:spacing w:line="360" w:lineRule="auto"/>
              <w:ind w:left="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12</w:t>
            </w:r>
          </w:p>
        </w:tc>
        <w:tc>
          <w:tcPr>
            <w:tcW w:w="625" w:type="pct"/>
            <w:vMerge w:val="continue"/>
            <w:noWrap/>
            <w:vAlign w:val="center"/>
          </w:tcPr>
          <w:p w14:paraId="7E412F68">
            <w:pPr>
              <w:keepNext w:val="0"/>
              <w:keepLines w:val="0"/>
              <w:pageBreakBefore w:val="0"/>
              <w:widowControl/>
              <w:kinsoku/>
              <w:wordWrap/>
              <w:overflowPunct/>
              <w:topLinePunct w:val="0"/>
              <w:autoSpaceDE/>
              <w:autoSpaceDN/>
              <w:bidi w:val="0"/>
              <w:spacing w:line="360" w:lineRule="auto"/>
              <w:ind w:left="0"/>
              <w:textAlignment w:val="center"/>
              <w:rPr>
                <w:rFonts w:hint="eastAsia" w:ascii="宋体" w:hAnsi="宋体" w:eastAsia="宋体" w:cs="宋体"/>
                <w:color w:val="auto"/>
                <w:kern w:val="0"/>
                <w:sz w:val="24"/>
                <w:szCs w:val="24"/>
                <w:highlight w:val="none"/>
                <w:lang w:val="en-US" w:eastAsia="zh-CN" w:bidi="ar"/>
              </w:rPr>
            </w:pPr>
          </w:p>
        </w:tc>
        <w:tc>
          <w:tcPr>
            <w:tcW w:w="694" w:type="pct"/>
            <w:noWrap/>
            <w:vAlign w:val="center"/>
          </w:tcPr>
          <w:p w14:paraId="08358272">
            <w:pPr>
              <w:keepNext w:val="0"/>
              <w:keepLines w:val="0"/>
              <w:pageBreakBefore w:val="0"/>
              <w:widowControl/>
              <w:kinsoku/>
              <w:wordWrap/>
              <w:overflowPunct/>
              <w:topLinePunct w:val="0"/>
              <w:autoSpaceDE/>
              <w:autoSpaceDN/>
              <w:bidi w:val="0"/>
              <w:spacing w:line="360" w:lineRule="auto"/>
              <w:ind w:left="0"/>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ECT原始图像处理</w:t>
            </w:r>
          </w:p>
        </w:tc>
        <w:tc>
          <w:tcPr>
            <w:tcW w:w="2467" w:type="pct"/>
            <w:noWrap w:val="0"/>
            <w:vAlign w:val="center"/>
          </w:tcPr>
          <w:p w14:paraId="52C46F6D">
            <w:pPr>
              <w:keepNext w:val="0"/>
              <w:keepLines w:val="0"/>
              <w:pageBreakBefore w:val="0"/>
              <w:kinsoku/>
              <w:wordWrap/>
              <w:overflowPunct/>
              <w:topLinePunct w:val="0"/>
              <w:autoSpaceDE/>
              <w:autoSpaceDN/>
              <w:bidi w:val="0"/>
              <w:adjustRightInd w:val="0"/>
              <w:snapToGrid w:val="0"/>
              <w:spacing w:line="360" w:lineRule="auto"/>
              <w:ind w:left="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支持全身骨、甲状腺、肾动态、骨三时相、门控心血池的ECT原始图像处理</w:t>
            </w:r>
          </w:p>
        </w:tc>
        <w:tc>
          <w:tcPr>
            <w:tcW w:w="462" w:type="pct"/>
            <w:noWrap/>
            <w:vAlign w:val="center"/>
          </w:tcPr>
          <w:p w14:paraId="32E4312A">
            <w:pPr>
              <w:keepNext w:val="0"/>
              <w:keepLines w:val="0"/>
              <w:pageBreakBefore w:val="0"/>
              <w:widowControl/>
              <w:kinsoku/>
              <w:wordWrap/>
              <w:overflowPunct/>
              <w:topLinePunct w:val="0"/>
              <w:autoSpaceDE/>
              <w:autoSpaceDN/>
              <w:bidi w:val="0"/>
              <w:spacing w:line="360" w:lineRule="auto"/>
              <w:ind w:left="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套</w:t>
            </w:r>
          </w:p>
        </w:tc>
        <w:tc>
          <w:tcPr>
            <w:tcW w:w="420" w:type="pct"/>
            <w:noWrap/>
            <w:vAlign w:val="center"/>
          </w:tcPr>
          <w:p w14:paraId="4248F231">
            <w:pPr>
              <w:keepNext w:val="0"/>
              <w:keepLines w:val="0"/>
              <w:pageBreakBefore w:val="0"/>
              <w:widowControl/>
              <w:kinsoku/>
              <w:wordWrap/>
              <w:overflowPunct/>
              <w:topLinePunct w:val="0"/>
              <w:autoSpaceDE/>
              <w:autoSpaceDN/>
              <w:bidi w:val="0"/>
              <w:spacing w:line="360" w:lineRule="auto"/>
              <w:ind w:left="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w:t>
            </w:r>
          </w:p>
        </w:tc>
      </w:tr>
      <w:tr w14:paraId="3B8D7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30" w:type="pct"/>
            <w:noWrap/>
            <w:vAlign w:val="center"/>
          </w:tcPr>
          <w:p w14:paraId="60324440">
            <w:pPr>
              <w:keepNext w:val="0"/>
              <w:keepLines w:val="0"/>
              <w:pageBreakBefore w:val="0"/>
              <w:widowControl/>
              <w:kinsoku/>
              <w:wordWrap/>
              <w:overflowPunct/>
              <w:topLinePunct w:val="0"/>
              <w:autoSpaceDE/>
              <w:autoSpaceDN/>
              <w:bidi w:val="0"/>
              <w:spacing w:line="360" w:lineRule="auto"/>
              <w:ind w:left="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13</w:t>
            </w:r>
          </w:p>
        </w:tc>
        <w:tc>
          <w:tcPr>
            <w:tcW w:w="625" w:type="pct"/>
            <w:noWrap/>
            <w:vAlign w:val="center"/>
          </w:tcPr>
          <w:p w14:paraId="7DC8A85C">
            <w:pPr>
              <w:keepNext w:val="0"/>
              <w:keepLines w:val="0"/>
              <w:pageBreakBefore w:val="0"/>
              <w:widowControl/>
              <w:kinsoku/>
              <w:wordWrap/>
              <w:overflowPunct/>
              <w:topLinePunct w:val="0"/>
              <w:autoSpaceDE/>
              <w:autoSpaceDN/>
              <w:bidi w:val="0"/>
              <w:spacing w:line="360" w:lineRule="auto"/>
              <w:ind w:left="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sz w:val="24"/>
                <w:szCs w:val="24"/>
                <w:highlight w:val="none"/>
                <w:lang w:val="en-US" w:eastAsia="zh-CN"/>
              </w:rPr>
              <w:t>核医学系统接口改造重建</w:t>
            </w:r>
          </w:p>
        </w:tc>
        <w:tc>
          <w:tcPr>
            <w:tcW w:w="694" w:type="pct"/>
            <w:noWrap/>
            <w:vAlign w:val="center"/>
          </w:tcPr>
          <w:p w14:paraId="2AD0E24A">
            <w:pPr>
              <w:keepNext w:val="0"/>
              <w:keepLines w:val="0"/>
              <w:pageBreakBefore w:val="0"/>
              <w:widowControl/>
              <w:kinsoku/>
              <w:wordWrap/>
              <w:overflowPunct/>
              <w:topLinePunct w:val="0"/>
              <w:autoSpaceDE/>
              <w:autoSpaceDN/>
              <w:bidi w:val="0"/>
              <w:spacing w:line="360" w:lineRule="auto"/>
              <w:ind w:left="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val="en-US" w:eastAsia="zh-CN" w:bidi="ar"/>
              </w:rPr>
              <w:t>核医学接口</w:t>
            </w:r>
          </w:p>
        </w:tc>
        <w:tc>
          <w:tcPr>
            <w:tcW w:w="2467" w:type="pct"/>
            <w:noWrap w:val="0"/>
            <w:vAlign w:val="center"/>
          </w:tcPr>
          <w:p w14:paraId="022EEF1C">
            <w:pPr>
              <w:keepNext w:val="0"/>
              <w:keepLines w:val="0"/>
              <w:pageBreakBefore w:val="0"/>
              <w:kinsoku/>
              <w:wordWrap/>
              <w:overflowPunct/>
              <w:topLinePunct w:val="0"/>
              <w:autoSpaceDE/>
              <w:autoSpaceDN/>
              <w:bidi w:val="0"/>
              <w:adjustRightInd w:val="0"/>
              <w:snapToGrid w:val="0"/>
              <w:spacing w:line="360" w:lineRule="auto"/>
              <w:ind w:left="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现有接口升级改造</w:t>
            </w:r>
          </w:p>
        </w:tc>
        <w:tc>
          <w:tcPr>
            <w:tcW w:w="462" w:type="pct"/>
            <w:noWrap/>
            <w:vAlign w:val="center"/>
          </w:tcPr>
          <w:p w14:paraId="75611BF1">
            <w:pPr>
              <w:keepNext w:val="0"/>
              <w:keepLines w:val="0"/>
              <w:pageBreakBefore w:val="0"/>
              <w:widowControl/>
              <w:kinsoku/>
              <w:wordWrap/>
              <w:overflowPunct/>
              <w:topLinePunct w:val="0"/>
              <w:autoSpaceDE/>
              <w:autoSpaceDN/>
              <w:bidi w:val="0"/>
              <w:spacing w:line="360" w:lineRule="auto"/>
              <w:ind w:left="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套</w:t>
            </w:r>
          </w:p>
        </w:tc>
        <w:tc>
          <w:tcPr>
            <w:tcW w:w="420" w:type="pct"/>
            <w:noWrap/>
            <w:vAlign w:val="center"/>
          </w:tcPr>
          <w:p w14:paraId="4E147AC6">
            <w:pPr>
              <w:keepNext w:val="0"/>
              <w:keepLines w:val="0"/>
              <w:pageBreakBefore w:val="0"/>
              <w:widowControl/>
              <w:kinsoku/>
              <w:wordWrap/>
              <w:overflowPunct/>
              <w:topLinePunct w:val="0"/>
              <w:autoSpaceDE/>
              <w:autoSpaceDN/>
              <w:bidi w:val="0"/>
              <w:spacing w:line="360" w:lineRule="auto"/>
              <w:ind w:left="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w:t>
            </w:r>
          </w:p>
        </w:tc>
      </w:tr>
    </w:tbl>
    <w:p w14:paraId="1C3B3DCF">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0" w:leftChars="0" w:firstLine="0" w:firstLineChars="0"/>
        <w:jc w:val="left"/>
        <w:textAlignment w:val="auto"/>
        <w:outlineLvl w:val="0"/>
        <w:rPr>
          <w:rFonts w:hint="eastAsia" w:ascii="宋体" w:hAnsi="宋体" w:eastAsia="宋体" w:cs="宋体"/>
          <w:b/>
          <w:color w:val="auto"/>
          <w:kern w:val="2"/>
          <w:sz w:val="24"/>
          <w:szCs w:val="24"/>
          <w:highlight w:val="none"/>
          <w:lang w:val="en-US" w:eastAsia="zh-CN"/>
        </w:rPr>
      </w:pPr>
      <w:r>
        <w:rPr>
          <w:rFonts w:hint="eastAsia" w:ascii="宋体" w:hAnsi="宋体" w:eastAsia="宋体" w:cs="宋体"/>
          <w:b/>
          <w:color w:val="auto"/>
          <w:kern w:val="2"/>
          <w:sz w:val="24"/>
          <w:szCs w:val="24"/>
          <w:lang w:val="en-US" w:eastAsia="zh-CN" w:bidi="ar-SA"/>
        </w:rPr>
        <w:t>二、</w:t>
      </w:r>
      <w:r>
        <w:rPr>
          <w:rFonts w:hint="eastAsia" w:ascii="宋体" w:hAnsi="宋体" w:eastAsia="宋体" w:cs="宋体"/>
          <w:b/>
          <w:color w:val="auto"/>
          <w:kern w:val="2"/>
          <w:sz w:val="24"/>
          <w:szCs w:val="24"/>
          <w:highlight w:val="none"/>
          <w:lang w:val="en-US" w:eastAsia="zh-CN"/>
        </w:rPr>
        <w:t>升级拓展技术要求</w:t>
      </w:r>
    </w:p>
    <w:p w14:paraId="472B981A">
      <w:pPr>
        <w:keepNext w:val="0"/>
        <w:keepLines w:val="0"/>
        <w:pageBreakBefore w:val="0"/>
        <w:widowControl w:val="0"/>
        <w:numPr>
          <w:ilvl w:val="0"/>
          <w:numId w:val="2"/>
        </w:numPr>
        <w:shd w:val="clear" w:color="auto" w:fill="auto"/>
        <w:kinsoku/>
        <w:wordWrap/>
        <w:overflowPunct/>
        <w:topLinePunct w:val="0"/>
        <w:autoSpaceDE/>
        <w:autoSpaceDN/>
        <w:bidi w:val="0"/>
        <w:adjustRightInd/>
        <w:snapToGrid/>
        <w:spacing w:line="360" w:lineRule="auto"/>
        <w:ind w:left="0" w:leftChars="0" w:hanging="425" w:firstLineChars="0"/>
        <w:textAlignment w:val="auto"/>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平台升级拓展​</w:t>
      </w:r>
    </w:p>
    <w:p w14:paraId="2414D5FF">
      <w:pPr>
        <w:keepNext w:val="0"/>
        <w:keepLines w:val="0"/>
        <w:pageBreakBefore w:val="0"/>
        <w:widowControl w:val="0"/>
        <w:numPr>
          <w:ilvl w:val="1"/>
          <w:numId w:val="2"/>
        </w:numPr>
        <w:shd w:val="clear" w:color="auto" w:fill="auto"/>
        <w:kinsoku/>
        <w:wordWrap/>
        <w:overflowPunct/>
        <w:topLinePunct w:val="0"/>
        <w:autoSpaceDE/>
        <w:autoSpaceDN/>
        <w:bidi w:val="0"/>
        <w:adjustRightInd/>
        <w:snapToGrid/>
        <w:spacing w:line="360" w:lineRule="auto"/>
        <w:ind w:left="0" w:leftChars="0" w:hanging="567" w:firstLineChars="0"/>
        <w:textAlignment w:val="auto"/>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平台整体升级​</w:t>
      </w:r>
    </w:p>
    <w:p w14:paraId="349A735A">
      <w:pPr>
        <w:keepNext w:val="0"/>
        <w:keepLines w:val="0"/>
        <w:pageBreakBefore w:val="0"/>
        <w:widowControl w:val="0"/>
        <w:numPr>
          <w:ilvl w:val="2"/>
          <w:numId w:val="3"/>
        </w:numPr>
        <w:shd w:val="clear" w:color="auto" w:fill="auto"/>
        <w:kinsoku/>
        <w:wordWrap/>
        <w:overflowPunct/>
        <w:topLinePunct w:val="0"/>
        <w:autoSpaceDE/>
        <w:autoSpaceDN/>
        <w:bidi w:val="0"/>
        <w:adjustRightInd/>
        <w:snapToGrid/>
        <w:spacing w:line="360" w:lineRule="auto"/>
        <w:ind w:left="0" w:leftChars="0" w:hanging="709"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本次平台整体升级内容需包含对系统服务端的运算架构、</w:t>
      </w:r>
      <w:r>
        <w:rPr>
          <w:rFonts w:hint="eastAsia" w:ascii="宋体" w:hAnsi="宋体" w:eastAsia="宋体" w:cs="宋体"/>
          <w:color w:val="auto"/>
          <w:sz w:val="24"/>
          <w:szCs w:val="24"/>
          <w:highlight w:val="none"/>
          <w:lang w:val="en-US" w:eastAsia="zh-CN"/>
        </w:rPr>
        <w:t>应用</w:t>
      </w:r>
      <w:r>
        <w:rPr>
          <w:rFonts w:hint="eastAsia" w:ascii="宋体" w:hAnsi="宋体" w:eastAsia="宋体" w:cs="宋体"/>
          <w:color w:val="auto"/>
          <w:sz w:val="24"/>
          <w:szCs w:val="24"/>
          <w:highlight w:val="none"/>
        </w:rPr>
        <w:t>端的交互界面、</w:t>
      </w:r>
      <w:r>
        <w:rPr>
          <w:rFonts w:hint="eastAsia" w:ascii="宋体" w:hAnsi="宋体" w:eastAsia="宋体" w:cs="宋体"/>
          <w:color w:val="auto"/>
          <w:sz w:val="24"/>
          <w:szCs w:val="24"/>
          <w:highlight w:val="none"/>
          <w:lang w:val="en-US" w:eastAsia="zh-CN"/>
        </w:rPr>
        <w:t>功能</w:t>
      </w:r>
      <w:r>
        <w:rPr>
          <w:rFonts w:hint="eastAsia" w:ascii="宋体" w:hAnsi="宋体" w:eastAsia="宋体" w:cs="宋体"/>
          <w:color w:val="auto"/>
          <w:sz w:val="24"/>
          <w:szCs w:val="24"/>
          <w:highlight w:val="none"/>
        </w:rPr>
        <w:t>权限配置、统计分析进行优化。</w:t>
      </w:r>
    </w:p>
    <w:p w14:paraId="1A718C6B">
      <w:pPr>
        <w:keepNext w:val="0"/>
        <w:keepLines w:val="0"/>
        <w:pageBreakBefore w:val="0"/>
        <w:widowControl w:val="0"/>
        <w:numPr>
          <w:ilvl w:val="2"/>
          <w:numId w:val="3"/>
        </w:numPr>
        <w:shd w:val="clear" w:color="auto" w:fill="auto"/>
        <w:kinsoku/>
        <w:wordWrap/>
        <w:overflowPunct/>
        <w:topLinePunct w:val="0"/>
        <w:autoSpaceDE/>
        <w:autoSpaceDN/>
        <w:bidi w:val="0"/>
        <w:adjustRightInd/>
        <w:snapToGrid/>
        <w:spacing w:line="360" w:lineRule="auto"/>
        <w:ind w:left="0" w:leftChars="0" w:hanging="709"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系统软件采用纯B/S架构设计，同时采用高可靠、高扩展、高易用，面向用户的模式，实现核医学服务高度自治；</w:t>
      </w:r>
    </w:p>
    <w:p w14:paraId="6FB2E80A">
      <w:pPr>
        <w:keepNext w:val="0"/>
        <w:keepLines w:val="0"/>
        <w:pageBreakBefore w:val="0"/>
        <w:widowControl w:val="0"/>
        <w:numPr>
          <w:ilvl w:val="2"/>
          <w:numId w:val="3"/>
        </w:numPr>
        <w:shd w:val="clear" w:color="auto" w:fill="auto"/>
        <w:kinsoku/>
        <w:wordWrap/>
        <w:overflowPunct/>
        <w:topLinePunct w:val="0"/>
        <w:autoSpaceDE/>
        <w:autoSpaceDN/>
        <w:bidi w:val="0"/>
        <w:adjustRightInd/>
        <w:snapToGrid/>
        <w:spacing w:line="360" w:lineRule="auto"/>
        <w:ind w:left="0" w:leftChars="0" w:hanging="709"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系统通过用户注册、用户管理、用户追踪等方式保证平台内的用户健康、可持续</w:t>
      </w:r>
      <w:r>
        <w:rPr>
          <w:rFonts w:hint="eastAsia" w:ascii="宋体" w:hAnsi="宋体" w:eastAsia="宋体" w:cs="宋体"/>
          <w:color w:val="auto"/>
          <w:sz w:val="24"/>
          <w:szCs w:val="24"/>
          <w:highlight w:val="none"/>
          <w:lang w:eastAsia="zh-CN"/>
        </w:rPr>
        <w:t>地</w:t>
      </w:r>
      <w:r>
        <w:rPr>
          <w:rFonts w:hint="eastAsia" w:ascii="宋体" w:hAnsi="宋体" w:eastAsia="宋体" w:cs="宋体"/>
          <w:color w:val="auto"/>
          <w:sz w:val="24"/>
          <w:szCs w:val="24"/>
          <w:highlight w:val="none"/>
        </w:rPr>
        <w:t>使用平台业务；</w:t>
      </w:r>
    </w:p>
    <w:p w14:paraId="536D8725">
      <w:pPr>
        <w:keepNext w:val="0"/>
        <w:keepLines w:val="0"/>
        <w:pageBreakBefore w:val="0"/>
        <w:widowControl w:val="0"/>
        <w:numPr>
          <w:ilvl w:val="2"/>
          <w:numId w:val="3"/>
        </w:numPr>
        <w:shd w:val="clear" w:color="auto" w:fill="auto"/>
        <w:kinsoku/>
        <w:wordWrap/>
        <w:overflowPunct/>
        <w:topLinePunct w:val="0"/>
        <w:autoSpaceDE/>
        <w:autoSpaceDN/>
        <w:bidi w:val="0"/>
        <w:adjustRightInd/>
        <w:snapToGrid/>
        <w:spacing w:line="360" w:lineRule="auto"/>
        <w:ind w:left="0" w:leftChars="0" w:hanging="709"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系统采用服务端升级与维护的模式，实现平台业务不间断升级，保证用户日常使用的流畅性；</w:t>
      </w:r>
    </w:p>
    <w:p w14:paraId="62EF396F">
      <w:pPr>
        <w:keepNext w:val="0"/>
        <w:keepLines w:val="0"/>
        <w:pageBreakBefore w:val="0"/>
        <w:widowControl w:val="0"/>
        <w:numPr>
          <w:ilvl w:val="2"/>
          <w:numId w:val="3"/>
        </w:numPr>
        <w:shd w:val="clear" w:color="auto" w:fill="auto"/>
        <w:kinsoku/>
        <w:wordWrap/>
        <w:overflowPunct/>
        <w:topLinePunct w:val="0"/>
        <w:autoSpaceDE/>
        <w:autoSpaceDN/>
        <w:bidi w:val="0"/>
        <w:adjustRightInd/>
        <w:snapToGrid/>
        <w:spacing w:line="360" w:lineRule="auto"/>
        <w:ind w:left="0" w:leftChars="0" w:hanging="709"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系统通过用户名+密码登录、CA登录、扫码登录多种认证方式保证系统登录安全性；</w:t>
      </w:r>
    </w:p>
    <w:p w14:paraId="7869820A">
      <w:pPr>
        <w:keepNext w:val="0"/>
        <w:keepLines w:val="0"/>
        <w:pageBreakBefore w:val="0"/>
        <w:widowControl w:val="0"/>
        <w:numPr>
          <w:ilvl w:val="2"/>
          <w:numId w:val="3"/>
        </w:numPr>
        <w:shd w:val="clear" w:color="auto" w:fill="auto"/>
        <w:kinsoku/>
        <w:wordWrap/>
        <w:overflowPunct/>
        <w:topLinePunct w:val="0"/>
        <w:autoSpaceDE/>
        <w:autoSpaceDN/>
        <w:bidi w:val="0"/>
        <w:adjustRightInd/>
        <w:snapToGrid/>
        <w:spacing w:line="360" w:lineRule="auto"/>
        <w:ind w:left="0" w:leftChars="0" w:hanging="709"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支持强用户密码校验与用户信息加密，对基本信息和检查信息进行加密。</w:t>
      </w:r>
    </w:p>
    <w:p w14:paraId="04A3AD5C">
      <w:pPr>
        <w:keepNext w:val="0"/>
        <w:keepLines w:val="0"/>
        <w:pageBreakBefore w:val="0"/>
        <w:widowControl w:val="0"/>
        <w:numPr>
          <w:ilvl w:val="2"/>
          <w:numId w:val="3"/>
        </w:numPr>
        <w:shd w:val="clear" w:color="auto" w:fill="auto"/>
        <w:kinsoku/>
        <w:wordWrap/>
        <w:overflowPunct/>
        <w:topLinePunct w:val="0"/>
        <w:autoSpaceDE/>
        <w:autoSpaceDN/>
        <w:bidi w:val="0"/>
        <w:adjustRightInd/>
        <w:snapToGrid/>
        <w:spacing w:line="360" w:lineRule="auto"/>
        <w:ind w:left="0" w:leftChars="0" w:hanging="709"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本次升级服务端操作系统、数据库软件均支持国产化。</w:t>
      </w:r>
    </w:p>
    <w:p w14:paraId="49F0493E">
      <w:pPr>
        <w:keepNext w:val="0"/>
        <w:keepLines w:val="0"/>
        <w:pageBreakBefore w:val="0"/>
        <w:widowControl w:val="0"/>
        <w:numPr>
          <w:ilvl w:val="2"/>
          <w:numId w:val="3"/>
        </w:numPr>
        <w:shd w:val="clear" w:color="auto" w:fill="auto"/>
        <w:kinsoku/>
        <w:wordWrap/>
        <w:overflowPunct/>
        <w:topLinePunct w:val="0"/>
        <w:autoSpaceDE/>
        <w:autoSpaceDN/>
        <w:bidi w:val="0"/>
        <w:adjustRightInd/>
        <w:snapToGrid/>
        <w:spacing w:line="360" w:lineRule="auto"/>
        <w:ind w:left="0" w:leftChars="0" w:hanging="709"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本次升级后系统需全面符合六级电子病历评级的各项功能要求。</w:t>
      </w:r>
    </w:p>
    <w:p w14:paraId="0CDEA05A">
      <w:pPr>
        <w:keepNext w:val="0"/>
        <w:keepLines w:val="0"/>
        <w:pageBreakBefore w:val="0"/>
        <w:widowControl w:val="0"/>
        <w:numPr>
          <w:ilvl w:val="2"/>
          <w:numId w:val="3"/>
        </w:numPr>
        <w:shd w:val="clear" w:color="auto" w:fill="auto"/>
        <w:kinsoku/>
        <w:wordWrap/>
        <w:overflowPunct/>
        <w:topLinePunct w:val="0"/>
        <w:autoSpaceDE/>
        <w:autoSpaceDN/>
        <w:bidi w:val="0"/>
        <w:adjustRightInd/>
        <w:snapToGrid/>
        <w:spacing w:line="360" w:lineRule="auto"/>
        <w:ind w:left="0" w:leftChars="0" w:hanging="709"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本项目需覆盖集团多院区设备接入。</w:t>
      </w:r>
    </w:p>
    <w:p w14:paraId="43E33223">
      <w:pPr>
        <w:keepNext w:val="0"/>
        <w:keepLines w:val="0"/>
        <w:pageBreakBefore w:val="0"/>
        <w:widowControl w:val="0"/>
        <w:numPr>
          <w:ilvl w:val="1"/>
          <w:numId w:val="2"/>
        </w:numPr>
        <w:shd w:val="clear" w:color="auto" w:fill="auto"/>
        <w:kinsoku/>
        <w:wordWrap/>
        <w:overflowPunct/>
        <w:topLinePunct w:val="0"/>
        <w:autoSpaceDE/>
        <w:autoSpaceDN/>
        <w:bidi w:val="0"/>
        <w:adjustRightInd/>
        <w:snapToGrid/>
        <w:spacing w:line="360" w:lineRule="auto"/>
        <w:ind w:left="0" w:leftChars="0" w:hanging="567" w:firstLineChars="0"/>
        <w:textAlignment w:val="auto"/>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旧数据备份与导入​</w:t>
      </w:r>
    </w:p>
    <w:p w14:paraId="414E0514">
      <w:pPr>
        <w:keepNext w:val="0"/>
        <w:keepLines w:val="0"/>
        <w:pageBreakBefore w:val="0"/>
        <w:widowControl w:val="0"/>
        <w:numPr>
          <w:ilvl w:val="2"/>
          <w:numId w:val="2"/>
        </w:numPr>
        <w:shd w:val="clear" w:color="auto" w:fill="auto"/>
        <w:kinsoku/>
        <w:wordWrap/>
        <w:overflowPunct/>
        <w:topLinePunct w:val="0"/>
        <w:autoSpaceDE/>
        <w:autoSpaceDN/>
        <w:bidi w:val="0"/>
        <w:adjustRightInd/>
        <w:snapToGrid/>
        <w:spacing w:line="360" w:lineRule="auto"/>
        <w:ind w:left="0" w:leftChars="0" w:hanging="709" w:firstLineChars="0"/>
        <w:textAlignment w:val="auto"/>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历史数据提取范围需覆盖</w:t>
      </w:r>
      <w:r>
        <w:rPr>
          <w:rFonts w:hint="eastAsia" w:ascii="宋体" w:hAnsi="宋体" w:eastAsia="宋体" w:cs="宋体"/>
          <w:color w:val="auto"/>
          <w:sz w:val="24"/>
          <w:szCs w:val="24"/>
          <w:highlight w:val="none"/>
          <w:lang w:val="en-US" w:eastAsia="zh-CN"/>
        </w:rPr>
        <w:t>核医学</w:t>
      </w:r>
      <w:r>
        <w:rPr>
          <w:rFonts w:hint="eastAsia" w:ascii="宋体" w:hAnsi="宋体" w:eastAsia="宋体" w:cs="宋体"/>
          <w:color w:val="auto"/>
          <w:sz w:val="24"/>
          <w:szCs w:val="24"/>
          <w:highlight w:val="none"/>
        </w:rPr>
        <w:t>所有</w:t>
      </w:r>
      <w:r>
        <w:rPr>
          <w:rFonts w:hint="eastAsia" w:ascii="宋体" w:hAnsi="宋体" w:eastAsia="宋体" w:cs="宋体"/>
          <w:color w:val="auto"/>
          <w:sz w:val="24"/>
          <w:szCs w:val="24"/>
          <w:highlight w:val="none"/>
          <w:lang w:val="en-US" w:eastAsia="zh-CN"/>
        </w:rPr>
        <w:t>数据</w:t>
      </w:r>
      <w:r>
        <w:rPr>
          <w:rFonts w:hint="eastAsia" w:ascii="宋体" w:hAnsi="宋体" w:eastAsia="宋体" w:cs="宋体"/>
          <w:color w:val="auto"/>
          <w:sz w:val="24"/>
          <w:szCs w:val="24"/>
          <w:highlight w:val="none"/>
        </w:rPr>
        <w:t>，包括但不限于患者基本信息、检查报告、</w:t>
      </w:r>
      <w:r>
        <w:rPr>
          <w:rFonts w:hint="eastAsia" w:ascii="宋体" w:hAnsi="宋体" w:eastAsia="宋体" w:cs="宋体"/>
          <w:color w:val="auto"/>
          <w:sz w:val="24"/>
          <w:szCs w:val="24"/>
          <w:highlight w:val="none"/>
          <w:lang w:val="en-US" w:eastAsia="zh-CN"/>
        </w:rPr>
        <w:t>患者影像</w:t>
      </w:r>
      <w:r>
        <w:rPr>
          <w:rFonts w:hint="eastAsia" w:ascii="宋体" w:hAnsi="宋体" w:eastAsia="宋体" w:cs="宋体"/>
          <w:color w:val="auto"/>
          <w:sz w:val="24"/>
          <w:szCs w:val="24"/>
          <w:highlight w:val="none"/>
        </w:rPr>
        <w:t>等。</w:t>
      </w:r>
    </w:p>
    <w:p w14:paraId="564984EF">
      <w:pPr>
        <w:keepNext w:val="0"/>
        <w:keepLines w:val="0"/>
        <w:pageBreakBefore w:val="0"/>
        <w:widowControl w:val="0"/>
        <w:numPr>
          <w:ilvl w:val="2"/>
          <w:numId w:val="2"/>
        </w:numPr>
        <w:shd w:val="clear" w:color="auto" w:fill="auto"/>
        <w:kinsoku/>
        <w:wordWrap/>
        <w:overflowPunct/>
        <w:topLinePunct w:val="0"/>
        <w:autoSpaceDE/>
        <w:autoSpaceDN/>
        <w:bidi w:val="0"/>
        <w:adjustRightInd/>
        <w:snapToGrid/>
        <w:spacing w:line="360" w:lineRule="auto"/>
        <w:ind w:left="0" w:leftChars="0" w:hanging="709" w:firstLineChars="0"/>
        <w:textAlignment w:val="auto"/>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数据处理需完成格式规整、冗余清理、逻辑校验，处理后需保证数据准确率。</w:t>
      </w:r>
    </w:p>
    <w:p w14:paraId="624EDE32">
      <w:pPr>
        <w:keepNext w:val="0"/>
        <w:keepLines w:val="0"/>
        <w:pageBreakBefore w:val="0"/>
        <w:widowControl w:val="0"/>
        <w:numPr>
          <w:ilvl w:val="2"/>
          <w:numId w:val="2"/>
        </w:numPr>
        <w:shd w:val="clear" w:color="auto" w:fill="auto"/>
        <w:kinsoku/>
        <w:wordWrap/>
        <w:overflowPunct/>
        <w:topLinePunct w:val="0"/>
        <w:autoSpaceDE/>
        <w:autoSpaceDN/>
        <w:bidi w:val="0"/>
        <w:adjustRightInd/>
        <w:snapToGrid/>
        <w:spacing w:line="360" w:lineRule="auto"/>
        <w:ind w:left="0" w:leftChars="0" w:hanging="709" w:firstLineChars="0"/>
        <w:textAlignment w:val="auto"/>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数据导入后需通过抽样校验的方式验证准确性，确保导入后数据可正常查询、调用，数据连续性无中断。</w:t>
      </w:r>
    </w:p>
    <w:p w14:paraId="05C398C6">
      <w:pPr>
        <w:keepNext w:val="0"/>
        <w:keepLines w:val="0"/>
        <w:pageBreakBefore w:val="0"/>
        <w:widowControl w:val="0"/>
        <w:numPr>
          <w:ilvl w:val="1"/>
          <w:numId w:val="2"/>
        </w:numPr>
        <w:shd w:val="clear" w:color="auto" w:fill="auto"/>
        <w:kinsoku/>
        <w:wordWrap/>
        <w:overflowPunct/>
        <w:topLinePunct w:val="0"/>
        <w:autoSpaceDE/>
        <w:autoSpaceDN/>
        <w:bidi w:val="0"/>
        <w:adjustRightInd/>
        <w:snapToGrid/>
        <w:spacing w:line="360" w:lineRule="auto"/>
        <w:ind w:left="0" w:leftChars="0" w:hanging="567" w:firstLineChars="0"/>
        <w:textAlignment w:val="auto"/>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功能升级​</w:t>
      </w:r>
    </w:p>
    <w:p w14:paraId="2FED10E8">
      <w:pPr>
        <w:keepNext w:val="0"/>
        <w:keepLines w:val="0"/>
        <w:pageBreakBefore w:val="0"/>
        <w:widowControl w:val="0"/>
        <w:numPr>
          <w:ilvl w:val="2"/>
          <w:numId w:val="2"/>
        </w:numPr>
        <w:shd w:val="clear" w:color="auto" w:fill="auto"/>
        <w:kinsoku/>
        <w:wordWrap/>
        <w:overflowPunct/>
        <w:topLinePunct w:val="0"/>
        <w:autoSpaceDE/>
        <w:autoSpaceDN/>
        <w:bidi w:val="0"/>
        <w:adjustRightInd/>
        <w:snapToGrid/>
        <w:spacing w:line="360" w:lineRule="auto"/>
        <w:ind w:left="0" w:leftChars="0" w:hanging="709" w:firstLineChars="0"/>
        <w:textAlignment w:val="auto"/>
        <w:outlineLvl w:val="1"/>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服务端升级</w:t>
      </w:r>
      <w:r>
        <w:rPr>
          <w:rFonts w:hint="eastAsia" w:ascii="宋体" w:hAnsi="宋体" w:eastAsia="宋体" w:cs="宋体"/>
          <w:color w:val="auto"/>
          <w:sz w:val="24"/>
          <w:szCs w:val="24"/>
          <w:highlight w:val="none"/>
        </w:rPr>
        <w:t>​</w:t>
      </w:r>
    </w:p>
    <w:p w14:paraId="36BF919A">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升级后B/S</w:t>
      </w:r>
      <w:r>
        <w:rPr>
          <w:rFonts w:hint="eastAsia" w:ascii="宋体" w:hAnsi="宋体" w:eastAsia="宋体" w:cs="宋体"/>
          <w:color w:val="auto"/>
          <w:sz w:val="24"/>
          <w:szCs w:val="24"/>
          <w:highlight w:val="none"/>
          <w:lang w:eastAsia="zh-CN"/>
        </w:rPr>
        <w:t>架构</w:t>
      </w:r>
      <w:r>
        <w:rPr>
          <w:rFonts w:hint="eastAsia" w:ascii="宋体" w:hAnsi="宋体" w:eastAsia="宋体" w:cs="宋体"/>
          <w:color w:val="auto"/>
          <w:sz w:val="24"/>
          <w:szCs w:val="24"/>
          <w:highlight w:val="none"/>
        </w:rPr>
        <w:t>核医学系统采用全新的风格界面，加强人机交互性的同时，将所有一站式推送到医生面前，通过license账号授权，让每个医生看到的功能界面都不相同，做到为每个医生都提供专属流程站点，“一人一机”的专属工作模式。</w:t>
      </w:r>
    </w:p>
    <w:p w14:paraId="22203FD7">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支持采用集中式数据结构，各个终端直接调用数据库中的数据，数据库保存包括用户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病人信息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影像数据和存储位置等信息。</w:t>
      </w:r>
    </w:p>
    <w:p w14:paraId="7DAF5E14">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支持接受医生申请，按权限提供所储存影像及相关信息。</w:t>
      </w:r>
    </w:p>
    <w:p w14:paraId="78999D5D">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支持允许工作站用户发送查询请求，在基于许可的权限范围内，得到相应检查的工作列表和目录。</w:t>
      </w:r>
    </w:p>
    <w:p w14:paraId="1602E24F">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支持数据库设定自动的备份和验证规则，同时，在该</w:t>
      </w:r>
      <w:r>
        <w:rPr>
          <w:rFonts w:hint="eastAsia" w:ascii="宋体" w:hAnsi="宋体" w:eastAsia="宋体" w:cs="宋体"/>
          <w:color w:val="auto"/>
          <w:sz w:val="24"/>
          <w:szCs w:val="24"/>
          <w:highlight w:val="none"/>
          <w:lang w:eastAsia="zh-CN"/>
        </w:rPr>
        <w:t>规则</w:t>
      </w:r>
      <w:r>
        <w:rPr>
          <w:rFonts w:hint="eastAsia" w:ascii="宋体" w:hAnsi="宋体" w:eastAsia="宋体" w:cs="宋体"/>
          <w:color w:val="auto"/>
          <w:sz w:val="24"/>
          <w:szCs w:val="24"/>
          <w:highlight w:val="none"/>
        </w:rPr>
        <w:t>运行的过程中，不会停止系统的服务或对系统的性能有明显的影响。</w:t>
      </w:r>
    </w:p>
    <w:p w14:paraId="57D94B2D">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支持DICOM Storage SCU/SCP</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可直接接收所有符合DICOM3.0标准的影像数据（SPECT-CT、PET-CT、PET-MR等）；</w:t>
      </w:r>
    </w:p>
    <w:p w14:paraId="2ABC3A2A">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支持DICOM Move/Find SCU/SCP</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Query/Retrieve_SCU/SCP</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可允许多个客户工作站同时查询与调阅影像；</w:t>
      </w:r>
    </w:p>
    <w:p w14:paraId="0BAA1E94">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支持DICOM WORKLIST功能：工作列表功能，将患者检查信息自动发送到检查设备；</w:t>
      </w:r>
    </w:p>
    <w:p w14:paraId="4DD5F142">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支持DICOM存储：以DICOM标准定义的格式、文件名进行图像的存储；</w:t>
      </w:r>
    </w:p>
    <w:p w14:paraId="374088A2">
      <w:pPr>
        <w:keepNext w:val="0"/>
        <w:keepLines w:val="0"/>
        <w:pageBreakBefore w:val="0"/>
        <w:widowControl w:val="0"/>
        <w:numPr>
          <w:ilvl w:val="2"/>
          <w:numId w:val="2"/>
        </w:numPr>
        <w:shd w:val="clear" w:color="auto" w:fill="auto"/>
        <w:kinsoku/>
        <w:wordWrap/>
        <w:overflowPunct/>
        <w:topLinePunct w:val="0"/>
        <w:autoSpaceDE/>
        <w:autoSpaceDN/>
        <w:bidi w:val="0"/>
        <w:adjustRightInd/>
        <w:snapToGrid/>
        <w:spacing w:line="360" w:lineRule="auto"/>
        <w:ind w:left="0" w:leftChars="0" w:hanging="709" w:firstLineChars="0"/>
        <w:textAlignment w:val="auto"/>
        <w:outlineLvl w:val="1"/>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预约登记升级</w:t>
      </w:r>
    </w:p>
    <w:p w14:paraId="3F4E4CBA">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通过与HIS系统集成，直接获取病人信息，提供按检查项目选择不同检查日期的功能，按照不同时间段进行号源预约，当前时间段约满后不可再约；也可为急诊、VIP患者预留号源。</w:t>
      </w:r>
    </w:p>
    <w:p w14:paraId="4AB95F38">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预约分诊包含预约、登记、申请列表、预约列表、登记列表、报告列表、过号列表、取消检查列表、和登记情况等不同的查看页面；</w:t>
      </w:r>
    </w:p>
    <w:p w14:paraId="1BB348D3">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可以直接从HIS方提取病人的基本信息。直接录入检查项目等信息；也可以输入病人姓名或者以首拼的形式提取病人基本信息。直接录入检查项目等信息；</w:t>
      </w:r>
    </w:p>
    <w:p w14:paraId="58221B76">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SPECT-CT、PET-CT、PET-MR不同检查类型可按照不同的预约规则进行自定义设置；</w:t>
      </w:r>
    </w:p>
    <w:p w14:paraId="717BE579">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预约队列能够按照不同时间段进行号源预约，当前时间段约满后不可再约；也可为急诊、VIP患者预留号源；</w:t>
      </w:r>
    </w:p>
    <w:p w14:paraId="34133552">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选号模式支持自动分配和手动分配两种方式；</w:t>
      </w:r>
    </w:p>
    <w:p w14:paraId="34A467EF">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对已经登记的患者支持过号和取消检查的操作；</w:t>
      </w:r>
    </w:p>
    <w:p w14:paraId="2EDDAEE0">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对于取消检查的患者能够快速恢复当前患者检查；</w:t>
      </w:r>
    </w:p>
    <w:p w14:paraId="08745AA4">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检查队列能够进行快速切换，包括SPECT检查、PET-CT检查、PET-MR检查队列；</w:t>
      </w:r>
    </w:p>
    <w:p w14:paraId="0FE27AF6">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对及时检查的病人支持快速录入检查申请；</w:t>
      </w:r>
    </w:p>
    <w:p w14:paraId="5EDC44E2">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所有常用项目都提供预输入功能，无需每次输入；</w:t>
      </w:r>
    </w:p>
    <w:p w14:paraId="514041CE">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根据不同的检查项目，自动打印出不同的预约单，预约单上显示患者检查信息以及注意事项；</w:t>
      </w:r>
    </w:p>
    <w:p w14:paraId="117338CB">
      <w:pPr>
        <w:keepNext w:val="0"/>
        <w:keepLines w:val="0"/>
        <w:pageBreakBefore w:val="0"/>
        <w:widowControl w:val="0"/>
        <w:numPr>
          <w:ilvl w:val="2"/>
          <w:numId w:val="2"/>
        </w:numPr>
        <w:shd w:val="clear" w:color="auto" w:fill="auto"/>
        <w:kinsoku/>
        <w:wordWrap/>
        <w:overflowPunct/>
        <w:topLinePunct w:val="0"/>
        <w:autoSpaceDE/>
        <w:autoSpaceDN/>
        <w:bidi w:val="0"/>
        <w:adjustRightInd/>
        <w:snapToGrid/>
        <w:spacing w:line="360" w:lineRule="auto"/>
        <w:ind w:left="0" w:leftChars="0" w:hanging="709" w:firstLineChars="0"/>
        <w:textAlignment w:val="auto"/>
        <w:outlineLvl w:val="1"/>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电子叫号升级</w:t>
      </w:r>
    </w:p>
    <w:p w14:paraId="3A42F91C">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升级后</w:t>
      </w:r>
      <w:r>
        <w:rPr>
          <w:rFonts w:hint="eastAsia" w:ascii="宋体" w:hAnsi="宋体" w:eastAsia="宋体" w:cs="宋体"/>
          <w:color w:val="auto"/>
          <w:sz w:val="24"/>
          <w:szCs w:val="24"/>
          <w:highlight w:val="none"/>
        </w:rPr>
        <w:t>支持核医学注射前后双叫号流程，通过注射前后候诊厅安装呼叫显示终端，显示患者排队列表、检查注意事项等信息，指引患者完成后续检查流程，叫号软件支持多种显示模式自定义设置。</w:t>
      </w:r>
    </w:p>
    <w:p w14:paraId="76C76298">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问诊呼叫、注射前候诊、注射后候诊多流程叫号系统；</w:t>
      </w:r>
    </w:p>
    <w:p w14:paraId="68351517">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支持问诊室呼叫、注射室呼叫、检查时呼叫几个部分。即可以直接通过语音呼叫患者，也可以自定义内容呼叫；</w:t>
      </w:r>
    </w:p>
    <w:p w14:paraId="7AEE583D">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特色的自定义呼叫设计，可将常用的提醒语音以文字形式录入系统中，呼叫时自动以电脑合成语音播放；</w:t>
      </w:r>
    </w:p>
    <w:p w14:paraId="440F0F06">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未呼叫、已呼叫的患者不同颜色提示，便于医生区分；</w:t>
      </w:r>
    </w:p>
    <w:p w14:paraId="02B77D90">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支持叫号屏设置，可自由设置所属科室、设备屏名称、设备屏编码、IP地址、端口号、显示队列等相关信息；</w:t>
      </w:r>
    </w:p>
    <w:p w14:paraId="444F83BA">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支持屏幕显示方式（横屏、竖屏）、皮肤样式自由选择；</w:t>
      </w:r>
    </w:p>
    <w:p w14:paraId="1C091CD7">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支持显示屏显示参数自定义设置，可设置标题栏区域显示内容、显示区样式、显示患者样式、语音播放设置、显示内容区设置等。</w:t>
      </w:r>
    </w:p>
    <w:p w14:paraId="45402FF4">
      <w:pPr>
        <w:keepNext w:val="0"/>
        <w:keepLines w:val="0"/>
        <w:pageBreakBefore w:val="0"/>
        <w:widowControl w:val="0"/>
        <w:numPr>
          <w:ilvl w:val="2"/>
          <w:numId w:val="2"/>
        </w:numPr>
        <w:shd w:val="clear" w:color="auto" w:fill="auto"/>
        <w:kinsoku/>
        <w:wordWrap/>
        <w:overflowPunct/>
        <w:topLinePunct w:val="0"/>
        <w:autoSpaceDE/>
        <w:autoSpaceDN/>
        <w:bidi w:val="0"/>
        <w:adjustRightInd/>
        <w:snapToGrid/>
        <w:spacing w:line="360" w:lineRule="auto"/>
        <w:ind w:left="0" w:leftChars="0" w:hanging="709" w:firstLineChars="0"/>
        <w:textAlignment w:val="auto"/>
        <w:outlineLvl w:val="1"/>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病史问诊升级</w:t>
      </w:r>
    </w:p>
    <w:p w14:paraId="78F30C03">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升级后能够完善</w:t>
      </w:r>
      <w:r>
        <w:rPr>
          <w:rFonts w:hint="eastAsia" w:ascii="宋体" w:hAnsi="宋体" w:eastAsia="宋体" w:cs="宋体"/>
          <w:color w:val="auto"/>
          <w:sz w:val="24"/>
          <w:szCs w:val="24"/>
          <w:highlight w:val="none"/>
        </w:rPr>
        <w:t>核医学信息化检查流程，记录患者的详细病史，根据不同检查类型提供不同的结构化问诊模板，问诊系统与报告系统无缝融合，信息实时共享。</w:t>
      </w:r>
    </w:p>
    <w:p w14:paraId="6CEB6668">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支持根据登记检查项目，自动选择问诊模板；</w:t>
      </w:r>
    </w:p>
    <w:p w14:paraId="57A0F5B8">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支持问诊状态在病人列表中清晰显示。</w:t>
      </w:r>
    </w:p>
    <w:p w14:paraId="4DECB97C">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问诊功能记录检查前的患者信息，与报告工作站集成，医生在诊断报告时可随时调用问诊信息；</w:t>
      </w:r>
    </w:p>
    <w:p w14:paraId="7343CD24">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问诊界面的患者现状、病史、检查史等信息可与医院系统集成后自动获取，无需医生再手动填写，通过接口触发后信息自动填写至相关窗口；</w:t>
      </w:r>
    </w:p>
    <w:p w14:paraId="29EE0E0F">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支持连接胶片扫描仪，将患者自带胶片扫描成数字图像，并与报告系统集成；</w:t>
      </w:r>
    </w:p>
    <w:p w14:paraId="36EC65CB">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支持患者自带纸张病历数字化功能，将病历数字化存储后，与报告系统集成，建立患者完整的病历资料库；</w:t>
      </w:r>
    </w:p>
    <w:p w14:paraId="48C812D8">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已问诊、未问诊不同颜色标识，方便医生快速识别；</w:t>
      </w:r>
    </w:p>
    <w:p w14:paraId="6ABD6F3F">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不同的检查项目提供不同的结构化问诊模板，方便医生快速录入问诊信息；</w:t>
      </w:r>
    </w:p>
    <w:p w14:paraId="037EBC01">
      <w:pPr>
        <w:keepNext w:val="0"/>
        <w:keepLines w:val="0"/>
        <w:pageBreakBefore w:val="0"/>
        <w:widowControl w:val="0"/>
        <w:numPr>
          <w:ilvl w:val="2"/>
          <w:numId w:val="2"/>
        </w:numPr>
        <w:shd w:val="clear" w:color="auto" w:fill="auto"/>
        <w:kinsoku/>
        <w:wordWrap/>
        <w:overflowPunct/>
        <w:topLinePunct w:val="0"/>
        <w:autoSpaceDE/>
        <w:autoSpaceDN/>
        <w:bidi w:val="0"/>
        <w:adjustRightInd/>
        <w:snapToGrid/>
        <w:spacing w:line="360" w:lineRule="auto"/>
        <w:ind w:left="0" w:leftChars="0" w:hanging="709" w:firstLineChars="0"/>
        <w:textAlignment w:val="auto"/>
        <w:outlineLvl w:val="1"/>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药物注射升级</w:t>
      </w:r>
    </w:p>
    <w:p w14:paraId="77A568F7">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升级后支持记录患者注射信息，注射时间、注射剂量、注射部位等药物注射相关信息。安装在高活室，可采用触摸一体机作为应用终端，从而便于医师操作。</w:t>
      </w:r>
    </w:p>
    <w:p w14:paraId="4F07B6D8">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已注射、未注射患者不同颜色标识，帮助医生快速区分；</w:t>
      </w:r>
    </w:p>
    <w:p w14:paraId="4528CC14">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根据不同的检查项目自适应匹配不同的注射模板，快速记录注射信息；</w:t>
      </w:r>
    </w:p>
    <w:p w14:paraId="793C3BFE">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与药品管理、预约工作站实现数据双向互通，可查看相关信息；</w:t>
      </w:r>
    </w:p>
    <w:p w14:paraId="0B14B1A0">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提供问诊注射患者质控，未问诊患者不进入注射列表，强化患者诊前流程质控；</w:t>
      </w:r>
    </w:p>
    <w:p w14:paraId="6EA7B088">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支持记录注射患者留置针信息（包括留置针部位、留置针人员）；</w:t>
      </w:r>
    </w:p>
    <w:p w14:paraId="15A86126">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可记录患者FDG血糖调糖记录，最多可记录患者8次血糖数据，并自动生成折线图，有助于改善显像质量和显像时间；</w:t>
      </w:r>
    </w:p>
    <w:p w14:paraId="1312D40A">
      <w:pPr>
        <w:keepNext w:val="0"/>
        <w:keepLines w:val="0"/>
        <w:pageBreakBefore w:val="0"/>
        <w:widowControl w:val="0"/>
        <w:numPr>
          <w:ilvl w:val="2"/>
          <w:numId w:val="2"/>
        </w:numPr>
        <w:shd w:val="clear" w:color="auto" w:fill="auto"/>
        <w:kinsoku/>
        <w:wordWrap/>
        <w:overflowPunct/>
        <w:topLinePunct w:val="0"/>
        <w:autoSpaceDE/>
        <w:autoSpaceDN/>
        <w:bidi w:val="0"/>
        <w:adjustRightInd/>
        <w:snapToGrid/>
        <w:spacing w:line="360" w:lineRule="auto"/>
        <w:ind w:left="0" w:leftChars="0" w:hanging="709" w:firstLineChars="0"/>
        <w:textAlignment w:val="auto"/>
        <w:outlineLvl w:val="1"/>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检查管理升级</w:t>
      </w:r>
    </w:p>
    <w:p w14:paraId="63FFC687">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升级后支持查看患者检查与注射药物信息，具有呼叫功能，呼叫患者到检查室进行检查。实时校验患者检查信息，并对当前患者检查状态进行标定。支持对延迟显像患者进行延迟显像标记，报告医生端可以实时查看当前患者检查状态，关注延迟显像患者；</w:t>
      </w:r>
    </w:p>
    <w:p w14:paraId="1F7589A8">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提供患者检查列表，医生能够快速查看待检查患者的基础信息；</w:t>
      </w:r>
    </w:p>
    <w:p w14:paraId="08C39A37">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检查列表中显示当前待检查患者的已注射和未注射状态；</w:t>
      </w:r>
    </w:p>
    <w:p w14:paraId="18EC2328">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支持查看患者的注射时间和药物信息；</w:t>
      </w:r>
    </w:p>
    <w:p w14:paraId="3CC2304D">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检查环节支持呼叫患者检查、自定义呼叫患者检查；</w:t>
      </w:r>
    </w:p>
    <w:p w14:paraId="63354256">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能够对当前患者进行检查、开始检查、等候、离开等状态的标定；</w:t>
      </w:r>
    </w:p>
    <w:p w14:paraId="170E32F1">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检查状态实时更新，显示患者的未检查、检查中、已检查等状态；</w:t>
      </w:r>
    </w:p>
    <w:p w14:paraId="588F3E2A">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已检查、未检查患者不同颜色标识，帮助医生快速区分；</w:t>
      </w:r>
    </w:p>
    <w:p w14:paraId="181DDF88">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支持记录患者检查前详细准备信息，包括是否饮水、饮水量、饮水时间、利尿剂剂量和时间等；</w:t>
      </w:r>
    </w:p>
    <w:p w14:paraId="0BFB23FA">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支持记录患者检查采集时间、部位、辐射剂量等关键参数；</w:t>
      </w:r>
    </w:p>
    <w:p w14:paraId="6036B0F8">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对于延迟显像，可记录延迟显像采集时间、部位等信息；</w:t>
      </w:r>
    </w:p>
    <w:p w14:paraId="0C70F5CF">
      <w:pPr>
        <w:keepNext w:val="0"/>
        <w:keepLines w:val="0"/>
        <w:pageBreakBefore w:val="0"/>
        <w:widowControl w:val="0"/>
        <w:numPr>
          <w:ilvl w:val="2"/>
          <w:numId w:val="2"/>
        </w:numPr>
        <w:shd w:val="clear" w:color="auto" w:fill="auto"/>
        <w:kinsoku/>
        <w:wordWrap/>
        <w:overflowPunct/>
        <w:topLinePunct w:val="0"/>
        <w:autoSpaceDE/>
        <w:autoSpaceDN/>
        <w:bidi w:val="0"/>
        <w:adjustRightInd/>
        <w:snapToGrid/>
        <w:spacing w:line="360" w:lineRule="auto"/>
        <w:ind w:left="0" w:leftChars="0" w:hanging="709" w:firstLineChars="0"/>
        <w:textAlignment w:val="auto"/>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SPECT-CT/PET-CT/PET-MR报告工作站升级</w:t>
      </w:r>
      <w:r>
        <w:rPr>
          <w:rFonts w:hint="eastAsia" w:ascii="宋体" w:hAnsi="宋体" w:eastAsia="宋体" w:cs="宋体"/>
          <w:b/>
          <w:bCs/>
          <w:color w:val="auto"/>
          <w:sz w:val="24"/>
          <w:szCs w:val="24"/>
          <w:highlight w:val="none"/>
        </w:rPr>
        <w:t>​</w:t>
      </w:r>
    </w:p>
    <w:p w14:paraId="15D6B66E">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升级后提供全新的图像处理报告界面，支持全局自定义调整。可快速查看患者各个检查环节的时间节点，对患者整体检查流程进行实时质控。支持多种图像处理与定量分析工具，方便医生快速判读。</w:t>
      </w:r>
    </w:p>
    <w:p w14:paraId="30429E28">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pt-BR" w:eastAsia="zh-CN"/>
        </w:rPr>
      </w:pPr>
      <w:r>
        <w:rPr>
          <w:rFonts w:hint="eastAsia" w:ascii="宋体" w:hAnsi="宋体" w:eastAsia="宋体" w:cs="宋体"/>
          <w:color w:val="auto"/>
          <w:sz w:val="24"/>
          <w:szCs w:val="24"/>
          <w:highlight w:val="none"/>
          <w:lang w:val="en-US" w:eastAsia="zh-CN"/>
        </w:rPr>
        <w:t>支持图像重组</w:t>
      </w:r>
      <w:r>
        <w:rPr>
          <w:rFonts w:hint="eastAsia" w:ascii="宋体" w:hAnsi="宋体" w:eastAsia="宋体" w:cs="宋体"/>
          <w:color w:val="auto"/>
          <w:sz w:val="24"/>
          <w:szCs w:val="24"/>
          <w:highlight w:val="none"/>
          <w:lang w:val="pt-BR" w:eastAsia="zh-CN"/>
        </w:rPr>
        <w:t>：</w:t>
      </w:r>
      <w:r>
        <w:rPr>
          <w:rFonts w:hint="eastAsia" w:ascii="宋体" w:hAnsi="宋体" w:eastAsia="宋体" w:cs="宋体"/>
          <w:color w:val="auto"/>
          <w:sz w:val="24"/>
          <w:szCs w:val="24"/>
          <w:highlight w:val="none"/>
          <w:lang w:val="en-US" w:eastAsia="zh-CN"/>
        </w:rPr>
        <w:t>对SPECT-CT、</w:t>
      </w:r>
      <w:r>
        <w:rPr>
          <w:rFonts w:hint="eastAsia" w:ascii="宋体" w:hAnsi="宋体" w:eastAsia="宋体" w:cs="宋体"/>
          <w:color w:val="auto"/>
          <w:sz w:val="24"/>
          <w:szCs w:val="24"/>
          <w:highlight w:val="none"/>
          <w:lang w:val="pt-BR" w:eastAsia="zh-CN"/>
        </w:rPr>
        <w:t>PET-CT</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pt-BR" w:eastAsia="zh-CN"/>
        </w:rPr>
        <w:t>PET-MR</w:t>
      </w:r>
      <w:r>
        <w:rPr>
          <w:rFonts w:hint="eastAsia" w:ascii="宋体" w:hAnsi="宋体" w:eastAsia="宋体" w:cs="宋体"/>
          <w:color w:val="auto"/>
          <w:sz w:val="24"/>
          <w:szCs w:val="24"/>
          <w:highlight w:val="none"/>
          <w:lang w:val="en-US" w:eastAsia="zh-CN"/>
        </w:rPr>
        <w:t>及核磁图像进行重组显示</w:t>
      </w:r>
      <w:r>
        <w:rPr>
          <w:rFonts w:hint="eastAsia" w:ascii="宋体" w:hAnsi="宋体" w:eastAsia="宋体" w:cs="宋体"/>
          <w:color w:val="auto"/>
          <w:sz w:val="24"/>
          <w:szCs w:val="24"/>
          <w:highlight w:val="none"/>
          <w:lang w:val="pt-BR" w:eastAsia="zh-CN"/>
        </w:rPr>
        <w:t>，</w:t>
      </w:r>
      <w:r>
        <w:rPr>
          <w:rFonts w:hint="eastAsia" w:ascii="宋体" w:hAnsi="宋体" w:eastAsia="宋体" w:cs="宋体"/>
          <w:color w:val="auto"/>
          <w:sz w:val="24"/>
          <w:szCs w:val="24"/>
          <w:highlight w:val="none"/>
          <w:lang w:val="en-US" w:eastAsia="zh-CN"/>
        </w:rPr>
        <w:t>并对比显示</w:t>
      </w:r>
      <w:r>
        <w:rPr>
          <w:rFonts w:hint="eastAsia" w:ascii="宋体" w:hAnsi="宋体" w:eastAsia="宋体" w:cs="宋体"/>
          <w:color w:val="auto"/>
          <w:sz w:val="24"/>
          <w:szCs w:val="24"/>
          <w:highlight w:val="none"/>
          <w:lang w:val="pt-BR" w:eastAsia="zh-CN"/>
        </w:rPr>
        <w:t>PET</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pt-BR" w:eastAsia="zh-CN"/>
        </w:rPr>
        <w:t>CT</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pt-BR" w:eastAsia="zh-CN"/>
        </w:rPr>
        <w:t>MR</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pt-BR" w:eastAsia="zh-CN"/>
        </w:rPr>
        <w:t>FUSED</w:t>
      </w:r>
      <w:r>
        <w:rPr>
          <w:rFonts w:hint="eastAsia" w:ascii="宋体" w:hAnsi="宋体" w:eastAsia="宋体" w:cs="宋体"/>
          <w:color w:val="auto"/>
          <w:sz w:val="24"/>
          <w:szCs w:val="24"/>
          <w:highlight w:val="none"/>
          <w:lang w:val="en-US" w:eastAsia="zh-CN"/>
        </w:rPr>
        <w:t>图像的横切面、矢状面和冠状面。提供</w:t>
      </w:r>
      <w:r>
        <w:rPr>
          <w:rFonts w:hint="eastAsia" w:ascii="宋体" w:hAnsi="宋体" w:eastAsia="宋体" w:cs="宋体"/>
          <w:color w:val="auto"/>
          <w:sz w:val="24"/>
          <w:szCs w:val="24"/>
          <w:highlight w:val="none"/>
          <w:lang w:val="pt-BR" w:eastAsia="zh-CN"/>
        </w:rPr>
        <w:t>20</w:t>
      </w:r>
      <w:r>
        <w:rPr>
          <w:rFonts w:hint="eastAsia" w:ascii="宋体" w:hAnsi="宋体" w:eastAsia="宋体" w:cs="宋体"/>
          <w:color w:val="auto"/>
          <w:sz w:val="24"/>
          <w:szCs w:val="24"/>
          <w:highlight w:val="none"/>
          <w:lang w:val="en-US" w:eastAsia="zh-CN"/>
        </w:rPr>
        <w:t>多种影像显示模式</w:t>
      </w:r>
      <w:r>
        <w:rPr>
          <w:rFonts w:hint="eastAsia" w:ascii="宋体" w:hAnsi="宋体" w:eastAsia="宋体" w:cs="宋体"/>
          <w:color w:val="auto"/>
          <w:sz w:val="24"/>
          <w:szCs w:val="24"/>
          <w:highlight w:val="none"/>
          <w:lang w:val="pt-BR" w:eastAsia="zh-CN"/>
        </w:rPr>
        <w:t>（</w:t>
      </w:r>
      <w:r>
        <w:rPr>
          <w:rFonts w:hint="eastAsia" w:ascii="宋体" w:hAnsi="宋体" w:eastAsia="宋体" w:cs="宋体"/>
          <w:color w:val="auto"/>
          <w:sz w:val="24"/>
          <w:szCs w:val="24"/>
          <w:highlight w:val="none"/>
          <w:lang w:val="en-US" w:eastAsia="zh-CN"/>
        </w:rPr>
        <w:t>要求提供包含支持</w:t>
      </w:r>
      <w:r>
        <w:rPr>
          <w:rFonts w:hint="eastAsia" w:ascii="宋体" w:hAnsi="宋体" w:eastAsia="宋体" w:cs="宋体"/>
          <w:color w:val="auto"/>
          <w:sz w:val="24"/>
          <w:szCs w:val="24"/>
          <w:highlight w:val="none"/>
          <w:lang w:val="pt-BR" w:eastAsia="zh-CN"/>
        </w:rPr>
        <w:t>PET-MR</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pt-BR" w:eastAsia="zh-CN"/>
        </w:rPr>
        <w:t>PET-CT</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pt-BR" w:eastAsia="zh-CN"/>
        </w:rPr>
        <w:t>SPECT-CT</w:t>
      </w:r>
      <w:r>
        <w:rPr>
          <w:rFonts w:hint="eastAsia" w:ascii="宋体" w:hAnsi="宋体" w:eastAsia="宋体" w:cs="宋体"/>
          <w:color w:val="auto"/>
          <w:sz w:val="24"/>
          <w:szCs w:val="24"/>
          <w:highlight w:val="none"/>
          <w:lang w:val="en-US" w:eastAsia="zh-CN"/>
        </w:rPr>
        <w:t>同机图像融合重建的医疗器械注册证复印件证明</w:t>
      </w:r>
      <w:r>
        <w:rPr>
          <w:rFonts w:hint="eastAsia" w:ascii="宋体" w:hAnsi="宋体" w:eastAsia="宋体" w:cs="宋体"/>
          <w:color w:val="auto"/>
          <w:sz w:val="24"/>
          <w:szCs w:val="24"/>
          <w:highlight w:val="none"/>
          <w:lang w:val="pt-BR" w:eastAsia="zh-CN"/>
        </w:rPr>
        <w:t>）</w:t>
      </w:r>
    </w:p>
    <w:p w14:paraId="464A329C">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支持PET-MR多序列预览窗口，可快速将任一序列调入显示窗口，实现多序列MR图像的切换查看；</w:t>
      </w:r>
    </w:p>
    <w:p w14:paraId="75D607DF">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支持当前检查的多个MR序列图像并列显示，不同序列依据床位自动匹配；</w:t>
      </w:r>
    </w:p>
    <w:p w14:paraId="7F448F99">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支持图像的任意多角度重建，可通过旋转图像或旋转定位线的方式对PET CT图像进行斜面重组，医生可多角度多侧面观察病灶；</w:t>
      </w:r>
    </w:p>
    <w:p w14:paraId="50756FC3">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支持脑PET图像正位功能，对于经常发生的患者头部PET摆位不正的情况，支持软件中对脑PET进行重新位置校正，校正后的图像进行多平面重组，确保图像的准确与位置的适中；</w:t>
      </w:r>
    </w:p>
    <w:p w14:paraId="3C13DC1A">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支持患者信息保密功能：可隐藏患者姓名、性别、ID号、医院名等信息，方便学术交流，隐藏或保留哪些信息项可自定义；</w:t>
      </w:r>
    </w:p>
    <w:p w14:paraId="56FD0F6F">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支持图像回传：支持将本地的原始数据回传到PET或SPECT原机进行再次处理；</w:t>
      </w:r>
    </w:p>
    <w:p w14:paraId="21612121">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支持提供定量测量，测量结果包括SUVmean, SUVmax, SUVAVG，SULmean, SULmax, SULavg，TLG（病变部位总糖酵解量）值测量，MTV（病灶体积）值测量，SUV PEAK值测量；</w:t>
      </w:r>
    </w:p>
    <w:p w14:paraId="007593D4">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支持定量分值结构化存储，能够将病灶测量的定量分值进行结构化保存，并且可对病灶进行位置、类型、判别进行结构化保存；</w:t>
      </w:r>
    </w:p>
    <w:p w14:paraId="5468579E">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pt-BR" w:eastAsia="zh-CN"/>
        </w:rPr>
      </w:pPr>
      <w:r>
        <w:rPr>
          <w:rFonts w:hint="eastAsia" w:ascii="宋体" w:hAnsi="宋体" w:eastAsia="宋体" w:cs="宋体"/>
          <w:color w:val="auto"/>
          <w:sz w:val="24"/>
          <w:szCs w:val="24"/>
          <w:highlight w:val="none"/>
          <w:lang w:val="en-US" w:eastAsia="zh-CN"/>
        </w:rPr>
        <w:t>支持将外部MR图像、CT图像与本机PET-CT图像进行异机配准与融合；</w:t>
      </w:r>
    </w:p>
    <w:p w14:paraId="1755FA96">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pt-BR" w:eastAsia="zh-CN"/>
        </w:rPr>
      </w:pPr>
      <w:r>
        <w:rPr>
          <w:rFonts w:hint="eastAsia" w:ascii="宋体" w:hAnsi="宋体" w:eastAsia="宋体" w:cs="宋体"/>
          <w:color w:val="auto"/>
          <w:sz w:val="24"/>
          <w:szCs w:val="24"/>
          <w:highlight w:val="none"/>
          <w:lang w:val="pt-BR" w:eastAsia="zh-CN"/>
        </w:rPr>
        <w:t>实时检查时间轴显示，显示当前患者检查全流程的时间轴，包括申请时间、预约时间、登记时间、问诊时间、注射时间、开始检查时间、离开时间、报告时间、提交时间、初审时间、复审时间、审核时间、打印时间、发报告时间、危急值提交时间、危急值处理时间、查看危急值处理时间，上述时间节点支持自定义显示配置，为信息化评审和报告质控提供数据依据。</w:t>
      </w:r>
    </w:p>
    <w:p w14:paraId="5BFADF8B">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pt-BR" w:eastAsia="zh-CN"/>
        </w:rPr>
      </w:pPr>
      <w:r>
        <w:rPr>
          <w:rFonts w:hint="eastAsia" w:ascii="宋体" w:hAnsi="宋体" w:eastAsia="宋体" w:cs="宋体"/>
          <w:color w:val="auto"/>
          <w:sz w:val="24"/>
          <w:szCs w:val="24"/>
          <w:highlight w:val="none"/>
          <w:lang w:val="pt-BR" w:eastAsia="zh-CN"/>
        </w:rPr>
        <w:t>支持病历列表界面自定义布局设置，医生可根据自己的喜好将界面布局调整为“左右”、“上下”、“全屏”等模式，实现专属的诊断报告界面应用；</w:t>
      </w:r>
    </w:p>
    <w:p w14:paraId="0EC7E989">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pt-BR" w:eastAsia="zh-CN"/>
        </w:rPr>
      </w:pPr>
      <w:r>
        <w:rPr>
          <w:rFonts w:hint="eastAsia" w:ascii="宋体" w:hAnsi="宋体" w:eastAsia="宋体" w:cs="宋体"/>
          <w:color w:val="auto"/>
          <w:sz w:val="24"/>
          <w:szCs w:val="24"/>
          <w:highlight w:val="none"/>
          <w:lang w:val="pt-BR" w:eastAsia="zh-CN"/>
        </w:rPr>
        <w:t>支持显示患者在本院做的多次历史检查，查看患者历史检查的序列、病史、报告，可一键复制历史报告中的所见结论至当前报告当中；</w:t>
      </w:r>
    </w:p>
    <w:p w14:paraId="44CD5C96">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pt-BR" w:eastAsia="zh-CN"/>
        </w:rPr>
      </w:pPr>
      <w:r>
        <w:rPr>
          <w:rFonts w:hint="eastAsia" w:ascii="宋体" w:hAnsi="宋体" w:eastAsia="宋体" w:cs="宋体"/>
          <w:color w:val="auto"/>
          <w:sz w:val="24"/>
          <w:szCs w:val="24"/>
          <w:highlight w:val="none"/>
          <w:lang w:val="pt-BR" w:eastAsia="zh-CN"/>
        </w:rPr>
        <w:t>支持报告语音录入，录入后可回放；</w:t>
      </w:r>
    </w:p>
    <w:p w14:paraId="69511BFD">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pt-BR" w:eastAsia="zh-CN"/>
        </w:rPr>
      </w:pPr>
      <w:r>
        <w:rPr>
          <w:rFonts w:hint="eastAsia" w:ascii="宋体" w:hAnsi="宋体" w:eastAsia="宋体" w:cs="宋体"/>
          <w:color w:val="auto"/>
          <w:sz w:val="24"/>
          <w:szCs w:val="24"/>
          <w:highlight w:val="none"/>
          <w:lang w:val="pt-BR" w:eastAsia="zh-CN"/>
        </w:rPr>
        <w:t>患者报告修改痕迹追踪，患者报告不同时间、不同医生修改内容同屏对比，新增或删除的内容以不同颜色和横线、下划线的方式对比显示，强化报告内容质控；</w:t>
      </w:r>
    </w:p>
    <w:p w14:paraId="24EC630B">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pt-BR" w:eastAsia="zh-CN"/>
        </w:rPr>
      </w:pPr>
      <w:r>
        <w:rPr>
          <w:rFonts w:hint="eastAsia" w:ascii="宋体" w:hAnsi="宋体" w:eastAsia="宋体" w:cs="宋体"/>
          <w:color w:val="auto"/>
          <w:sz w:val="24"/>
          <w:szCs w:val="24"/>
          <w:highlight w:val="none"/>
          <w:lang w:val="en-US" w:eastAsia="zh-CN"/>
        </w:rPr>
        <w:t>支持</w:t>
      </w:r>
      <w:r>
        <w:rPr>
          <w:rFonts w:hint="eastAsia" w:ascii="宋体" w:hAnsi="宋体" w:eastAsia="宋体" w:cs="宋体"/>
          <w:color w:val="auto"/>
          <w:sz w:val="24"/>
          <w:szCs w:val="24"/>
          <w:highlight w:val="none"/>
          <w:lang w:val="pt-BR" w:eastAsia="zh-CN"/>
        </w:rPr>
        <w:t>医生编写报告过程中可调阅电子申请单查看医嘱与病史信息；</w:t>
      </w:r>
    </w:p>
    <w:p w14:paraId="0594A81A">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pt-BR" w:eastAsia="zh-CN"/>
        </w:rPr>
      </w:pPr>
      <w:r>
        <w:rPr>
          <w:rFonts w:hint="eastAsia" w:ascii="宋体" w:hAnsi="宋体" w:eastAsia="宋体" w:cs="宋体"/>
          <w:color w:val="auto"/>
          <w:sz w:val="24"/>
          <w:szCs w:val="24"/>
          <w:highlight w:val="none"/>
          <w:lang w:val="pt-BR" w:eastAsia="zh-CN"/>
        </w:rPr>
        <w:t>支持报告电子审核；上级医生可批准或驳回下级医生的初步诊断，并加注评语，最后由医生打印报告，留下历史修改记录与审核记录内容；</w:t>
      </w:r>
    </w:p>
    <w:p w14:paraId="2B8CE0AA">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pt-BR" w:eastAsia="zh-CN"/>
        </w:rPr>
      </w:pPr>
      <w:r>
        <w:rPr>
          <w:rFonts w:hint="eastAsia" w:ascii="宋体" w:hAnsi="宋体" w:eastAsia="宋体" w:cs="宋体"/>
          <w:color w:val="auto"/>
          <w:sz w:val="24"/>
          <w:szCs w:val="24"/>
          <w:highlight w:val="none"/>
          <w:lang w:val="pt-BR" w:eastAsia="zh-CN"/>
        </w:rPr>
        <w:t>支持报告自动校验功能，如：女性患者诊断出现前列腺字样，报告保存时系统自动弹框提示报警。</w:t>
      </w:r>
    </w:p>
    <w:p w14:paraId="502E3721">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pt-BR" w:eastAsia="zh-CN"/>
        </w:rPr>
      </w:pPr>
      <w:r>
        <w:rPr>
          <w:rFonts w:hint="eastAsia" w:ascii="宋体" w:hAnsi="宋体" w:eastAsia="宋体" w:cs="宋体"/>
          <w:color w:val="auto"/>
          <w:sz w:val="24"/>
          <w:szCs w:val="24"/>
          <w:highlight w:val="none"/>
          <w:lang w:val="pt-BR" w:eastAsia="zh-CN"/>
        </w:rPr>
        <w:t>支持摄片质量质控，可对摄片质量进行评分和原因描述，评分按等级分为甲、乙、丙不同等级；</w:t>
      </w:r>
    </w:p>
    <w:p w14:paraId="79D0E9B5">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pt-BR" w:eastAsia="zh-CN"/>
        </w:rPr>
      </w:pPr>
      <w:r>
        <w:rPr>
          <w:rFonts w:hint="eastAsia" w:ascii="宋体" w:hAnsi="宋体" w:eastAsia="宋体" w:cs="宋体"/>
          <w:color w:val="auto"/>
          <w:sz w:val="24"/>
          <w:szCs w:val="24"/>
          <w:highlight w:val="none"/>
          <w:lang w:val="pt-BR" w:eastAsia="zh-CN"/>
        </w:rPr>
        <w:t>支持报告质量质控，可对报告质量进行评分和原因描述，评分按等级分为优秀、良好、合格不同等级；</w:t>
      </w:r>
    </w:p>
    <w:p w14:paraId="2A77B3C8">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pt-BR" w:eastAsia="zh-CN"/>
        </w:rPr>
      </w:pPr>
      <w:r>
        <w:rPr>
          <w:rFonts w:hint="eastAsia" w:ascii="宋体" w:hAnsi="宋体" w:eastAsia="宋体" w:cs="宋体"/>
          <w:color w:val="auto"/>
          <w:sz w:val="24"/>
          <w:szCs w:val="24"/>
          <w:highlight w:val="none"/>
          <w:lang w:val="pt-BR" w:eastAsia="zh-CN"/>
        </w:rPr>
        <w:t>支持在报告审核时将疾病进行诊断归类，可将疾病按照初诊、分期、疗后评价、随诊等不同条目归类。</w:t>
      </w:r>
    </w:p>
    <w:p w14:paraId="47F759D9">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pt-BR" w:eastAsia="zh-CN"/>
        </w:rPr>
      </w:pPr>
      <w:r>
        <w:rPr>
          <w:rFonts w:hint="eastAsia" w:ascii="宋体" w:hAnsi="宋体" w:eastAsia="宋体" w:cs="宋体"/>
          <w:color w:val="auto"/>
          <w:sz w:val="24"/>
          <w:szCs w:val="24"/>
          <w:highlight w:val="none"/>
          <w:lang w:val="pt-BR" w:eastAsia="zh-CN"/>
        </w:rPr>
        <w:t>能够对报告的典型图像添加报告描述，并带入到报告当中；</w:t>
      </w:r>
    </w:p>
    <w:p w14:paraId="3DF7F899">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支持自定义结构化报告编辑，可对报告内容进行新增段、修改段、编辑结构段名、显示结构段前复选框、段对应查询标识等设置。</w:t>
      </w:r>
    </w:p>
    <w:p w14:paraId="46F7DB8C">
      <w:pPr>
        <w:keepNext w:val="0"/>
        <w:keepLines w:val="0"/>
        <w:pageBreakBefore w:val="0"/>
        <w:widowControl w:val="0"/>
        <w:numPr>
          <w:ilvl w:val="2"/>
          <w:numId w:val="2"/>
        </w:numPr>
        <w:shd w:val="clear" w:color="auto" w:fill="auto"/>
        <w:kinsoku/>
        <w:wordWrap/>
        <w:overflowPunct/>
        <w:topLinePunct w:val="0"/>
        <w:autoSpaceDE/>
        <w:autoSpaceDN/>
        <w:bidi w:val="0"/>
        <w:adjustRightInd/>
        <w:snapToGrid/>
        <w:spacing w:line="360" w:lineRule="auto"/>
        <w:ind w:left="0" w:leftChars="0" w:hanging="709" w:firstLineChars="0"/>
        <w:textAlignment w:val="auto"/>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临床浏览升级</w:t>
      </w:r>
      <w:r>
        <w:rPr>
          <w:rFonts w:hint="eastAsia" w:ascii="宋体" w:hAnsi="宋体" w:eastAsia="宋体" w:cs="宋体"/>
          <w:b/>
          <w:bCs/>
          <w:color w:val="auto"/>
          <w:sz w:val="24"/>
          <w:szCs w:val="24"/>
          <w:highlight w:val="none"/>
        </w:rPr>
        <w:t>​</w:t>
      </w:r>
    </w:p>
    <w:p w14:paraId="3D46302A">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临床科室实时查看患者图像；</w:t>
      </w:r>
    </w:p>
    <w:p w14:paraId="6C9D9090">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显示图像类型，图像数量、检查时间；</w:t>
      </w:r>
    </w:p>
    <w:p w14:paraId="03EDE184">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检查信息显示；</w:t>
      </w:r>
    </w:p>
    <w:p w14:paraId="749D6613">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B/S构架设计，临床任意一台电脑都可以通过网页访问浏览系统，无需安装任何插件。</w:t>
      </w:r>
    </w:p>
    <w:p w14:paraId="3B20C558">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0" w:leftChars="0"/>
        <w:textAlignment w:val="auto"/>
        <w:outlineLvl w:val="1"/>
        <w:rPr>
          <w:rFonts w:hint="eastAsia" w:ascii="宋体" w:hAnsi="宋体" w:eastAsia="宋体" w:cs="宋体"/>
          <w:color w:val="auto"/>
          <w:sz w:val="24"/>
          <w:szCs w:val="24"/>
          <w:highlight w:val="none"/>
          <w:lang w:val="en-US" w:eastAsia="zh-CN"/>
        </w:rPr>
      </w:pPr>
    </w:p>
    <w:p w14:paraId="5BB8B8B7">
      <w:pPr>
        <w:keepNext w:val="0"/>
        <w:keepLines w:val="0"/>
        <w:pageBreakBefore w:val="0"/>
        <w:widowControl w:val="0"/>
        <w:numPr>
          <w:ilvl w:val="1"/>
          <w:numId w:val="2"/>
        </w:numPr>
        <w:shd w:val="clear" w:color="auto" w:fill="auto"/>
        <w:kinsoku/>
        <w:wordWrap/>
        <w:overflowPunct/>
        <w:topLinePunct w:val="0"/>
        <w:autoSpaceDE/>
        <w:autoSpaceDN/>
        <w:bidi w:val="0"/>
        <w:adjustRightInd/>
        <w:snapToGrid/>
        <w:spacing w:line="360" w:lineRule="auto"/>
        <w:ind w:left="0" w:leftChars="0" w:hanging="567" w:firstLineChars="0"/>
        <w:textAlignment w:val="auto"/>
        <w:outlineLvl w:val="1"/>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功能拓展</w:t>
      </w:r>
    </w:p>
    <w:p w14:paraId="509B92C1">
      <w:pPr>
        <w:keepNext w:val="0"/>
        <w:keepLines w:val="0"/>
        <w:pageBreakBefore w:val="0"/>
        <w:widowControl w:val="0"/>
        <w:numPr>
          <w:ilvl w:val="2"/>
          <w:numId w:val="2"/>
        </w:numPr>
        <w:shd w:val="clear" w:color="auto" w:fill="auto"/>
        <w:kinsoku/>
        <w:wordWrap/>
        <w:overflowPunct/>
        <w:topLinePunct w:val="0"/>
        <w:autoSpaceDE/>
        <w:autoSpaceDN/>
        <w:bidi w:val="0"/>
        <w:adjustRightInd/>
        <w:snapToGrid/>
        <w:spacing w:line="360" w:lineRule="auto"/>
        <w:ind w:left="0" w:leftChars="0" w:hanging="709" w:firstLineChars="0"/>
        <w:textAlignment w:val="auto"/>
        <w:outlineLvl w:val="1"/>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t>可视化管理</w:t>
      </w:r>
    </w:p>
    <w:p w14:paraId="720374CF">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支持通过可视化管理实现通用业务、预约登记、接口、核医学业务等设置；</w:t>
      </w:r>
    </w:p>
    <w:p w14:paraId="7026F573">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通用业务设置支持对检查分类、检查项目、公共/个人模板、参数配置、打印模板配置、数据统计设置、危急值项目设置、临床浏览、敏感词字典、质量控制设置等常用功能的自定义配置；</w:t>
      </w:r>
    </w:p>
    <w:p w14:paraId="2B227048">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预约登记设置支持参数设置、检查号设置、检查房间设置、检查队列设置、房间队列设置、号源规则、号源设置、叫号屏设置、自定义呼叫内容等预约登记常用功能自定义配置；</w:t>
      </w:r>
    </w:p>
    <w:p w14:paraId="515CFE21">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核医学业务设置支持系统参数设置、报告制度管理、进度设置、发送影像设置、胶片打印、DICOM显示模式设置、问诊模板设置、检查页面设置、四角信息设置、注射设置等核医学常用业务功能自定义配置；</w:t>
      </w:r>
    </w:p>
    <w:p w14:paraId="51BFCAF2">
      <w:pPr>
        <w:keepNext w:val="0"/>
        <w:keepLines w:val="0"/>
        <w:pageBreakBefore w:val="0"/>
        <w:widowControl w:val="0"/>
        <w:numPr>
          <w:ilvl w:val="2"/>
          <w:numId w:val="2"/>
        </w:numPr>
        <w:shd w:val="clear" w:color="auto" w:fill="auto"/>
        <w:kinsoku/>
        <w:wordWrap/>
        <w:overflowPunct/>
        <w:topLinePunct w:val="0"/>
        <w:autoSpaceDE/>
        <w:autoSpaceDN/>
        <w:bidi w:val="0"/>
        <w:adjustRightInd/>
        <w:snapToGrid/>
        <w:spacing w:line="360" w:lineRule="auto"/>
        <w:ind w:left="0" w:leftChars="0" w:hanging="709" w:firstLineChars="0"/>
        <w:textAlignment w:val="auto"/>
        <w:outlineLvl w:val="1"/>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ECT原始图像处理</w:t>
      </w:r>
    </w:p>
    <w:p w14:paraId="5FE0F580">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全身骨显像分析处理</w:t>
      </w:r>
    </w:p>
    <w:p w14:paraId="2F1096EE">
      <w:pPr>
        <w:keepNext w:val="0"/>
        <w:keepLines w:val="0"/>
        <w:pageBreakBefore w:val="0"/>
        <w:widowControl w:val="0"/>
        <w:numPr>
          <w:ilvl w:val="4"/>
          <w:numId w:val="2"/>
        </w:numPr>
        <w:shd w:val="clear" w:color="auto" w:fill="auto"/>
        <w:kinsoku/>
        <w:wordWrap/>
        <w:overflowPunct/>
        <w:topLinePunct w:val="0"/>
        <w:autoSpaceDE/>
        <w:autoSpaceDN/>
        <w:bidi w:val="0"/>
        <w:adjustRightInd/>
        <w:snapToGrid/>
        <w:spacing w:line="360" w:lineRule="auto"/>
        <w:ind w:left="0" w:leftChars="0" w:hanging="991" w:firstLineChars="0"/>
        <w:textAlignment w:val="auto"/>
        <w:outlineLvl w:val="1"/>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支持全身骨显像的图像处理功能；支持全身热点活性比值测量，自动扣除膀胱，可提供工具擦除体表污染图像信息；</w:t>
      </w:r>
    </w:p>
    <w:p w14:paraId="4F0D094F">
      <w:pPr>
        <w:keepNext w:val="0"/>
        <w:keepLines w:val="0"/>
        <w:pageBreakBefore w:val="0"/>
        <w:widowControl w:val="0"/>
        <w:numPr>
          <w:ilvl w:val="4"/>
          <w:numId w:val="2"/>
        </w:numPr>
        <w:shd w:val="clear" w:color="auto" w:fill="auto"/>
        <w:kinsoku/>
        <w:wordWrap/>
        <w:overflowPunct/>
        <w:topLinePunct w:val="0"/>
        <w:autoSpaceDE/>
        <w:autoSpaceDN/>
        <w:bidi w:val="0"/>
        <w:adjustRightInd/>
        <w:snapToGrid/>
        <w:spacing w:line="360" w:lineRule="auto"/>
        <w:ind w:left="0" w:leftChars="0" w:hanging="991" w:firstLineChars="0"/>
        <w:textAlignment w:val="auto"/>
        <w:outlineLvl w:val="1"/>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支持骶髂比率分析。</w:t>
      </w:r>
    </w:p>
    <w:p w14:paraId="2B9ED6E8">
      <w:pPr>
        <w:keepNext w:val="0"/>
        <w:keepLines w:val="0"/>
        <w:pageBreakBefore w:val="0"/>
        <w:widowControl w:val="0"/>
        <w:numPr>
          <w:ilvl w:val="4"/>
          <w:numId w:val="2"/>
        </w:numPr>
        <w:shd w:val="clear" w:color="auto" w:fill="auto"/>
        <w:kinsoku/>
        <w:wordWrap/>
        <w:overflowPunct/>
        <w:topLinePunct w:val="0"/>
        <w:autoSpaceDE/>
        <w:autoSpaceDN/>
        <w:bidi w:val="0"/>
        <w:adjustRightInd/>
        <w:snapToGrid/>
        <w:spacing w:line="360" w:lineRule="auto"/>
        <w:ind w:left="0" w:leftChars="0" w:hanging="991" w:firstLineChars="0"/>
        <w:textAlignment w:val="auto"/>
        <w:outlineLvl w:val="1"/>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支持灰度</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伪彩色调整</w:t>
      </w:r>
    </w:p>
    <w:p w14:paraId="63ED366A">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甲状腺显像分析处理</w:t>
      </w:r>
    </w:p>
    <w:p w14:paraId="299FEBD8">
      <w:pPr>
        <w:keepNext w:val="0"/>
        <w:keepLines w:val="0"/>
        <w:pageBreakBefore w:val="0"/>
        <w:widowControl w:val="0"/>
        <w:numPr>
          <w:ilvl w:val="4"/>
          <w:numId w:val="2"/>
        </w:numPr>
        <w:shd w:val="clear" w:color="auto" w:fill="auto"/>
        <w:kinsoku/>
        <w:wordWrap/>
        <w:overflowPunct/>
        <w:topLinePunct w:val="0"/>
        <w:autoSpaceDE/>
        <w:autoSpaceDN/>
        <w:bidi w:val="0"/>
        <w:adjustRightInd/>
        <w:snapToGrid/>
        <w:spacing w:line="360" w:lineRule="auto"/>
        <w:ind w:left="0" w:leftChars="0" w:hanging="991" w:firstLineChars="0"/>
        <w:textAlignment w:val="auto"/>
        <w:outlineLvl w:val="1"/>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支持甲状腺显像的图像处理功能；支持注射计数计算； </w:t>
      </w:r>
    </w:p>
    <w:p w14:paraId="6C9CA37B">
      <w:pPr>
        <w:keepNext w:val="0"/>
        <w:keepLines w:val="0"/>
        <w:pageBreakBefore w:val="0"/>
        <w:widowControl w:val="0"/>
        <w:numPr>
          <w:ilvl w:val="4"/>
          <w:numId w:val="2"/>
        </w:numPr>
        <w:shd w:val="clear" w:color="auto" w:fill="auto"/>
        <w:kinsoku/>
        <w:wordWrap/>
        <w:overflowPunct/>
        <w:topLinePunct w:val="0"/>
        <w:autoSpaceDE/>
        <w:autoSpaceDN/>
        <w:bidi w:val="0"/>
        <w:adjustRightInd/>
        <w:snapToGrid/>
        <w:spacing w:line="360" w:lineRule="auto"/>
        <w:ind w:left="0" w:leftChars="0" w:hanging="991" w:firstLineChars="0"/>
        <w:textAlignment w:val="auto"/>
        <w:outlineLvl w:val="1"/>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支持甲状腺量化参数计算</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包括甲状腺的左右侧活度、相对活度、吸收、体积等。</w:t>
      </w:r>
    </w:p>
    <w:p w14:paraId="2CBE723B">
      <w:pPr>
        <w:keepNext w:val="0"/>
        <w:keepLines w:val="0"/>
        <w:pageBreakBefore w:val="0"/>
        <w:widowControl w:val="0"/>
        <w:numPr>
          <w:ilvl w:val="4"/>
          <w:numId w:val="2"/>
        </w:numPr>
        <w:shd w:val="clear" w:color="auto" w:fill="auto"/>
        <w:kinsoku/>
        <w:wordWrap/>
        <w:overflowPunct/>
        <w:topLinePunct w:val="0"/>
        <w:autoSpaceDE/>
        <w:autoSpaceDN/>
        <w:bidi w:val="0"/>
        <w:adjustRightInd/>
        <w:snapToGrid/>
        <w:spacing w:line="360" w:lineRule="auto"/>
        <w:ind w:left="0" w:leftChars="0" w:hanging="991" w:firstLineChars="0"/>
        <w:textAlignment w:val="auto"/>
        <w:outlineLvl w:val="1"/>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支持灰度</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伪彩色调整</w:t>
      </w:r>
    </w:p>
    <w:p w14:paraId="19B90E60">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肾动态显像分析处理</w:t>
      </w:r>
    </w:p>
    <w:p w14:paraId="0E7AF75E">
      <w:pPr>
        <w:keepNext w:val="0"/>
        <w:keepLines w:val="0"/>
        <w:pageBreakBefore w:val="0"/>
        <w:widowControl w:val="0"/>
        <w:numPr>
          <w:ilvl w:val="4"/>
          <w:numId w:val="2"/>
        </w:numPr>
        <w:shd w:val="clear" w:color="auto" w:fill="auto"/>
        <w:kinsoku/>
        <w:wordWrap/>
        <w:overflowPunct/>
        <w:topLinePunct w:val="0"/>
        <w:autoSpaceDE/>
        <w:autoSpaceDN/>
        <w:bidi w:val="0"/>
        <w:adjustRightInd/>
        <w:snapToGrid/>
        <w:spacing w:line="360" w:lineRule="auto"/>
        <w:ind w:left="0" w:leftChars="0" w:hanging="991" w:firstLineChars="0"/>
        <w:textAlignment w:val="auto"/>
        <w:outlineLvl w:val="1"/>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支持肾动态显像的图像处理功能；支持注射计数计算； </w:t>
      </w:r>
    </w:p>
    <w:p w14:paraId="009A322E">
      <w:pPr>
        <w:keepNext w:val="0"/>
        <w:keepLines w:val="0"/>
        <w:pageBreakBefore w:val="0"/>
        <w:widowControl w:val="0"/>
        <w:numPr>
          <w:ilvl w:val="4"/>
          <w:numId w:val="2"/>
        </w:numPr>
        <w:shd w:val="clear" w:color="auto" w:fill="auto"/>
        <w:kinsoku/>
        <w:wordWrap/>
        <w:overflowPunct/>
        <w:topLinePunct w:val="0"/>
        <w:autoSpaceDE/>
        <w:autoSpaceDN/>
        <w:bidi w:val="0"/>
        <w:adjustRightInd/>
        <w:snapToGrid/>
        <w:spacing w:line="360" w:lineRule="auto"/>
        <w:ind w:left="0" w:leftChars="0" w:hanging="991" w:firstLineChars="0"/>
        <w:textAlignment w:val="auto"/>
        <w:outlineLvl w:val="1"/>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支持肾动态量化参数计算</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包括左右肾的峰值吸收、Patlak斜率、输出效率；</w:t>
      </w:r>
    </w:p>
    <w:p w14:paraId="2AEA730C">
      <w:pPr>
        <w:keepNext w:val="0"/>
        <w:keepLines w:val="0"/>
        <w:pageBreakBefore w:val="0"/>
        <w:widowControl w:val="0"/>
        <w:numPr>
          <w:ilvl w:val="4"/>
          <w:numId w:val="2"/>
        </w:numPr>
        <w:shd w:val="clear" w:color="auto" w:fill="auto"/>
        <w:kinsoku/>
        <w:wordWrap/>
        <w:overflowPunct/>
        <w:topLinePunct w:val="0"/>
        <w:autoSpaceDE/>
        <w:autoSpaceDN/>
        <w:bidi w:val="0"/>
        <w:adjustRightInd/>
        <w:snapToGrid/>
        <w:spacing w:line="360" w:lineRule="auto"/>
        <w:ind w:left="0" w:leftChars="0" w:hanging="991" w:firstLineChars="0"/>
        <w:textAlignment w:val="auto"/>
        <w:outlineLvl w:val="1"/>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支持肾动态显像的左右肾的峰值到半峰值，最大流量&amp;斜率，体表面积。</w:t>
      </w:r>
    </w:p>
    <w:p w14:paraId="56FA09E1">
      <w:pPr>
        <w:keepNext w:val="0"/>
        <w:keepLines w:val="0"/>
        <w:pageBreakBefore w:val="0"/>
        <w:widowControl w:val="0"/>
        <w:numPr>
          <w:ilvl w:val="4"/>
          <w:numId w:val="2"/>
        </w:numPr>
        <w:shd w:val="clear" w:color="auto" w:fill="auto"/>
        <w:kinsoku/>
        <w:wordWrap/>
        <w:overflowPunct/>
        <w:topLinePunct w:val="0"/>
        <w:autoSpaceDE/>
        <w:autoSpaceDN/>
        <w:bidi w:val="0"/>
        <w:adjustRightInd/>
        <w:snapToGrid/>
        <w:spacing w:line="360" w:lineRule="auto"/>
        <w:ind w:left="0" w:leftChars="0" w:hanging="991" w:firstLineChars="0"/>
        <w:textAlignment w:val="auto"/>
        <w:outlineLvl w:val="1"/>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支持输出灌注曲线</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函数曲线</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输出效率曲线。</w:t>
      </w:r>
    </w:p>
    <w:p w14:paraId="367D2455">
      <w:pPr>
        <w:keepNext w:val="0"/>
        <w:keepLines w:val="0"/>
        <w:pageBreakBefore w:val="0"/>
        <w:widowControl w:val="0"/>
        <w:numPr>
          <w:ilvl w:val="4"/>
          <w:numId w:val="2"/>
        </w:numPr>
        <w:shd w:val="clear" w:color="auto" w:fill="auto"/>
        <w:kinsoku/>
        <w:wordWrap/>
        <w:overflowPunct/>
        <w:topLinePunct w:val="0"/>
        <w:autoSpaceDE/>
        <w:autoSpaceDN/>
        <w:bidi w:val="0"/>
        <w:adjustRightInd/>
        <w:snapToGrid/>
        <w:spacing w:line="360" w:lineRule="auto"/>
        <w:ind w:left="0" w:leftChars="0" w:hanging="991" w:firstLineChars="0"/>
        <w:textAlignment w:val="auto"/>
        <w:outlineLvl w:val="1"/>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支持肾小球滤过率计算。</w:t>
      </w:r>
    </w:p>
    <w:p w14:paraId="24C863E0">
      <w:pPr>
        <w:keepNext w:val="0"/>
        <w:keepLines w:val="0"/>
        <w:pageBreakBefore w:val="0"/>
        <w:widowControl w:val="0"/>
        <w:numPr>
          <w:ilvl w:val="4"/>
          <w:numId w:val="2"/>
        </w:numPr>
        <w:shd w:val="clear" w:color="auto" w:fill="auto"/>
        <w:kinsoku/>
        <w:wordWrap/>
        <w:overflowPunct/>
        <w:topLinePunct w:val="0"/>
        <w:autoSpaceDE/>
        <w:autoSpaceDN/>
        <w:bidi w:val="0"/>
        <w:adjustRightInd/>
        <w:snapToGrid/>
        <w:spacing w:line="360" w:lineRule="auto"/>
        <w:ind w:left="0" w:leftChars="0" w:hanging="991" w:firstLineChars="0"/>
        <w:textAlignment w:val="auto"/>
        <w:outlineLvl w:val="1"/>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支持多种深度计算公式选择，及自定义算法。</w:t>
      </w:r>
    </w:p>
    <w:p w14:paraId="2A6BCB62">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骨三时相显像分析处理</w:t>
      </w:r>
    </w:p>
    <w:p w14:paraId="666B73AD">
      <w:pPr>
        <w:keepNext w:val="0"/>
        <w:keepLines w:val="0"/>
        <w:pageBreakBefore w:val="0"/>
        <w:widowControl w:val="0"/>
        <w:numPr>
          <w:ilvl w:val="4"/>
          <w:numId w:val="2"/>
        </w:numPr>
        <w:shd w:val="clear" w:color="auto" w:fill="auto"/>
        <w:kinsoku/>
        <w:wordWrap/>
        <w:overflowPunct/>
        <w:topLinePunct w:val="0"/>
        <w:autoSpaceDE/>
        <w:autoSpaceDN/>
        <w:bidi w:val="0"/>
        <w:adjustRightInd/>
        <w:snapToGrid/>
        <w:spacing w:line="360" w:lineRule="auto"/>
        <w:ind w:left="0" w:leftChars="0" w:hanging="991" w:firstLineChars="0"/>
        <w:textAlignment w:val="auto"/>
        <w:outlineLvl w:val="1"/>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支持骨三</w:t>
      </w:r>
      <w:r>
        <w:rPr>
          <w:rFonts w:hint="eastAsia" w:ascii="宋体" w:hAnsi="宋体" w:eastAsia="宋体" w:cs="宋体"/>
          <w:color w:val="000000"/>
          <w:sz w:val="24"/>
          <w:szCs w:val="24"/>
          <w:highlight w:val="none"/>
          <w:lang w:val="en-US" w:eastAsia="zh-CN"/>
        </w:rPr>
        <w:t>时</w:t>
      </w:r>
      <w:r>
        <w:rPr>
          <w:rFonts w:hint="eastAsia" w:ascii="宋体" w:hAnsi="宋体" w:eastAsia="宋体" w:cs="宋体"/>
          <w:color w:val="000000"/>
          <w:sz w:val="24"/>
          <w:szCs w:val="24"/>
          <w:highlight w:val="none"/>
        </w:rPr>
        <w:t xml:space="preserve">相显像的图像处理功能；支持参考活性比计算； </w:t>
      </w:r>
    </w:p>
    <w:p w14:paraId="4889428B">
      <w:pPr>
        <w:keepNext w:val="0"/>
        <w:keepLines w:val="0"/>
        <w:pageBreakBefore w:val="0"/>
        <w:widowControl w:val="0"/>
        <w:numPr>
          <w:ilvl w:val="4"/>
          <w:numId w:val="2"/>
        </w:numPr>
        <w:shd w:val="clear" w:color="auto" w:fill="auto"/>
        <w:kinsoku/>
        <w:wordWrap/>
        <w:overflowPunct/>
        <w:topLinePunct w:val="0"/>
        <w:autoSpaceDE/>
        <w:autoSpaceDN/>
        <w:bidi w:val="0"/>
        <w:adjustRightInd/>
        <w:snapToGrid/>
        <w:spacing w:line="360" w:lineRule="auto"/>
        <w:ind w:left="0" w:leftChars="0" w:hanging="991" w:firstLineChars="0"/>
        <w:textAlignment w:val="auto"/>
        <w:outlineLvl w:val="1"/>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支持活性计数时间变化曲线输出。</w:t>
      </w:r>
    </w:p>
    <w:p w14:paraId="599D9768">
      <w:pPr>
        <w:keepNext w:val="0"/>
        <w:keepLines w:val="0"/>
        <w:pageBreakBefore w:val="0"/>
        <w:widowControl w:val="0"/>
        <w:numPr>
          <w:ilvl w:val="4"/>
          <w:numId w:val="2"/>
        </w:numPr>
        <w:shd w:val="clear" w:color="auto" w:fill="auto"/>
        <w:kinsoku/>
        <w:wordWrap/>
        <w:overflowPunct/>
        <w:topLinePunct w:val="0"/>
        <w:autoSpaceDE/>
        <w:autoSpaceDN/>
        <w:bidi w:val="0"/>
        <w:adjustRightInd/>
        <w:snapToGrid/>
        <w:spacing w:line="360" w:lineRule="auto"/>
        <w:ind w:left="0" w:leftChars="0" w:hanging="991" w:firstLineChars="0"/>
        <w:textAlignment w:val="auto"/>
        <w:outlineLvl w:val="1"/>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门控心血池显像分析处理</w:t>
      </w:r>
    </w:p>
    <w:p w14:paraId="5FDAE5D0">
      <w:pPr>
        <w:keepNext w:val="0"/>
        <w:keepLines w:val="0"/>
        <w:pageBreakBefore w:val="0"/>
        <w:widowControl w:val="0"/>
        <w:numPr>
          <w:ilvl w:val="4"/>
          <w:numId w:val="2"/>
        </w:numPr>
        <w:shd w:val="clear" w:color="auto" w:fill="auto"/>
        <w:kinsoku/>
        <w:wordWrap/>
        <w:overflowPunct/>
        <w:topLinePunct w:val="0"/>
        <w:autoSpaceDE/>
        <w:autoSpaceDN/>
        <w:bidi w:val="0"/>
        <w:adjustRightInd/>
        <w:snapToGrid/>
        <w:spacing w:line="360" w:lineRule="auto"/>
        <w:ind w:left="0" w:leftChars="0" w:hanging="991" w:firstLineChars="0"/>
        <w:textAlignment w:val="auto"/>
        <w:outlineLvl w:val="1"/>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支持门控心血池显像的图像处理功能；支持左心室时相直方图； </w:t>
      </w:r>
    </w:p>
    <w:p w14:paraId="5D18ACB2">
      <w:pPr>
        <w:keepNext w:val="0"/>
        <w:keepLines w:val="0"/>
        <w:pageBreakBefore w:val="0"/>
        <w:widowControl w:val="0"/>
        <w:numPr>
          <w:ilvl w:val="4"/>
          <w:numId w:val="2"/>
        </w:numPr>
        <w:shd w:val="clear" w:color="auto" w:fill="auto"/>
        <w:kinsoku/>
        <w:wordWrap/>
        <w:overflowPunct/>
        <w:topLinePunct w:val="0"/>
        <w:autoSpaceDE/>
        <w:autoSpaceDN/>
        <w:bidi w:val="0"/>
        <w:adjustRightInd/>
        <w:snapToGrid/>
        <w:spacing w:line="360" w:lineRule="auto"/>
        <w:ind w:left="0" w:leftChars="0" w:hanging="991" w:firstLineChars="0"/>
        <w:textAlignment w:val="auto"/>
        <w:outlineLvl w:val="1"/>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支持容积曲线输出。</w:t>
      </w:r>
    </w:p>
    <w:p w14:paraId="1D81DC53">
      <w:pPr>
        <w:keepNext w:val="0"/>
        <w:keepLines w:val="0"/>
        <w:pageBreakBefore w:val="0"/>
        <w:widowControl w:val="0"/>
        <w:numPr>
          <w:ilvl w:val="3"/>
          <w:numId w:val="2"/>
        </w:numPr>
        <w:shd w:val="clear" w:color="auto" w:fill="auto"/>
        <w:kinsoku/>
        <w:wordWrap/>
        <w:overflowPunct/>
        <w:topLinePunct w:val="0"/>
        <w:autoSpaceDE/>
        <w:autoSpaceDN/>
        <w:bidi w:val="0"/>
        <w:adjustRightInd/>
        <w:snapToGrid/>
        <w:spacing w:line="360" w:lineRule="auto"/>
        <w:ind w:left="0" w:leftChars="0" w:hanging="850" w:firstLineChars="0"/>
        <w:textAlignment w:val="auto"/>
        <w:outlineLvl w:val="1"/>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支持报告模板结构化编辑。</w:t>
      </w:r>
    </w:p>
    <w:p w14:paraId="60831756">
      <w:pPr>
        <w:keepNext w:val="0"/>
        <w:keepLines w:val="0"/>
        <w:pageBreakBefore w:val="0"/>
        <w:widowControl w:val="0"/>
        <w:numPr>
          <w:ilvl w:val="0"/>
          <w:numId w:val="2"/>
        </w:numPr>
        <w:shd w:val="clear" w:color="auto" w:fill="auto"/>
        <w:kinsoku/>
        <w:wordWrap/>
        <w:overflowPunct/>
        <w:topLinePunct w:val="0"/>
        <w:autoSpaceDE/>
        <w:autoSpaceDN/>
        <w:bidi w:val="0"/>
        <w:adjustRightInd/>
        <w:snapToGrid/>
        <w:spacing w:line="360" w:lineRule="auto"/>
        <w:ind w:left="0" w:leftChars="0" w:hanging="425" w:firstLineChars="0"/>
        <w:textAlignment w:val="auto"/>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核医学</w:t>
      </w:r>
      <w:r>
        <w:rPr>
          <w:rFonts w:hint="eastAsia" w:ascii="宋体" w:hAnsi="宋体" w:eastAsia="宋体" w:cs="宋体"/>
          <w:b/>
          <w:bCs/>
          <w:color w:val="auto"/>
          <w:sz w:val="24"/>
          <w:szCs w:val="24"/>
          <w:highlight w:val="none"/>
        </w:rPr>
        <w:t>系统接口改造重建​</w:t>
      </w:r>
    </w:p>
    <w:p w14:paraId="41DE54B9">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需对</w:t>
      </w:r>
      <w:r>
        <w:rPr>
          <w:rFonts w:hint="eastAsia" w:ascii="宋体" w:hAnsi="宋体" w:eastAsia="宋体" w:cs="宋体"/>
          <w:color w:val="auto"/>
          <w:sz w:val="24"/>
          <w:szCs w:val="24"/>
          <w:highlight w:val="none"/>
          <w:lang w:val="en-US" w:eastAsia="zh-CN"/>
        </w:rPr>
        <w:t>核医学系统</w:t>
      </w:r>
      <w:r>
        <w:rPr>
          <w:rFonts w:hint="eastAsia" w:ascii="宋体" w:hAnsi="宋体" w:eastAsia="宋体" w:cs="宋体"/>
          <w:color w:val="auto"/>
          <w:sz w:val="24"/>
          <w:szCs w:val="24"/>
          <w:highlight w:val="none"/>
        </w:rPr>
        <w:t>已有的所有接口（如与</w:t>
      </w:r>
      <w:r>
        <w:rPr>
          <w:rFonts w:hint="eastAsia" w:ascii="宋体" w:hAnsi="宋体" w:eastAsia="宋体" w:cs="宋体"/>
          <w:color w:val="auto"/>
          <w:sz w:val="24"/>
          <w:szCs w:val="24"/>
          <w:highlight w:val="none"/>
          <w:lang w:val="en-US" w:eastAsia="zh-CN"/>
        </w:rPr>
        <w:t>HIS系统、PACS系统、EMR系统、</w:t>
      </w:r>
      <w:r>
        <w:rPr>
          <w:rFonts w:hint="eastAsia" w:ascii="宋体" w:hAnsi="宋体" w:eastAsia="宋体" w:cs="宋体"/>
          <w:color w:val="auto"/>
          <w:sz w:val="24"/>
          <w:szCs w:val="24"/>
          <w:highlight w:val="none"/>
        </w:rPr>
        <w:t xml:space="preserve">CA </w:t>
      </w:r>
      <w:r>
        <w:rPr>
          <w:rFonts w:hint="eastAsia" w:ascii="宋体" w:hAnsi="宋体" w:eastAsia="宋体" w:cs="宋体"/>
          <w:color w:val="auto"/>
          <w:sz w:val="24"/>
          <w:szCs w:val="24"/>
          <w:highlight w:val="none"/>
          <w:lang w:val="en-US" w:eastAsia="zh-CN"/>
        </w:rPr>
        <w:t>系统等）进行升级适配，优化接口数据传输协议与逻辑，提升数据交互稳定性。接口费用包含在项目总费用内。</w:t>
      </w:r>
      <w:r>
        <w:rPr>
          <w:rFonts w:hint="eastAsia" w:ascii="宋体" w:hAnsi="宋体" w:eastAsia="宋体" w:cs="宋体"/>
          <w:color w:val="auto"/>
          <w:sz w:val="24"/>
          <w:szCs w:val="24"/>
          <w:highlight w:val="none"/>
          <w:lang w:val="en-US" w:eastAsia="zh-CN"/>
        </w:rPr>
        <w:br w:type="textWrapping"/>
      </w:r>
    </w:p>
    <w:p w14:paraId="00ABDC68">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0" w:leftChars="0" w:firstLine="0" w:firstLineChars="0"/>
        <w:jc w:val="left"/>
        <w:textAlignment w:val="auto"/>
        <w:outlineLvl w:val="0"/>
        <w:rPr>
          <w:rFonts w:hint="eastAsia" w:ascii="宋体" w:hAnsi="宋体" w:eastAsia="宋体" w:cs="宋体"/>
          <w:b/>
          <w:color w:val="auto"/>
          <w:kern w:val="2"/>
          <w:sz w:val="24"/>
          <w:szCs w:val="24"/>
          <w:highlight w:val="none"/>
          <w:lang w:val="en-US" w:eastAsia="zh-CN"/>
        </w:rPr>
      </w:pPr>
      <w:r>
        <w:rPr>
          <w:rFonts w:hint="eastAsia" w:ascii="宋体" w:hAnsi="宋体" w:eastAsia="宋体" w:cs="宋体"/>
          <w:b/>
          <w:color w:val="auto"/>
          <w:kern w:val="2"/>
          <w:sz w:val="24"/>
          <w:szCs w:val="24"/>
          <w:lang w:val="en-US" w:eastAsia="zh-CN" w:bidi="ar-SA"/>
        </w:rPr>
        <w:t>三、</w:t>
      </w:r>
      <w:r>
        <w:rPr>
          <w:rFonts w:hint="eastAsia" w:ascii="宋体" w:hAnsi="宋体" w:eastAsia="宋体" w:cs="宋体"/>
          <w:b/>
          <w:color w:val="auto"/>
          <w:kern w:val="2"/>
          <w:sz w:val="24"/>
          <w:szCs w:val="24"/>
          <w:highlight w:val="none"/>
          <w:lang w:val="en-US" w:eastAsia="zh-CN"/>
        </w:rPr>
        <w:t>部署环境及安全要求</w:t>
      </w:r>
    </w:p>
    <w:p w14:paraId="320213AD">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hanging="425"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项目本地化部署，服务器由采购人提供，参选人随参选文件提供本项目所需服务器的最低配置参数文档。项目中涉及的所有功能可在本地虚拟服务器运行。</w:t>
      </w:r>
    </w:p>
    <w:p w14:paraId="55EBF401">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hanging="425"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适配国产化部署环境（如操作系统、数据库等）。</w:t>
      </w:r>
    </w:p>
    <w:p w14:paraId="10816EBB">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hanging="425"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参选人应确保操作系统、数据库安全补丁升级后系统正常运行的要求。</w:t>
      </w:r>
    </w:p>
    <w:p w14:paraId="3BF6DFE2">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hanging="425"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参选人应做好相关设置、安全补丁安装，按采购人需求，配合采购人安全等级保护检测信息安全问题改造。</w:t>
      </w:r>
    </w:p>
    <w:p w14:paraId="17658C18">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4"/>
          <w:szCs w:val="24"/>
          <w:highlight w:val="none"/>
          <w:lang w:val="en-US" w:eastAsia="zh-CN"/>
        </w:rPr>
      </w:pPr>
    </w:p>
    <w:p w14:paraId="3E9A27D8">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0" w:leftChars="0" w:firstLine="0" w:firstLineChars="0"/>
        <w:jc w:val="left"/>
        <w:textAlignment w:val="auto"/>
        <w:outlineLvl w:val="0"/>
        <w:rPr>
          <w:rFonts w:hint="eastAsia" w:ascii="宋体" w:hAnsi="宋体" w:eastAsia="宋体" w:cs="宋体"/>
          <w:b/>
          <w:color w:val="auto"/>
          <w:kern w:val="2"/>
          <w:sz w:val="24"/>
          <w:szCs w:val="24"/>
          <w:highlight w:val="none"/>
          <w:lang w:val="en-US" w:eastAsia="zh-CN"/>
        </w:rPr>
      </w:pPr>
      <w:r>
        <w:rPr>
          <w:rFonts w:hint="eastAsia" w:ascii="宋体" w:hAnsi="宋体" w:eastAsia="宋体" w:cs="宋体"/>
          <w:b/>
          <w:color w:val="auto"/>
          <w:kern w:val="2"/>
          <w:sz w:val="24"/>
          <w:szCs w:val="24"/>
          <w:lang w:val="en-US" w:eastAsia="zh-CN" w:bidi="ar-SA"/>
        </w:rPr>
        <w:t>四、</w:t>
      </w:r>
      <w:r>
        <w:rPr>
          <w:rFonts w:hint="eastAsia" w:ascii="宋体" w:hAnsi="宋体" w:eastAsia="宋体" w:cs="宋体"/>
          <w:b/>
          <w:color w:val="auto"/>
          <w:kern w:val="2"/>
          <w:sz w:val="24"/>
          <w:szCs w:val="24"/>
          <w:highlight w:val="none"/>
          <w:lang w:val="en-US" w:eastAsia="zh-CN"/>
        </w:rPr>
        <w:t>实施要求</w:t>
      </w:r>
    </w:p>
    <w:p w14:paraId="7366A085">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hanging="425"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成交人收到成交通知书接采购人通知后即进场调研，合同签订后接采购人通知起10日内进场实施，6个月内完成本地化部署及试运行。如因成交人原因造成无法按照合同约定工期完成实施，则采购人将按照合同约定条款对成交人进行处罚</w:t>
      </w:r>
      <w:r>
        <w:rPr>
          <w:rFonts w:hint="eastAsia" w:ascii="宋体" w:hAnsi="宋体" w:eastAsia="宋体" w:cs="宋体"/>
          <w:b/>
          <w:bCs/>
          <w:sz w:val="24"/>
          <w:szCs w:val="24"/>
          <w:highlight w:val="none"/>
          <w:lang w:val="en-US" w:eastAsia="zh-CN"/>
        </w:rPr>
        <w:t>（提供承诺）</w:t>
      </w:r>
      <w:r>
        <w:rPr>
          <w:rFonts w:hint="eastAsia" w:ascii="宋体" w:hAnsi="宋体" w:eastAsia="宋体" w:cs="宋体"/>
          <w:sz w:val="24"/>
          <w:szCs w:val="24"/>
          <w:highlight w:val="none"/>
          <w:lang w:val="en-US" w:eastAsia="zh-CN"/>
        </w:rPr>
        <w:t>。</w:t>
      </w:r>
    </w:p>
    <w:p w14:paraId="02F1F417">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hanging="425"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试运行期间，须保证无重大差错发生。试运行通过后经过1个月正常平稳运行后，可进行评估与验收。</w:t>
      </w:r>
    </w:p>
    <w:p w14:paraId="52C1F96E">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hanging="425"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调研期间，成交人应根据采购人的需求，制定整体上线实施方案，提供详细实施方案与进度计划。</w:t>
      </w:r>
    </w:p>
    <w:p w14:paraId="12E40410">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hanging="425"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实施过程应尽量减少对大屏正常使用的影响，必要时应安排在非工作时间进行。</w:t>
      </w:r>
    </w:p>
    <w:p w14:paraId="51305FA4">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hanging="425"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成交人需提供拥有丰富经验的实施团队完成本次项目实施，针对本项目成立项目小组，在响应文件中提供书面名单，人员一旦得到采购人确认，无特殊理由不得变动，且项目经理在未得到医院同意的情况下不得更换。</w:t>
      </w:r>
    </w:p>
    <w:p w14:paraId="2E8D80EA">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hanging="425"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采购人有权根据实施情况要求更换项目经理和实施人员。</w:t>
      </w:r>
    </w:p>
    <w:p w14:paraId="6CFBE9C3">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hanging="425"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成交人需按照采购人的项目管理流程进行实施，验收前成交人需提供项目过程中所需审计材料并装订成册。</w:t>
      </w:r>
    </w:p>
    <w:p w14:paraId="42CB84CA">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hanging="425"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如遇突发紧急事件，成交人应无条件配合加班。</w:t>
      </w:r>
    </w:p>
    <w:p w14:paraId="157D2BA0">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hanging="425"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所有设备免费安装。</w:t>
      </w:r>
    </w:p>
    <w:p w14:paraId="1BA09CC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textAlignment w:val="auto"/>
        <w:rPr>
          <w:rFonts w:hint="eastAsia" w:ascii="宋体" w:hAnsi="宋体" w:eastAsia="宋体" w:cs="宋体"/>
          <w:sz w:val="24"/>
          <w:szCs w:val="24"/>
          <w:highlight w:val="none"/>
          <w:lang w:val="en-US" w:eastAsia="zh-CN"/>
        </w:rPr>
      </w:pPr>
    </w:p>
    <w:p w14:paraId="7CBECCF8">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0" w:leftChars="0" w:firstLine="0" w:firstLineChars="0"/>
        <w:jc w:val="left"/>
        <w:textAlignment w:val="auto"/>
        <w:outlineLvl w:val="0"/>
        <w:rPr>
          <w:rFonts w:hint="eastAsia" w:ascii="宋体" w:hAnsi="宋体" w:eastAsia="宋体" w:cs="宋体"/>
          <w:b/>
          <w:color w:val="auto"/>
          <w:kern w:val="2"/>
          <w:sz w:val="24"/>
          <w:szCs w:val="24"/>
          <w:highlight w:val="none"/>
          <w:lang w:val="en-US" w:eastAsia="zh-CN"/>
        </w:rPr>
      </w:pPr>
      <w:r>
        <w:rPr>
          <w:rFonts w:hint="eastAsia" w:ascii="宋体" w:hAnsi="宋体" w:eastAsia="宋体" w:cs="宋体"/>
          <w:b/>
          <w:color w:val="auto"/>
          <w:kern w:val="2"/>
          <w:sz w:val="24"/>
          <w:szCs w:val="24"/>
          <w:lang w:val="en-US" w:eastAsia="zh-CN" w:bidi="ar-SA"/>
        </w:rPr>
        <w:t>五、</w:t>
      </w:r>
      <w:r>
        <w:rPr>
          <w:rFonts w:hint="eastAsia" w:ascii="宋体" w:hAnsi="宋体" w:eastAsia="宋体" w:cs="宋体"/>
          <w:b/>
          <w:color w:val="auto"/>
          <w:kern w:val="2"/>
          <w:sz w:val="24"/>
          <w:szCs w:val="24"/>
          <w:highlight w:val="none"/>
          <w:lang w:val="en-US" w:eastAsia="zh-CN"/>
        </w:rPr>
        <w:t>培训要求</w:t>
      </w:r>
    </w:p>
    <w:p w14:paraId="32A310B2">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hanging="425"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提供项目培训计划，成交人须为本项目中涉及的各个部门的管理员及使用人员组织详尽的培训，确保相关人员可以熟练正确地使用系统。</w:t>
      </w:r>
    </w:p>
    <w:p w14:paraId="1425F322">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hanging="425"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必须为所有被培训人员提供培训用文字资料和讲义等相关用品。</w:t>
      </w:r>
    </w:p>
    <w:p w14:paraId="264784C8">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hanging="425"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根据用户需要，提供后续培训任务。</w:t>
      </w:r>
    </w:p>
    <w:p w14:paraId="4BB61CD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textAlignment w:val="auto"/>
        <w:rPr>
          <w:rFonts w:hint="eastAsia" w:ascii="宋体" w:hAnsi="宋体" w:eastAsia="宋体" w:cs="宋体"/>
          <w:sz w:val="24"/>
          <w:szCs w:val="24"/>
          <w:highlight w:val="none"/>
          <w:lang w:val="en-US" w:eastAsia="zh-CN"/>
        </w:rPr>
      </w:pPr>
    </w:p>
    <w:p w14:paraId="17924A5E">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0" w:leftChars="0" w:firstLine="0" w:firstLineChars="0"/>
        <w:jc w:val="left"/>
        <w:textAlignment w:val="auto"/>
        <w:outlineLvl w:val="0"/>
        <w:rPr>
          <w:rFonts w:hint="eastAsia" w:ascii="宋体" w:hAnsi="宋体" w:eastAsia="宋体" w:cs="宋体"/>
          <w:b/>
          <w:color w:val="auto"/>
          <w:kern w:val="2"/>
          <w:sz w:val="24"/>
          <w:szCs w:val="24"/>
          <w:highlight w:val="none"/>
          <w:lang w:val="en-US" w:eastAsia="zh-CN"/>
        </w:rPr>
      </w:pPr>
      <w:r>
        <w:rPr>
          <w:rFonts w:hint="eastAsia" w:ascii="宋体" w:hAnsi="宋体" w:eastAsia="宋体" w:cs="宋体"/>
          <w:b/>
          <w:color w:val="auto"/>
          <w:kern w:val="2"/>
          <w:sz w:val="24"/>
          <w:szCs w:val="24"/>
          <w:lang w:val="en-US" w:eastAsia="zh-CN" w:bidi="ar-SA"/>
        </w:rPr>
        <w:t>六、</w:t>
      </w:r>
      <w:r>
        <w:rPr>
          <w:rFonts w:hint="eastAsia" w:ascii="宋体" w:hAnsi="宋体" w:eastAsia="宋体" w:cs="宋体"/>
          <w:b/>
          <w:color w:val="auto"/>
          <w:kern w:val="2"/>
          <w:sz w:val="24"/>
          <w:szCs w:val="24"/>
          <w:highlight w:val="none"/>
          <w:lang w:val="en-US" w:eastAsia="zh-CN"/>
        </w:rPr>
        <w:t>售后服务要求</w:t>
      </w:r>
    </w:p>
    <w:p w14:paraId="73C40694">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hanging="425"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承诺提供7*24小时技术支持，包括各种软硬件故障及对各种突发事件采取应急措施等。</w:t>
      </w:r>
    </w:p>
    <w:p w14:paraId="27262CBB">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hanging="425"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提供运维对接1人，负责处理使用过程中的各项需求及问题。</w:t>
      </w:r>
    </w:p>
    <w:p w14:paraId="4104156C">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hanging="425"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现场服务：根据要求到达现场提供问题解决和支持服务。服务完成后，双方签署现场服务记录。</w:t>
      </w:r>
    </w:p>
    <w:p w14:paraId="092E74AD">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hanging="425"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如遇突发紧急事件，成交人应无条件配合加班。</w:t>
      </w:r>
    </w:p>
    <w:p w14:paraId="6C6791F3">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hanging="425"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办公时间内的免费热线支持与E-mail支持。</w:t>
      </w:r>
    </w:p>
    <w:p w14:paraId="7BA4F39C">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hanging="425"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远程技术支持：通过网络远程通讯和远程控制的技术手段进行远程现场服务。</w:t>
      </w:r>
    </w:p>
    <w:p w14:paraId="1F7F9071">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hanging="425"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维保期内提供免费的系统升级、软件功能修改、与第三方软件接口（提供接口源代码），以及其他的支持服务；服务年度内成交人至少应对系统每季度进行一次整体检修，多方位排查系统可能存在的潜在故障，以确保系统正常运行。</w:t>
      </w:r>
    </w:p>
    <w:p w14:paraId="79F87B43">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hanging="425"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服务响应时间：承诺系统运行出现故障时，迅速提供技术服务，对于各类故障在1小时内做出明确响应和安排，若远程不能解决问题，在7小时内赶到现场。对涉及系统代码、数据库修改等系统实质性内容的修改，在24小时内派人到现场上门服务，排除故障，并分析故障原因，提出书面故障分析报告及防范措施。</w:t>
      </w:r>
    </w:p>
    <w:p w14:paraId="4E69E5B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val="en-US" w:eastAsia="zh-CN"/>
        </w:rPr>
        <w:t>注：自系统验收之日起3年内，免费提供以上条款中系统维护的服务。</w:t>
      </w:r>
    </w:p>
    <w:p w14:paraId="234B2157">
      <w:pPr>
        <w:jc w:val="both"/>
        <w:rPr>
          <w:rFonts w:hint="eastAsia" w:ascii="宋体" w:hAnsi="宋体" w:eastAsia="宋体" w:cs="宋体"/>
          <w:sz w:val="21"/>
          <w:szCs w:val="21"/>
          <w:highlight w:val="none"/>
          <w:lang w:val="en-US" w:eastAsia="zh-CN"/>
        </w:rPr>
      </w:pPr>
    </w:p>
    <w:p w14:paraId="3BC2E103">
      <w:pPr>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sz w:val="24"/>
          <w:szCs w:val="24"/>
          <w:highlight w:val="none"/>
        </w:rPr>
      </w:pPr>
    </w:p>
    <w:p w14:paraId="431265FC">
      <w:pPr>
        <w:pStyle w:val="8"/>
        <w:ind w:firstLine="0" w:firstLineChars="0"/>
        <w:jc w:val="left"/>
        <w:rPr>
          <w:rFonts w:hint="default" w:ascii="Calibri" w:hAnsi="Calibri" w:eastAsia="宋体" w:cs="Calibri"/>
          <w:b/>
          <w:bCs/>
          <w:color w:val="auto"/>
          <w:spacing w:val="1"/>
          <w:highlight w:val="none"/>
          <w:lang w:val="en-US" w:eastAsia="zh-CN"/>
        </w:rPr>
      </w:pPr>
      <w:r>
        <w:rPr>
          <w:rFonts w:hint="eastAsia" w:ascii="Calibri" w:hAnsi="Calibri" w:cs="Calibri"/>
          <w:b/>
          <w:bCs/>
          <w:color w:val="auto"/>
          <w:spacing w:val="1"/>
          <w:highlight w:val="none"/>
          <w:lang w:val="en-US" w:eastAsia="zh-CN"/>
        </w:rPr>
        <w:t>备注：本章中所有</w:t>
      </w:r>
      <w:r>
        <w:rPr>
          <w:rFonts w:hint="eastAsia"/>
          <w:b/>
          <w:bCs/>
          <w:color w:val="auto"/>
          <w:lang w:val="en-US" w:eastAsia="zh-CN"/>
        </w:rPr>
        <w:t>参数</w:t>
      </w:r>
      <w:r>
        <w:rPr>
          <w:rFonts w:hint="eastAsia" w:ascii="宋体" w:hAnsi="宋体" w:cs="宋体"/>
          <w:b/>
          <w:bCs/>
          <w:szCs w:val="24"/>
          <w:highlight w:val="none"/>
        </w:rPr>
        <w:t>必须全部响应</w:t>
      </w:r>
      <w:r>
        <w:rPr>
          <w:rFonts w:hint="eastAsia" w:ascii="宋体" w:hAnsi="宋体" w:cs="宋体"/>
          <w:b/>
          <w:bCs/>
          <w:szCs w:val="24"/>
          <w:highlight w:val="none"/>
          <w:lang w:val="en-US" w:eastAsia="zh-CN"/>
        </w:rPr>
        <w:t>满足</w:t>
      </w:r>
      <w:r>
        <w:rPr>
          <w:rFonts w:hint="eastAsia" w:ascii="宋体" w:hAnsi="宋体" w:cs="宋体"/>
          <w:b/>
          <w:bCs/>
          <w:szCs w:val="24"/>
          <w:highlight w:val="none"/>
        </w:rPr>
        <w:t>，不得</w:t>
      </w:r>
      <w:r>
        <w:rPr>
          <w:rFonts w:hint="eastAsia" w:ascii="宋体" w:hAnsi="宋体" w:cs="宋体"/>
          <w:b/>
          <w:bCs/>
          <w:szCs w:val="24"/>
          <w:highlight w:val="none"/>
          <w:lang w:val="en-US" w:eastAsia="zh-CN"/>
        </w:rPr>
        <w:t>负</w:t>
      </w:r>
      <w:r>
        <w:rPr>
          <w:rFonts w:hint="eastAsia" w:ascii="宋体" w:hAnsi="宋体" w:cs="宋体"/>
          <w:b/>
          <w:bCs/>
          <w:szCs w:val="24"/>
          <w:highlight w:val="none"/>
        </w:rPr>
        <w:t>偏离，否则做无效</w:t>
      </w:r>
      <w:r>
        <w:rPr>
          <w:rFonts w:hint="eastAsia" w:ascii="宋体" w:hAnsi="宋体" w:cs="宋体"/>
          <w:b/>
          <w:bCs/>
          <w:szCs w:val="24"/>
          <w:highlight w:val="none"/>
          <w:lang w:val="en-US" w:eastAsia="zh-CN"/>
        </w:rPr>
        <w:t>参选</w:t>
      </w:r>
      <w:r>
        <w:rPr>
          <w:rFonts w:hint="eastAsia" w:ascii="宋体" w:hAnsi="宋体" w:cs="宋体"/>
          <w:b/>
          <w:bCs/>
          <w:szCs w:val="24"/>
          <w:highlight w:val="none"/>
        </w:rPr>
        <w:t>处理。</w:t>
      </w:r>
    </w:p>
    <w:bookmarkEnd w:id="1"/>
    <w:p w14:paraId="64A1165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4615D1"/>
    <w:multiLevelType w:val="singleLevel"/>
    <w:tmpl w:val="BD4615D1"/>
    <w:lvl w:ilvl="0" w:tentative="0">
      <w:start w:val="1"/>
      <w:numFmt w:val="decimal"/>
      <w:lvlText w:val="%1."/>
      <w:lvlJc w:val="left"/>
      <w:pPr>
        <w:ind w:left="425" w:hanging="425"/>
      </w:pPr>
      <w:rPr>
        <w:rFonts w:hint="default"/>
        <w:b w:val="0"/>
        <w:bCs w:val="0"/>
      </w:rPr>
    </w:lvl>
  </w:abstractNum>
  <w:abstractNum w:abstractNumId="1">
    <w:nsid w:val="ED7047A5"/>
    <w:multiLevelType w:val="multilevel"/>
    <w:tmpl w:val="ED7047A5"/>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
    <w:nsid w:val="F9CC5C7A"/>
    <w:multiLevelType w:val="singleLevel"/>
    <w:tmpl w:val="F9CC5C7A"/>
    <w:lvl w:ilvl="0" w:tentative="0">
      <w:start w:val="1"/>
      <w:numFmt w:val="decimal"/>
      <w:lvlText w:val="%1."/>
      <w:lvlJc w:val="left"/>
      <w:pPr>
        <w:ind w:left="425" w:hanging="425"/>
      </w:pPr>
      <w:rPr>
        <w:rFonts w:hint="default"/>
        <w:b w:val="0"/>
        <w:bCs w:val="0"/>
      </w:rPr>
    </w:lvl>
  </w:abstractNum>
  <w:abstractNum w:abstractNumId="3">
    <w:nsid w:val="FBAC225F"/>
    <w:multiLevelType w:val="singleLevel"/>
    <w:tmpl w:val="FBAC225F"/>
    <w:lvl w:ilvl="0" w:tentative="0">
      <w:start w:val="1"/>
      <w:numFmt w:val="decimal"/>
      <w:lvlText w:val="%1."/>
      <w:lvlJc w:val="left"/>
      <w:pPr>
        <w:ind w:left="425" w:hanging="425"/>
      </w:pPr>
      <w:rPr>
        <w:rFonts w:hint="default"/>
        <w:b w:val="0"/>
        <w:bCs w:val="0"/>
      </w:rPr>
    </w:lvl>
  </w:abstractNum>
  <w:abstractNum w:abstractNumId="4">
    <w:nsid w:val="00000001"/>
    <w:multiLevelType w:val="multilevel"/>
    <w:tmpl w:val="00000001"/>
    <w:lvl w:ilvl="0" w:tentative="0">
      <w:start w:val="1"/>
      <w:numFmt w:val="japaneseCounting"/>
      <w:pStyle w:val="3"/>
      <w:lvlText w:val="第%1章"/>
      <w:lvlJc w:val="left"/>
      <w:pPr>
        <w:tabs>
          <w:tab w:val="left" w:pos="9497"/>
        </w:tabs>
        <w:ind w:left="9497" w:hanging="1275"/>
      </w:pPr>
      <w:rPr>
        <w:rFonts w:hint="default"/>
        <w:b/>
        <w:sz w:val="32"/>
        <w:szCs w:val="32"/>
      </w:rPr>
    </w:lvl>
    <w:lvl w:ilvl="1" w:tentative="0">
      <w:start w:val="1"/>
      <w:numFmt w:val="japaneseCounting"/>
      <w:lvlText w:val="%2、"/>
      <w:lvlJc w:val="left"/>
      <w:pPr>
        <w:tabs>
          <w:tab w:val="left" w:pos="1892"/>
        </w:tabs>
        <w:ind w:left="1920" w:hanging="480"/>
      </w:pPr>
      <w:rPr>
        <w:rFonts w:hint="default"/>
      </w:rPr>
    </w:lvl>
    <w:lvl w:ilvl="2" w:tentative="0">
      <w:start w:val="1"/>
      <w:numFmt w:val="lowerRoman"/>
      <w:lvlText w:val="%3."/>
      <w:lvlJc w:val="right"/>
      <w:pPr>
        <w:tabs>
          <w:tab w:val="left" w:pos="2252"/>
        </w:tabs>
        <w:ind w:left="2252" w:hanging="420"/>
      </w:pPr>
    </w:lvl>
    <w:lvl w:ilvl="3" w:tentative="0">
      <w:start w:val="1"/>
      <w:numFmt w:val="decimal"/>
      <w:pStyle w:val="2"/>
      <w:lvlText w:val="%4."/>
      <w:lvlJc w:val="left"/>
      <w:pPr>
        <w:tabs>
          <w:tab w:val="left" w:pos="2672"/>
        </w:tabs>
        <w:ind w:left="2672" w:hanging="420"/>
      </w:pPr>
    </w:lvl>
    <w:lvl w:ilvl="4" w:tentative="0">
      <w:start w:val="1"/>
      <w:numFmt w:val="lowerLetter"/>
      <w:lvlText w:val="%5)"/>
      <w:lvlJc w:val="left"/>
      <w:pPr>
        <w:tabs>
          <w:tab w:val="left" w:pos="3092"/>
        </w:tabs>
        <w:ind w:left="3092" w:hanging="420"/>
      </w:pPr>
    </w:lvl>
    <w:lvl w:ilvl="5" w:tentative="0">
      <w:start w:val="1"/>
      <w:numFmt w:val="lowerRoman"/>
      <w:lvlText w:val="%6."/>
      <w:lvlJc w:val="right"/>
      <w:pPr>
        <w:tabs>
          <w:tab w:val="left" w:pos="3512"/>
        </w:tabs>
        <w:ind w:left="3512" w:hanging="420"/>
      </w:pPr>
    </w:lvl>
    <w:lvl w:ilvl="6" w:tentative="0">
      <w:start w:val="1"/>
      <w:numFmt w:val="decimal"/>
      <w:lvlText w:val="%7."/>
      <w:lvlJc w:val="left"/>
      <w:pPr>
        <w:tabs>
          <w:tab w:val="left" w:pos="3932"/>
        </w:tabs>
        <w:ind w:left="3932" w:hanging="420"/>
      </w:pPr>
    </w:lvl>
    <w:lvl w:ilvl="7" w:tentative="0">
      <w:start w:val="1"/>
      <w:numFmt w:val="lowerLetter"/>
      <w:lvlText w:val="%8)"/>
      <w:lvlJc w:val="left"/>
      <w:pPr>
        <w:tabs>
          <w:tab w:val="left" w:pos="4352"/>
        </w:tabs>
        <w:ind w:left="4352" w:hanging="420"/>
      </w:pPr>
    </w:lvl>
    <w:lvl w:ilvl="8" w:tentative="0">
      <w:start w:val="1"/>
      <w:numFmt w:val="lowerRoman"/>
      <w:lvlText w:val="%9."/>
      <w:lvlJc w:val="right"/>
      <w:pPr>
        <w:tabs>
          <w:tab w:val="left" w:pos="4772"/>
        </w:tabs>
        <w:ind w:left="4772" w:hanging="420"/>
      </w:pPr>
    </w:lvl>
  </w:abstractNum>
  <w:abstractNum w:abstractNumId="5">
    <w:nsid w:val="221D0C36"/>
    <w:multiLevelType w:val="multilevel"/>
    <w:tmpl w:val="221D0C36"/>
    <w:lvl w:ilvl="0" w:tentative="0">
      <w:start w:val="1"/>
      <w:numFmt w:val="chineseCounting"/>
      <w:suff w:val="nothing"/>
      <w:lvlText w:val="第%1章 "/>
      <w:lvlJc w:val="left"/>
      <w:pPr>
        <w:ind w:left="425" w:hanging="425"/>
      </w:pPr>
      <w:rPr>
        <w:rFonts w:hint="eastAsia"/>
      </w:rPr>
    </w:lvl>
    <w:lvl w:ilvl="1" w:tentative="0">
      <w:start w:val="1"/>
      <w:numFmt w:val="decimal"/>
      <w:isLgl/>
      <w:lvlText w:val="%1.%2."/>
      <w:lvlJc w:val="left"/>
      <w:pPr>
        <w:ind w:left="567" w:hanging="567"/>
      </w:pPr>
      <w:rPr>
        <w:rFonts w:hint="eastAsia"/>
      </w:rPr>
    </w:lvl>
    <w:lvl w:ilvl="2" w:tentative="0">
      <w:start w:val="1"/>
      <w:numFmt w:val="decimal"/>
      <w:isLgl/>
      <w:lvlText w:val="%1.%2.%3."/>
      <w:lvlJc w:val="left"/>
      <w:pPr>
        <w:ind w:left="709" w:hanging="709"/>
      </w:pPr>
      <w:rPr>
        <w:rFonts w:hint="eastAsia"/>
      </w:rPr>
    </w:lvl>
    <w:lvl w:ilvl="3" w:tentative="0">
      <w:start w:val="1"/>
      <w:numFmt w:val="decimal"/>
      <w:isLgl/>
      <w:lvlText w:val="%1.%2.%3.%4."/>
      <w:lvlJc w:val="left"/>
      <w:pPr>
        <w:ind w:left="850" w:hanging="850"/>
      </w:pPr>
      <w:rPr>
        <w:rFonts w:hint="eastAsia"/>
      </w:rPr>
    </w:lvl>
    <w:lvl w:ilvl="4" w:tentative="0">
      <w:start w:val="1"/>
      <w:numFmt w:val="decimal"/>
      <w:isLgl/>
      <w:lvlText w:val="%1.%2.%3.%4.%5."/>
      <w:lvlJc w:val="left"/>
      <w:pPr>
        <w:ind w:left="991" w:hanging="991"/>
      </w:pPr>
      <w:rPr>
        <w:rFonts w:hint="eastAsia"/>
      </w:rPr>
    </w:lvl>
    <w:lvl w:ilvl="5" w:tentative="0">
      <w:start w:val="1"/>
      <w:numFmt w:val="decimal"/>
      <w:isLgl/>
      <w:lvlText w:val="%1.%2.%3.%4.%5.%6."/>
      <w:lvlJc w:val="left"/>
      <w:pPr>
        <w:ind w:left="1134" w:hanging="1134"/>
      </w:pPr>
      <w:rPr>
        <w:rFonts w:hint="eastAsia"/>
      </w:rPr>
    </w:lvl>
    <w:lvl w:ilvl="6" w:tentative="0">
      <w:start w:val="1"/>
      <w:numFmt w:val="decimal"/>
      <w:isLgl/>
      <w:lvlText w:val="%1.%2.%3.%4.%5.%6.%7."/>
      <w:lvlJc w:val="left"/>
      <w:pPr>
        <w:ind w:left="1275" w:hanging="1275"/>
      </w:pPr>
      <w:rPr>
        <w:rFonts w:hint="eastAsia"/>
      </w:rPr>
    </w:lvl>
    <w:lvl w:ilvl="7" w:tentative="0">
      <w:start w:val="1"/>
      <w:numFmt w:val="decimal"/>
      <w:isLgl/>
      <w:lvlText w:val="%1.%2.%3.%4.%5.%6.%7.%8."/>
      <w:lvlJc w:val="left"/>
      <w:pPr>
        <w:ind w:left="1418" w:hanging="1418"/>
      </w:pPr>
      <w:rPr>
        <w:rFonts w:hint="eastAsia"/>
      </w:rPr>
    </w:lvl>
    <w:lvl w:ilvl="8" w:tentative="0">
      <w:start w:val="1"/>
      <w:numFmt w:val="decimal"/>
      <w:isLgl/>
      <w:lvlText w:val="%1.%2.%3.%4.%5.%6.%7.%8.%9."/>
      <w:lvlJc w:val="left"/>
      <w:pPr>
        <w:ind w:left="1558" w:hanging="1558"/>
      </w:pPr>
      <w:rPr>
        <w:rFonts w:hint="eastAsia"/>
      </w:rPr>
    </w:lvl>
  </w:abstractNum>
  <w:abstractNum w:abstractNumId="6">
    <w:nsid w:val="33F7E414"/>
    <w:multiLevelType w:val="singleLevel"/>
    <w:tmpl w:val="33F7E414"/>
    <w:lvl w:ilvl="0" w:tentative="0">
      <w:start w:val="1"/>
      <w:numFmt w:val="decimal"/>
      <w:lvlText w:val="%1."/>
      <w:lvlJc w:val="left"/>
      <w:pPr>
        <w:ind w:left="425" w:hanging="425"/>
      </w:pPr>
      <w:rPr>
        <w:rFonts w:hint="default"/>
        <w:b w:val="0"/>
        <w:bCs w:val="0"/>
      </w:rPr>
    </w:lvl>
  </w:abstractNum>
  <w:num w:numId="1">
    <w:abstractNumId w:val="4"/>
  </w:num>
  <w:num w:numId="2">
    <w:abstractNumId w:val="1"/>
  </w:num>
  <w:num w:numId="3">
    <w:abstractNumId w:val="5"/>
  </w:num>
  <w:num w:numId="4">
    <w:abstractNumId w:val="2"/>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9E2A76"/>
    <w:rsid w:val="319E2A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lang w:val="en-US" w:eastAsia="zh-CN" w:bidi="ar-SA"/>
    </w:rPr>
  </w:style>
  <w:style w:type="paragraph" w:styleId="3">
    <w:name w:val="heading 1"/>
    <w:basedOn w:val="1"/>
    <w:next w:val="1"/>
    <w:qFormat/>
    <w:uiPriority w:val="0"/>
    <w:pPr>
      <w:keepNext/>
      <w:keepLines/>
      <w:numPr>
        <w:ilvl w:val="0"/>
        <w:numId w:val="1"/>
      </w:numPr>
      <w:tabs>
        <w:tab w:val="left" w:pos="2693"/>
      </w:tabs>
      <w:adjustRightInd w:val="0"/>
      <w:spacing w:before="340" w:after="330" w:line="578" w:lineRule="atLeast"/>
      <w:textAlignment w:val="baseline"/>
      <w:outlineLvl w:val="0"/>
    </w:pPr>
    <w:rPr>
      <w:b/>
      <w:kern w:val="44"/>
      <w:sz w:val="44"/>
    </w:rPr>
  </w:style>
  <w:style w:type="paragraph" w:styleId="2">
    <w:name w:val="heading 4"/>
    <w:basedOn w:val="1"/>
    <w:next w:val="1"/>
    <w:qFormat/>
    <w:uiPriority w:val="0"/>
    <w:pPr>
      <w:keepNext/>
      <w:keepLines/>
      <w:numPr>
        <w:ilvl w:val="3"/>
        <w:numId w:val="1"/>
      </w:numPr>
      <w:adjustRightInd w:val="0"/>
      <w:spacing w:before="280" w:after="290" w:line="376" w:lineRule="atLeast"/>
      <w:textAlignment w:val="baseline"/>
      <w:outlineLvl w:val="3"/>
    </w:pPr>
    <w:rPr>
      <w:rFonts w:ascii="Arial" w:hAnsi="Arial" w:eastAsia="黑体"/>
      <w:b/>
      <w:kern w:val="0"/>
      <w:sz w:val="28"/>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toc 2"/>
    <w:basedOn w:val="1"/>
    <w:next w:val="1"/>
    <w:semiHidden/>
    <w:qFormat/>
    <w:uiPriority w:val="0"/>
    <w:pPr>
      <w:ind w:left="210"/>
      <w:jc w:val="left"/>
    </w:pPr>
    <w:rPr>
      <w:smallCaps/>
      <w:sz w:val="21"/>
    </w:rPr>
  </w:style>
  <w:style w:type="paragraph" w:customStyle="1" w:styleId="7">
    <w:name w:val="!标题1 Ctrl+1"/>
    <w:basedOn w:val="3"/>
    <w:next w:val="8"/>
    <w:qFormat/>
    <w:uiPriority w:val="0"/>
    <w:pPr>
      <w:keepNext w:val="0"/>
      <w:keepLines w:val="0"/>
      <w:pageBreakBefore/>
      <w:tabs>
        <w:tab w:val="left" w:pos="1800"/>
      </w:tabs>
      <w:snapToGrid w:val="0"/>
      <w:spacing w:before="312" w:beforeLines="100" w:after="312" w:afterLines="100" w:line="240" w:lineRule="auto"/>
      <w:jc w:val="center"/>
      <w:textAlignment w:val="auto"/>
    </w:pPr>
    <w:rPr>
      <w:rFonts w:ascii="Arial" w:hAnsi="Arial" w:eastAsia="黑体"/>
      <w:bCs/>
      <w:kern w:val="2"/>
      <w:szCs w:val="44"/>
    </w:rPr>
  </w:style>
  <w:style w:type="paragraph" w:customStyle="1" w:styleId="8">
    <w:name w:val="!我的正文 Ctr+Q"/>
    <w:basedOn w:val="1"/>
    <w:qFormat/>
    <w:uiPriority w:val="0"/>
    <w:pPr>
      <w:adjustRightInd w:val="0"/>
      <w:snapToGrid w:val="0"/>
      <w:spacing w:line="360" w:lineRule="auto"/>
      <w:ind w:firstLine="480" w:firstLineChars="200"/>
    </w:pPr>
    <w:rPr>
      <w:rFonts w:ascii="Arial" w:hAnsi="Arial"/>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2026-07-06T09:22:00Z</dcterms:created>
  <dc:creator>w</dc:creator>
  <cp:lastModifiedBy>w</cp:lastModifiedBy>
  <dcterms:modified xsi:type="dcterms:W3CDTF">2026-07-06T09:23:24Z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7EFF3EE003564B6F8840D0A31D1856B1_11</vt:lpwstr>
  </property>
  <property fmtid="{D5CDD505-2E9C-101B-9397-08002B2CF9AE}" pid="4" name="KSOTemplateDocerSaveRecord">
    <vt:lpwstr>eyJoZGlkIjoiZWUyOTQ1NDM2Zjc0YjU0MjZhMWI3YTAyMzgxNTM2MDQiLCJ1c2VySWQiOiI0NjEyMTI0ODEifQ==</vt:lpwstr>
  </property>
</Properties>
</file>