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9A1C1">
      <w:pPr>
        <w:spacing w:line="360" w:lineRule="auto"/>
        <w:jc w:val="center"/>
        <w:outlineLvl w:val="0"/>
        <w:rPr>
          <w:rFonts w:hint="eastAsia"/>
        </w:rPr>
      </w:pPr>
      <w:r>
        <w:rPr>
          <w:rFonts w:hint="eastAsia"/>
          <w:b/>
          <w:sz w:val="32"/>
          <w:lang w:eastAsia="zh-CN"/>
        </w:rPr>
        <w:t>附件</w:t>
      </w:r>
      <w:r>
        <w:rPr>
          <w:rFonts w:hint="eastAsia"/>
          <w:b/>
          <w:sz w:val="32"/>
          <w:lang w:val="en-US" w:eastAsia="zh-CN"/>
        </w:rPr>
        <w:t xml:space="preserve"> </w:t>
      </w:r>
      <w:bookmarkStart w:id="18" w:name="_GoBack"/>
      <w:bookmarkEnd w:id="18"/>
      <w:r>
        <w:rPr>
          <w:rFonts w:hint="eastAsia"/>
          <w:b/>
          <w:sz w:val="32"/>
        </w:rPr>
        <w:t>采购需求</w:t>
      </w:r>
    </w:p>
    <w:p w14:paraId="49DF6655">
      <w:pPr>
        <w:rPr>
          <w:rFonts w:hint="eastAsia" w:ascii="宋体" w:hAnsi="宋体"/>
          <w:b/>
          <w:color w:val="000000"/>
        </w:rPr>
      </w:pPr>
      <w:bookmarkStart w:id="0" w:name="_Toc17276"/>
      <w:bookmarkStart w:id="1" w:name="_Toc15170"/>
      <w:bookmarkStart w:id="2" w:name="_Toc10989"/>
      <w:bookmarkStart w:id="3" w:name="_Toc11247"/>
      <w:bookmarkStart w:id="4" w:name="_Toc22987"/>
      <w:bookmarkStart w:id="5" w:name="_Toc8025"/>
      <w:bookmarkStart w:id="6" w:name="_Toc10062"/>
      <w:bookmarkStart w:id="7" w:name="_Toc553"/>
      <w:bookmarkStart w:id="8" w:name="_Toc3792"/>
      <w:bookmarkStart w:id="9" w:name="_Toc26630"/>
      <w:bookmarkStart w:id="10" w:name="_Toc13774"/>
      <w:bookmarkStart w:id="11" w:name="_Toc26048"/>
      <w:bookmarkStart w:id="12" w:name="_Toc9203"/>
      <w:bookmarkStart w:id="13" w:name="_Toc19874"/>
      <w:bookmarkStart w:id="14" w:name="_Toc1042"/>
      <w:bookmarkStart w:id="15" w:name="_Toc17385"/>
      <w:r>
        <w:rPr>
          <w:rFonts w:hint="eastAsia" w:ascii="宋体" w:hAnsi="宋体"/>
          <w:b/>
          <w:color w:val="000000"/>
        </w:rPr>
        <w:t>一、要求：以下条款如投标人参与投标，视为投标人自动响应。</w:t>
      </w:r>
      <w:bookmarkEnd w:id="0"/>
      <w:bookmarkEnd w:id="1"/>
      <w:bookmarkEnd w:id="2"/>
      <w:bookmarkEnd w:id="3"/>
      <w:bookmarkEnd w:id="4"/>
      <w:bookmarkEnd w:id="5"/>
      <w:bookmarkEnd w:id="6"/>
      <w:bookmarkEnd w:id="7"/>
    </w:p>
    <w:p w14:paraId="2109173C">
      <w:pPr>
        <w:ind w:firstLine="482" w:firstLineChars="200"/>
        <w:rPr>
          <w:rFonts w:hint="eastAsia" w:ascii="宋体" w:hAnsi="宋体"/>
          <w:b/>
          <w:color w:val="000000"/>
        </w:rPr>
      </w:pPr>
      <w:r>
        <w:rPr>
          <w:rFonts w:hint="eastAsia" w:ascii="宋体" w:hAnsi="宋体"/>
          <w:b/>
          <w:color w:val="000000"/>
        </w:rPr>
        <w:t>1、按照投标方案提供配置清单，标明品牌、型号、产地、数量等并分项报价。</w:t>
      </w:r>
    </w:p>
    <w:p w14:paraId="1AEB95CB">
      <w:pPr>
        <w:ind w:firstLine="482" w:firstLineChars="200"/>
        <w:rPr>
          <w:rFonts w:hint="eastAsia" w:ascii="宋体" w:hAnsi="宋体"/>
          <w:b/>
          <w:color w:val="000000"/>
        </w:rPr>
      </w:pPr>
      <w:r>
        <w:rPr>
          <w:rFonts w:hint="eastAsia" w:ascii="宋体" w:hAnsi="宋体"/>
          <w:b/>
          <w:color w:val="000000"/>
        </w:rPr>
        <w:t>2、提供产品日常使用的所有配套专用耗材清单，确保产品正常使用。标明品牌、型号、产地、规格、最小供货单位等并分项报价，报价不计入投标总价。在中标后如发现有漏报、瞒报的配套专用耗材，一律视为已包含在投标总价内。耗材供应期按照医院相关耗材管理规定执行。</w:t>
      </w:r>
    </w:p>
    <w:p w14:paraId="33CAE329">
      <w:pPr>
        <w:ind w:firstLine="482" w:firstLineChars="200"/>
        <w:rPr>
          <w:rFonts w:hint="eastAsia" w:ascii="宋体" w:hAnsi="宋体"/>
          <w:b/>
          <w:color w:val="000000"/>
        </w:rPr>
      </w:pPr>
      <w:r>
        <w:rPr>
          <w:rFonts w:hint="eastAsia" w:ascii="宋体" w:hAnsi="宋体"/>
          <w:b/>
          <w:color w:val="000000"/>
        </w:rPr>
        <w:t>3、说明是否需要其他设备配套使用，请列出配套设备名称、数量等，如未说明一律视为已包含在投标总价内。</w:t>
      </w:r>
    </w:p>
    <w:p w14:paraId="4D1CB765">
      <w:pPr>
        <w:ind w:firstLine="482" w:firstLineChars="200"/>
        <w:rPr>
          <w:rFonts w:hint="eastAsia" w:ascii="宋体" w:hAnsi="宋体"/>
          <w:b/>
          <w:color w:val="000000"/>
        </w:rPr>
      </w:pPr>
      <w:r>
        <w:rPr>
          <w:rFonts w:hint="eastAsia" w:ascii="宋体" w:hAnsi="宋体"/>
          <w:b/>
          <w:color w:val="000000"/>
        </w:rPr>
        <w:t>4、本项目中所要求的所有设备、耗材、配件及相关服务等均应包含在投标总价内，不得以赠送形式向采购人提供产品及服务。</w:t>
      </w:r>
    </w:p>
    <w:p w14:paraId="0F7D4F5A">
      <w:pPr>
        <w:ind w:firstLine="482" w:firstLineChars="200"/>
        <w:rPr>
          <w:rFonts w:hint="eastAsia" w:ascii="宋体" w:hAnsi="宋体"/>
          <w:b/>
          <w:color w:val="000000"/>
        </w:rPr>
      </w:pPr>
      <w:r>
        <w:rPr>
          <w:rFonts w:hint="eastAsia" w:ascii="宋体" w:hAnsi="宋体"/>
          <w:b/>
          <w:color w:val="000000"/>
        </w:rPr>
        <w:t>5、投标公司及产品须资质、证照齐全且在有效期内，如确无注册证的产品，须提供官方说明材料。</w:t>
      </w:r>
    </w:p>
    <w:p w14:paraId="504984AF">
      <w:pPr>
        <w:ind w:firstLine="482" w:firstLineChars="200"/>
        <w:rPr>
          <w:rFonts w:hint="eastAsia" w:ascii="宋体" w:hAnsi="宋体"/>
          <w:b/>
          <w:color w:val="000000"/>
        </w:rPr>
      </w:pPr>
      <w:r>
        <w:rPr>
          <w:rFonts w:hint="eastAsia" w:ascii="宋体" w:hAnsi="宋体"/>
          <w:b/>
          <w:color w:val="000000"/>
        </w:rPr>
        <w:t>6、若属安徽省医用耗材政策管理范围内产品，需满足相关要求（如“集采”、“两票制”等）；若为集采管理范围内产品，需在集采目录中，同类产品原则上选择限价产品，同类无替代选择备案产品。</w:t>
      </w:r>
    </w:p>
    <w:p w14:paraId="461525EC">
      <w:pPr>
        <w:ind w:firstLine="482" w:firstLineChars="200"/>
        <w:rPr>
          <w:rFonts w:hint="eastAsia" w:ascii="宋体" w:hAnsi="宋体" w:eastAsia="宋体"/>
          <w:b/>
          <w:color w:val="000000"/>
          <w:lang w:eastAsia="zh-CN"/>
        </w:rPr>
      </w:pPr>
      <w:r>
        <w:rPr>
          <w:rFonts w:hint="eastAsia" w:ascii="宋体" w:hAnsi="宋体"/>
          <w:b/>
          <w:color w:val="000000"/>
        </w:rPr>
        <w:t>7、中标人须将供应的医用物资包括但不限于医用耗材、检验试剂、后勤物资等，纳入采购人医用物资SPD智慧物流管理模式进行一元化管理，与采购人SPD服务商签订服务协议并承担相关的服务费。其中医用耗材、试剂的具体服务费率由中标人与SPD服务商协商，服务费率不高于医院与 SPD服务商约定的收费标准(现行服务费率为供货金额的1%;如后期采购人与SPD服务商约定的服务费率发生变动，以采购人与SPD服务商签订合同约定的服务费率为准);后勤物资等其他物资，中标人无需承担服务费。如中标人不予配合，采购人有权终止与中标人的医用物资供应关系或选择备选医用物资中标人</w:t>
      </w:r>
      <w:r>
        <w:rPr>
          <w:rFonts w:hint="eastAsia" w:ascii="宋体" w:hAnsi="宋体"/>
          <w:b/>
          <w:color w:val="000000"/>
          <w:lang w:eastAsia="zh-CN"/>
        </w:rPr>
        <w:t>。</w:t>
      </w:r>
    </w:p>
    <w:p w14:paraId="212DA220">
      <w:pPr>
        <w:ind w:firstLine="482" w:firstLineChars="200"/>
        <w:rPr>
          <w:rFonts w:hint="eastAsia" w:ascii="宋体" w:hAnsi="宋体"/>
          <w:b/>
          <w:color w:val="000000"/>
        </w:rPr>
      </w:pPr>
      <w:r>
        <w:rPr>
          <w:rFonts w:hint="eastAsia" w:ascii="宋体" w:hAnsi="宋体"/>
          <w:b/>
          <w:color w:val="000000"/>
        </w:rPr>
        <w:t>8、根据医保政策，可单独收费医用耗材请提供安徽医保局下发的27位医保编码，并按编码进行报价。</w:t>
      </w:r>
    </w:p>
    <w:p w14:paraId="7E2FE6AD">
      <w:pPr>
        <w:ind w:firstLine="482" w:firstLineChars="200"/>
        <w:rPr>
          <w:rFonts w:hint="eastAsia" w:ascii="宋体" w:hAnsi="宋体"/>
          <w:b/>
          <w:color w:val="000000"/>
        </w:rPr>
      </w:pPr>
      <w:r>
        <w:rPr>
          <w:rFonts w:ascii="宋体" w:hAnsi="宋体"/>
          <w:b/>
          <w:color w:val="000000"/>
        </w:rPr>
        <w:t>9</w:t>
      </w:r>
      <w:r>
        <w:rPr>
          <w:rFonts w:hint="eastAsia" w:ascii="宋体" w:hAnsi="宋体"/>
          <w:b/>
          <w:color w:val="000000"/>
        </w:rPr>
        <w:t>、</w:t>
      </w:r>
      <w:r>
        <w:rPr>
          <w:rFonts w:hint="eastAsia"/>
          <w:b/>
          <w:color w:val="000000"/>
        </w:rPr>
        <w:t>需长期供应的医用耗材及试剂产品，成交后合同期内不得变更配送公司，否则取消成交资格。投标时生产厂家须出具长期授权函，并提供合同期内不变更配送公司的承诺函，</w:t>
      </w:r>
      <w:bookmarkStart w:id="16" w:name="_Hlk100612830"/>
      <w:r>
        <w:rPr>
          <w:rFonts w:hint="eastAsia"/>
          <w:b/>
          <w:color w:val="000000"/>
        </w:rPr>
        <w:t>如不提供的评标委员会</w:t>
      </w:r>
      <w:bookmarkEnd w:id="16"/>
      <w:r>
        <w:rPr>
          <w:rFonts w:hint="eastAsia"/>
          <w:b/>
          <w:color w:val="000000"/>
        </w:rPr>
        <w:t>有权否决其投标</w:t>
      </w:r>
      <w:r>
        <w:rPr>
          <w:rFonts w:hint="eastAsia" w:ascii="宋体" w:hAnsi="宋体"/>
          <w:b/>
          <w:color w:val="000000"/>
        </w:rPr>
        <w:t>。</w:t>
      </w:r>
    </w:p>
    <w:p w14:paraId="5FFF51A6">
      <w:pPr>
        <w:ind w:firstLine="482" w:firstLineChars="200"/>
        <w:rPr>
          <w:rFonts w:hint="eastAsia" w:ascii="宋体" w:hAnsi="宋体"/>
          <w:b/>
          <w:color w:val="000000"/>
        </w:rPr>
      </w:pPr>
      <w:r>
        <w:rPr>
          <w:rFonts w:hint="eastAsia" w:ascii="宋体" w:hAnsi="宋体"/>
          <w:b/>
          <w:color w:val="000000"/>
        </w:rPr>
        <w:t>10、医用耗材及配套使用的工具按医院规定需要消毒的，其相关费用由投标人自行承担。</w:t>
      </w:r>
    </w:p>
    <w:p w14:paraId="61872DCD">
      <w:pPr>
        <w:ind w:firstLine="482" w:firstLineChars="200"/>
        <w:rPr>
          <w:rFonts w:hint="eastAsia" w:ascii="宋体" w:hAnsi="宋体"/>
          <w:b/>
          <w:color w:val="000000"/>
        </w:rPr>
      </w:pPr>
      <w:r>
        <w:rPr>
          <w:rFonts w:hint="eastAsia"/>
          <w:b/>
          <w:color w:val="000000"/>
        </w:rPr>
        <w:t>1</w:t>
      </w:r>
      <w:r>
        <w:rPr>
          <w:b/>
          <w:color w:val="000000"/>
        </w:rPr>
        <w:t>1</w:t>
      </w:r>
      <w:r>
        <w:rPr>
          <w:rFonts w:hint="eastAsia"/>
          <w:b/>
          <w:color w:val="000000"/>
        </w:rPr>
        <w:t>、检验试剂项目和需配套检验试剂使用的检验设备项目，均须免费提供同品</w:t>
      </w:r>
      <w:r>
        <w:rPr>
          <w:rFonts w:hint="eastAsia" w:ascii="宋体" w:hAnsi="宋体"/>
          <w:b/>
          <w:color w:val="000000"/>
        </w:rPr>
        <w:t>牌或第三方符合溯源要求的质控品。</w:t>
      </w:r>
    </w:p>
    <w:p w14:paraId="0CC7D6BC">
      <w:pPr>
        <w:ind w:firstLine="482" w:firstLineChars="200"/>
        <w:rPr>
          <w:rFonts w:hint="eastAsia" w:ascii="宋体" w:hAnsi="宋体"/>
          <w:b/>
          <w:color w:val="000000"/>
        </w:rPr>
      </w:pPr>
      <w:r>
        <w:rPr>
          <w:rFonts w:hint="eastAsia" w:ascii="宋体" w:hAnsi="宋体"/>
          <w:b/>
          <w:color w:val="000000"/>
        </w:rPr>
        <w:t>12、投标人需无条件接受因国家及安徽省相关政策（如医用耗材带量采购等）对招标结果带来的变动，投标人不得提出异议。</w:t>
      </w:r>
      <w:r>
        <w:rPr>
          <w:rFonts w:hint="eastAsia" w:ascii="宋体" w:hAnsi="宋体"/>
          <w:b/>
          <w:color w:val="000000"/>
        </w:rPr>
        <w:br w:type="textWrapping"/>
      </w:r>
      <w:r>
        <w:rPr>
          <w:rFonts w:hint="eastAsia" w:ascii="宋体" w:hAnsi="宋体"/>
          <w:b/>
          <w:color w:val="000000"/>
        </w:rPr>
        <w:t xml:space="preserve">    13、投标人须保证此次招标产品，投标价格不得高于安徽省医药集中采购平台交易目录最高限价；后期安徽省医药集中采购平台交易目录最高限价如有降价，中标产品的投标人应于7个工作日内书面通知采购人启动协商程序。</w:t>
      </w:r>
    </w:p>
    <w:p w14:paraId="5ACC4CC4">
      <w:pPr>
        <w:ind w:firstLine="482" w:firstLineChars="200"/>
        <w:rPr>
          <w:rFonts w:hint="eastAsia" w:ascii="宋体" w:hAnsi="宋体"/>
          <w:b/>
          <w:color w:val="000000"/>
        </w:rPr>
      </w:pPr>
      <w:r>
        <w:rPr>
          <w:rFonts w:hint="eastAsia" w:ascii="宋体" w:hAnsi="宋体"/>
          <w:b/>
          <w:color w:val="000000"/>
        </w:rPr>
        <w:t>14、 按收费价格费率投标的检验项目，如后期收费价格下调，试剂供货价格须按中标费率同比例下浮。</w:t>
      </w:r>
    </w:p>
    <w:p w14:paraId="15F69BE8">
      <w:pPr>
        <w:rPr>
          <w:rFonts w:hint="eastAsia" w:ascii="宋体" w:hAnsi="宋体"/>
          <w:b/>
          <w:color w:val="000000"/>
        </w:rPr>
      </w:pPr>
    </w:p>
    <w:p w14:paraId="3E5939AC">
      <w:pPr>
        <w:pStyle w:val="3"/>
        <w:numPr>
          <w:ilvl w:val="0"/>
          <w:numId w:val="1"/>
        </w:numPr>
        <w:spacing w:line="360" w:lineRule="auto"/>
        <w:ind w:left="0" w:leftChars="0" w:firstLine="0" w:firstLineChars="0"/>
        <w:rPr>
          <w:rFonts w:hint="eastAsia" w:ascii="宋体" w:hAnsi="宋体" w:eastAsia="宋体"/>
          <w:b/>
          <w:color w:val="000000"/>
          <w:sz w:val="24"/>
          <w:szCs w:val="20"/>
        </w:rPr>
      </w:pPr>
      <w:r>
        <w:rPr>
          <w:rFonts w:hint="eastAsia" w:ascii="宋体" w:hAnsi="宋体" w:eastAsia="宋体"/>
          <w:b/>
          <w:color w:val="000000"/>
          <w:sz w:val="24"/>
          <w:szCs w:val="20"/>
        </w:rPr>
        <w:t>不满足技术要求中“★”参数的,属于重大偏离，会对最终评审产生较大影响。</w:t>
      </w:r>
      <w:bookmarkStart w:id="17" w:name="_Toc19735"/>
    </w:p>
    <w:p w14:paraId="1913AD3B">
      <w:pPr>
        <w:pStyle w:val="3"/>
        <w:numPr>
          <w:ilvl w:val="0"/>
          <w:numId w:val="1"/>
        </w:numPr>
        <w:spacing w:line="360" w:lineRule="auto"/>
        <w:ind w:left="0" w:leftChars="0" w:firstLine="0" w:firstLineChars="0"/>
        <w:rPr>
          <w:rFonts w:hint="eastAsia" w:ascii="宋体" w:hAnsi="宋体" w:eastAsia="宋体"/>
          <w:b/>
          <w:color w:val="000000"/>
          <w:sz w:val="24"/>
          <w:szCs w:val="20"/>
        </w:rPr>
      </w:pPr>
      <w:r>
        <w:rPr>
          <w:rFonts w:hint="eastAsia" w:ascii="宋体" w:hAnsi="宋体" w:eastAsia="宋体"/>
          <w:b/>
          <w:color w:val="000000"/>
          <w:sz w:val="24"/>
          <w:szCs w:val="20"/>
        </w:rPr>
        <w:t>主要技术参数</w:t>
      </w:r>
      <w:bookmarkEnd w:id="8"/>
      <w:bookmarkEnd w:id="9"/>
      <w:bookmarkEnd w:id="10"/>
      <w:bookmarkEnd w:id="11"/>
      <w:bookmarkEnd w:id="12"/>
      <w:bookmarkEnd w:id="13"/>
      <w:bookmarkEnd w:id="14"/>
      <w:bookmarkEnd w:id="15"/>
      <w:bookmarkEnd w:id="17"/>
      <w:r>
        <w:rPr>
          <w:rFonts w:hint="eastAsia" w:ascii="宋体" w:hAnsi="宋体" w:eastAsia="宋体"/>
          <w:b/>
          <w:color w:val="000000"/>
          <w:sz w:val="24"/>
          <w:szCs w:val="20"/>
          <w:lang w:eastAsia="zh-CN"/>
        </w:rPr>
        <w:t>及其他要求</w:t>
      </w:r>
    </w:p>
    <w:p w14:paraId="670B7A5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1、基本要求：微创手术训练系统集成内镜手术系统，并配备了内镜操作器械和多种训练模块</w:t>
      </w:r>
    </w:p>
    <w:p w14:paraId="5EBADB9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2、体模：</w:t>
      </w:r>
    </w:p>
    <w:p w14:paraId="0C2E9C13">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b/>
          <w:color w:val="000000"/>
          <w:sz w:val="24"/>
          <w:szCs w:val="20"/>
        </w:rPr>
        <w:t>★</w:t>
      </w:r>
      <w:r>
        <w:rPr>
          <w:rFonts w:hint="eastAsia" w:ascii="宋体" w:hAnsi="宋体" w:eastAsia="宋体" w:cs="宋体"/>
          <w:kern w:val="2"/>
          <w:sz w:val="24"/>
          <w:szCs w:val="24"/>
          <w:lang w:val="en-US" w:eastAsia="zh-CN" w:bidi="ar"/>
        </w:rPr>
        <w:t>2.1 模拟真实气腹外形的体模，体模与冷箱为一体化设计而无需外接冷箱，体模可与台车分离，用于高阶手术室环境模拟训练，冷箱功能保证离体器官状态鲜活及环境无气味；覆膜解剖标志明显，具备乳房及剑突等位置；覆膜可完全打开，方便放置训练模块，体模可180°对调位置，实现气管镜操作体位，可从气管处插入气管镜；体模内配有离体器官放置装置，可用于器官悬吊，具备可承载离体全脏器器官的容量；体模内放置可锁托盘模块，托盘可独立取出，用于替换湿性训练模块，为保障训练时良好的腔内空间感，托盘底部与腹部最高点距离≤23CM；</w:t>
      </w:r>
    </w:p>
    <w:p w14:paraId="4DD1188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2.2 体模有≥14个手术器械置入口供训练者使用，训练者可以选择合适入路置入摄像系统或手术器械，入路为密封切口设计，不可泄漏味道及冷气，训练时直接更换不同的摄像系统；兼容临床真实内窥镜；体模设置有满足多专科的微创训练体位及器械入路，可用于腹腔镜训练、支气管镜训练、胸腔镜训练等微创模拟操作；</w:t>
      </w:r>
    </w:p>
    <w:p w14:paraId="4F1F8FD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2.3 微电脑智能控制系统：保证离体器官舱温度，温度在3-37</w:t>
      </w:r>
      <w:r>
        <w:rPr>
          <w:rFonts w:ascii="宋体" w:hAnsi="宋体" w:eastAsia="宋体" w:cs="宋体"/>
          <w:sz w:val="24"/>
          <w:szCs w:val="24"/>
        </w:rPr>
        <w:t>℃</w:t>
      </w:r>
      <w:r>
        <w:rPr>
          <w:rFonts w:hint="eastAsia" w:ascii="宋体" w:hAnsi="宋体" w:eastAsia="宋体" w:cs="宋体"/>
          <w:kern w:val="2"/>
          <w:sz w:val="24"/>
          <w:szCs w:val="24"/>
          <w:lang w:val="en-US" w:eastAsia="zh-CN" w:bidi="ar"/>
        </w:rPr>
        <w:t>间由桌面操作面板直接调节。体模可用于单孔腹腔镜训练，配套固定的单孔腹腔镜穿刺器。</w:t>
      </w:r>
    </w:p>
    <w:p w14:paraId="1CD0A8F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2.4 具备内置排烟系统：</w:t>
      </w:r>
    </w:p>
    <w:p w14:paraId="2F97FF4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2.4.1能够快速排出手术过程中产生的烟雾，确保手术视野清晰；</w:t>
      </w:r>
    </w:p>
    <w:p w14:paraId="3B2CB9C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2.4.2具备足够的负压吸力，确保烟雾能够有效从手术部位排出，同时避免因压力过大对手术组织造成损伤；</w:t>
      </w:r>
    </w:p>
    <w:p w14:paraId="28ECC562">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b/>
          <w:color w:val="000000"/>
          <w:sz w:val="24"/>
          <w:szCs w:val="20"/>
        </w:rPr>
        <w:t>★</w:t>
      </w:r>
      <w:r>
        <w:rPr>
          <w:rFonts w:hint="eastAsia" w:ascii="宋体" w:hAnsi="宋体" w:eastAsia="宋体" w:cs="宋体"/>
          <w:kern w:val="2"/>
          <w:sz w:val="24"/>
          <w:szCs w:val="24"/>
          <w:lang w:val="en-US" w:eastAsia="zh-CN" w:bidi="ar"/>
        </w:rPr>
        <w:t>2.4.3可通过设备操作开关，手动调节排烟流量和压力，满足不同手术阶段的个性化排烟需求；</w:t>
      </w:r>
    </w:p>
    <w:p w14:paraId="387DD52E">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b/>
          <w:color w:val="000000"/>
          <w:sz w:val="24"/>
          <w:szCs w:val="20"/>
        </w:rPr>
        <w:t>★</w:t>
      </w:r>
      <w:r>
        <w:rPr>
          <w:rFonts w:hint="eastAsia" w:ascii="宋体" w:hAnsi="宋体" w:eastAsia="宋体" w:cs="宋体"/>
          <w:kern w:val="2"/>
          <w:sz w:val="24"/>
          <w:szCs w:val="24"/>
          <w:lang w:val="en-US" w:eastAsia="zh-CN" w:bidi="ar"/>
        </w:rPr>
        <w:t>2.4.4排烟系统可与冷箱系统实现智能联动。具备智能烟雾冷却功能；</w:t>
      </w:r>
    </w:p>
    <w:p w14:paraId="71ECA3C3">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b/>
          <w:color w:val="000000"/>
          <w:sz w:val="24"/>
          <w:szCs w:val="20"/>
        </w:rPr>
        <w:t>★</w:t>
      </w:r>
      <w:r>
        <w:rPr>
          <w:rFonts w:hint="eastAsia" w:ascii="宋体" w:hAnsi="宋体" w:eastAsia="宋体" w:cs="宋体"/>
          <w:kern w:val="2"/>
          <w:sz w:val="24"/>
          <w:szCs w:val="24"/>
          <w:lang w:val="en-US" w:eastAsia="zh-CN" w:bidi="ar"/>
        </w:rPr>
        <w:t>2.4.5与腹部体模一体化设计。</w:t>
      </w:r>
    </w:p>
    <w:p w14:paraId="7A94A8A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3、腹腔镜：</w:t>
      </w:r>
    </w:p>
    <w:p w14:paraId="6CD16526">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b/>
          <w:color w:val="000000"/>
          <w:sz w:val="24"/>
          <w:szCs w:val="20"/>
        </w:rPr>
        <w:t>★</w:t>
      </w:r>
      <w:r>
        <w:rPr>
          <w:rFonts w:hint="eastAsia" w:ascii="宋体" w:hAnsi="宋体" w:eastAsia="宋体" w:cs="宋体"/>
          <w:kern w:val="2"/>
          <w:sz w:val="24"/>
          <w:szCs w:val="24"/>
          <w:lang w:val="en-US" w:eastAsia="zh-CN" w:bidi="ar"/>
        </w:rPr>
        <w:t>3.1 高分辨率 CMOS 摄像头，分辨率为≥1920×1080P，≥60帧率，逐行扫描；</w:t>
      </w:r>
    </w:p>
    <w:p w14:paraId="1A3C4C2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3.2 防水摄像头，防水等级达到IPX7级；</w:t>
      </w:r>
    </w:p>
    <w:p w14:paraId="2110CB8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3.3 摄像头快捷按键，一键白平衡，一键冻结图片；</w:t>
      </w:r>
    </w:p>
    <w:p w14:paraId="07C8314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3.4 手柄线缆长：≥2.5米</w:t>
      </w:r>
    </w:p>
    <w:p w14:paraId="48D8E65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3.5 自动曝光控制，自动识别光亮强弱， 自动调整图像光亮度；</w:t>
      </w:r>
    </w:p>
    <w:p w14:paraId="7B71353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3.6 镜子直径10mm，长度≥33cm，可高温消毒；</w:t>
      </w:r>
    </w:p>
    <w:p w14:paraId="0B49053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3.7 具备放大缩小及手动对焦功能；</w:t>
      </w:r>
    </w:p>
    <w:p w14:paraId="65610BE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3.8 色温：6400K±500K 显色指数：Ra≥85；</w:t>
      </w:r>
    </w:p>
    <w:p w14:paraId="6991A0C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3.9 照度：照度可调节，最大照度≥1800000Lx；</w:t>
      </w:r>
    </w:p>
    <w:p w14:paraId="26CF828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3.10 灯泡寿命≥800H；</w:t>
      </w:r>
    </w:p>
    <w:p w14:paraId="745092D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3.11 机壳表面升温，最高≤60℃；</w:t>
      </w:r>
    </w:p>
    <w:p w14:paraId="127E9D8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3.12 整机工作噪声：≤55db(A)。</w:t>
      </w:r>
    </w:p>
    <w:p w14:paraId="5CB1A3B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4、软镜系统：</w:t>
      </w:r>
    </w:p>
    <w:p w14:paraId="4A746799">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b/>
          <w:color w:val="000000"/>
          <w:sz w:val="24"/>
          <w:szCs w:val="20"/>
        </w:rPr>
        <w:t>★</w:t>
      </w:r>
      <w:r>
        <w:rPr>
          <w:rFonts w:hint="eastAsia" w:ascii="宋体" w:hAnsi="宋体" w:eastAsia="宋体" w:cs="宋体"/>
          <w:kern w:val="2"/>
          <w:sz w:val="24"/>
          <w:szCs w:val="24"/>
          <w:lang w:val="en-US" w:eastAsia="zh-CN" w:bidi="ar"/>
        </w:rPr>
        <w:t>4.1 像素：≥100万像素；</w:t>
      </w:r>
    </w:p>
    <w:p w14:paraId="30C9AF7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4.2 视场角：≥140°；</w:t>
      </w:r>
    </w:p>
    <w:p w14:paraId="252BAF9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4.3 视野角度：直视；</w:t>
      </w:r>
    </w:p>
    <w:p w14:paraId="2409D6C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4.4 景深：3—100mm；</w:t>
      </w:r>
    </w:p>
    <w:p w14:paraId="16F44AC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4.5 光源：LED；</w:t>
      </w:r>
    </w:p>
    <w:p w14:paraId="610A2B3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4.6 色温：6500 K±500K；</w:t>
      </w:r>
    </w:p>
    <w:p w14:paraId="3A9CD1A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4.7 照度：≥2000LUX；</w:t>
      </w:r>
    </w:p>
    <w:p w14:paraId="711AA08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4.8 插入管外径：≤4.8mm ；</w:t>
      </w:r>
    </w:p>
    <w:p w14:paraId="121866D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4.9 工作通道：≥1.6mm；</w:t>
      </w:r>
    </w:p>
    <w:p w14:paraId="2F4E281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4.10 分辨率：≥1280*720；</w:t>
      </w:r>
    </w:p>
    <w:p w14:paraId="4782BFE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4.11 工作长度：≥650mm；</w:t>
      </w:r>
    </w:p>
    <w:p w14:paraId="3333DA0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4.12 弯曲角度：向上≥180°，向下≥180°；</w:t>
      </w:r>
    </w:p>
    <w:p w14:paraId="1A5BFDBA">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b/>
          <w:color w:val="000000"/>
          <w:sz w:val="24"/>
          <w:szCs w:val="20"/>
        </w:rPr>
        <w:t>★</w:t>
      </w:r>
      <w:r>
        <w:rPr>
          <w:rFonts w:hint="eastAsia" w:ascii="宋体" w:hAnsi="宋体" w:eastAsia="宋体" w:cs="宋体"/>
          <w:kern w:val="2"/>
          <w:sz w:val="24"/>
          <w:szCs w:val="24"/>
          <w:lang w:val="en-US" w:eastAsia="zh-CN" w:bidi="ar"/>
        </w:rPr>
        <w:t>4.13 软镜系统需与摄像软件系统及教学显示系统无中转连接使用。</w:t>
      </w:r>
    </w:p>
    <w:p w14:paraId="5F20BEE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5、摄像系统软件功能</w:t>
      </w:r>
    </w:p>
    <w:p w14:paraId="02876D4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5.1 多台设备可组建内局域网，实现内容共享功能，支持实时下载操作、保存录像及截图。</w:t>
      </w:r>
    </w:p>
    <w:p w14:paraId="39A5C72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5.2 系统配备多种模式：训练模式集成包含30°镜头、操作者镜头、AI教师画面内容，画面内容可选择屏蔽或者部分屏蔽，可同屏录制30°镜头、操作者镜头画面信息，并提供可回放功能；竞赛模式集成包含30°镜头、操作者镜头、活动水印、无纸化考评二维码、参赛者编号或名字画面内容、倒计时功能，画面内容可选择屏蔽或者部分屏蔽，竞赛模式可一键录制参赛操作视频，并提供可回放功能，可一键截屏自动保存，竞赛模式所有录制的视频，截图可通过网络分享或者储存设备进行复制，以便备份保管，作为有争议时的证据；带教模式集成包含30°镜头、操作者镜头、活动水印、一对一带教画面内容，画面内容可选择屏蔽或者部分屏蔽，带教模式可同屏录制导师操作画面及导师授课画面及现场录音，并提供可回放功能；考试模式集成包含30°镜头、操作者镜头、活动水印、无纸化考评二维码、参赛者编号或名字画面内容，画面内容可选择屏蔽或者部分屏蔽，具备防作弊功能，可同屏录制选手操作画面及选手个人画面及现场录音，并提供可回放功能，考试模式所有录制的视频，截图可通过网络分享或者储存设备进行复制，以便备份保管，作为有争议时的证据。</w:t>
      </w:r>
    </w:p>
    <w:p w14:paraId="65FF84B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6、整体外观设置：</w:t>
      </w:r>
    </w:p>
    <w:p w14:paraId="587D26F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6.1 脚轮为带固定锁的静音滑轮；台车配备有稳固的手术器械放置装置，确保器械摆放有序且稳定；</w:t>
      </w:r>
    </w:p>
    <w:p w14:paraId="6AC4DEB6">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b/>
          <w:color w:val="000000"/>
          <w:sz w:val="24"/>
          <w:szCs w:val="20"/>
        </w:rPr>
        <w:t>★</w:t>
      </w:r>
      <w:r>
        <w:rPr>
          <w:rFonts w:hint="eastAsia" w:ascii="宋体" w:hAnsi="宋体" w:eastAsia="宋体" w:cs="宋体"/>
          <w:kern w:val="2"/>
          <w:sz w:val="24"/>
          <w:szCs w:val="24"/>
          <w:lang w:val="en-US" w:eastAsia="zh-CN" w:bidi="ar"/>
        </w:rPr>
        <w:t>6.2 覆膜台车内嵌超声刀、电刀主机、腔镜训练系统主机空间；一体化设计；覆膜台车桌面具备体位改变功能，可水平旋转，提供多种不同术式站位；台车覆膜部位可以独立升高降低，以适应不同升高训练者需求；显示器支架可独立升高降低，不受体模升高降低影响，保持合适显示高度。</w:t>
      </w:r>
    </w:p>
    <w:p w14:paraId="0D9FA34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7、教学显示系统：</w:t>
      </w:r>
    </w:p>
    <w:p w14:paraId="5CE3C0A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7.1 教学系统：</w:t>
      </w:r>
    </w:p>
    <w:p w14:paraId="06A4E26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7.1.1 配备≥27英寸LED显示器，内置音箱广视角显示器，分辨率：≥1920×1080；</w:t>
      </w:r>
    </w:p>
    <w:p w14:paraId="0F9FBA6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7.1.2 屏幕比例：≥16:9（宽屏）；</w:t>
      </w:r>
    </w:p>
    <w:p w14:paraId="041F7AC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7.1.3 无线功能：千兆双频Wi-Fi、蓝牙4.2以上；</w:t>
      </w:r>
    </w:p>
    <w:p w14:paraId="5B3F94C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7.1.4 开放端口：USB3.0接口≥2个、USB2.0接口≥4个；</w:t>
      </w:r>
    </w:p>
    <w:p w14:paraId="1FD0CAC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7.1.5 ≥512GB高速内存，读写≥500M/秒；</w:t>
      </w:r>
    </w:p>
    <w:p w14:paraId="5C6B730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7.1.6 ≥16GB运行内存；</w:t>
      </w:r>
    </w:p>
    <w:p w14:paraId="5DE2059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7.2 腔镜显示系统；</w:t>
      </w:r>
    </w:p>
    <w:p w14:paraId="58C6ABB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7.2.1 屏幕比例：16:9；</w:t>
      </w:r>
    </w:p>
    <w:p w14:paraId="0AE4D2D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7.2.2 分辨率：≥1920×1080；</w:t>
      </w:r>
    </w:p>
    <w:p w14:paraId="63B1501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7.2.3 屏幕刷新率：≥60Hz；</w:t>
      </w:r>
    </w:p>
    <w:p w14:paraId="3FF0466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7.2.4 屏幕尺寸：≥27英寸；</w:t>
      </w:r>
    </w:p>
    <w:p w14:paraId="3FFEAF3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7.2.5 对比度：1000:1。</w:t>
      </w:r>
    </w:p>
    <w:p w14:paraId="7AB76D2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8、训练模块：</w:t>
      </w:r>
    </w:p>
    <w:p w14:paraId="77A41B5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8.1 标配训练硅胶操作模块套装：缝合打结模块、吻合模块、钉转移模块、夹取模块、穿隧道模块、精准剪切模块；</w:t>
      </w:r>
    </w:p>
    <w:p w14:paraId="3A8C232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8.2 标配手术器械套装：持针器、弯剪刀各1把，分离钳、无损伤抓钳各2把；12mm戳卡2个，5mm戳卡4个，单孔穿刺器1个。</w:t>
      </w:r>
    </w:p>
    <w:p w14:paraId="6AD388B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9、离体器官灌注模拟装置</w:t>
      </w:r>
    </w:p>
    <w:p w14:paraId="5A1C9FF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 xml:space="preserve">9.1 装置结构:  </w:t>
      </w:r>
    </w:p>
    <w:p w14:paraId="0C5E646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9.1.1 容器：密封刚性材质，存储特制灌注液（成分为生物安全材料），模拟血液流动特性，模拟电刀止血特性；</w:t>
      </w:r>
    </w:p>
    <w:p w14:paraId="5204D4AD">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b/>
          <w:color w:val="000000"/>
          <w:sz w:val="24"/>
          <w:szCs w:val="20"/>
        </w:rPr>
        <w:t>★</w:t>
      </w:r>
      <w:r>
        <w:rPr>
          <w:rFonts w:hint="eastAsia" w:ascii="宋体" w:hAnsi="宋体" w:eastAsia="宋体" w:cs="宋体"/>
          <w:kern w:val="2"/>
          <w:sz w:val="24"/>
          <w:szCs w:val="24"/>
          <w:lang w:val="en-US" w:eastAsia="zh-CN" w:bidi="ar"/>
        </w:rPr>
        <w:t xml:space="preserve">9.1.2 传感器模块：重力传感器：精度±0.1g，实时监测容器质量；压力传感器：量程0-100kPa，精度±0.5%FS，采集容器内压力数据；  </w:t>
      </w:r>
    </w:p>
    <w:p w14:paraId="17DFD9F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 xml:space="preserve">9.1.3 气泵与泄压泵：气泵转速0-5000rpm可调，泄压泵用于稳定输出压力，防止过载；  </w:t>
      </w:r>
    </w:p>
    <w:p w14:paraId="4ABE6BC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 xml:space="preserve">9.1.4 连接部件：带固定及气管，确保灌注液稳定输送至离体器官；  </w:t>
      </w:r>
    </w:p>
    <w:p w14:paraId="5DE1795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9.1.5 控制器：集成PID算法，即比例（P）、积分（I）和微分（D），根据压力偏差动态调节气泵转速，支持实时数据计算与反馈；</w:t>
      </w:r>
    </w:p>
    <w:p w14:paraId="4A1D9C5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 xml:space="preserve">9.2 核心功能：  </w:t>
      </w:r>
    </w:p>
    <w:p w14:paraId="1F8A7E9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 xml:space="preserve">9.2.1 压力调控：通过PID控制自动调节气泵转速，维持恒定输出压力（0-50kPa可设），适配不同血管条件；  </w:t>
      </w:r>
    </w:p>
    <w:p w14:paraId="1D9EEDF7">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b/>
          <w:color w:val="000000"/>
          <w:sz w:val="24"/>
          <w:szCs w:val="20"/>
        </w:rPr>
        <w:t>★</w:t>
      </w:r>
      <w:r>
        <w:rPr>
          <w:rFonts w:hint="eastAsia" w:ascii="宋体" w:hAnsi="宋体" w:eastAsia="宋体" w:cs="宋体"/>
          <w:kern w:val="2"/>
          <w:sz w:val="24"/>
          <w:szCs w:val="24"/>
          <w:lang w:val="en-US" w:eastAsia="zh-CN" w:bidi="ar"/>
        </w:rPr>
        <w:t>9.2.2 出血量模拟：基于质量数据计算灌注液流失量，模拟真实出血场景；</w:t>
      </w:r>
    </w:p>
    <w:p w14:paraId="1E588F72">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b/>
          <w:color w:val="000000"/>
          <w:sz w:val="24"/>
          <w:szCs w:val="20"/>
        </w:rPr>
        <w:t>★</w:t>
      </w:r>
      <w:r>
        <w:rPr>
          <w:rFonts w:hint="eastAsia" w:ascii="宋体" w:hAnsi="宋体" w:eastAsia="宋体" w:cs="宋体"/>
          <w:kern w:val="2"/>
          <w:sz w:val="24"/>
          <w:szCs w:val="24"/>
          <w:lang w:val="en-US" w:eastAsia="zh-CN" w:bidi="ar"/>
        </w:rPr>
        <w:t>9.2.3 模拟评分系统：综合手术时长、流失量、术后出血数据（权重可调），输出评分（1-5分）及等级；</w:t>
      </w:r>
    </w:p>
    <w:p w14:paraId="5D5AFAD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 xml:space="preserve">9.2.4 客观评估：灌注泵智能判断缝合效果；  </w:t>
      </w:r>
    </w:p>
    <w:p w14:paraId="6296299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 xml:space="preserve">9.3 性能参数：  </w:t>
      </w:r>
    </w:p>
    <w:p w14:paraId="33222B0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9.3.1 适用器官：离体胃、肾肝脏、子宫、肺等动物器官，支持微创手术培训；</w:t>
      </w:r>
    </w:p>
    <w:p w14:paraId="6777FF6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 xml:space="preserve">9.3.2 响应时间：压力调节响应≤1s，流失量计算频率≥1Hz；  </w:t>
      </w:r>
    </w:p>
    <w:p w14:paraId="4FB8C5E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 xml:space="preserve">9.3.3 灌注液密度：1.05-1.10g/ml（可调），粘度模拟人体血液；  </w:t>
      </w:r>
    </w:p>
    <w:p w14:paraId="3F44A1C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9.4 高仿真：</w:t>
      </w:r>
    </w:p>
    <w:p w14:paraId="483901E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 xml:space="preserve">9.4.1压力动态调控与质量流失计算结合，提升出血模拟真实度；  </w:t>
      </w:r>
    </w:p>
    <w:p w14:paraId="6BE2BCE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9.4.2无需额外加压，自动化控制降低人工干预；</w:t>
      </w:r>
    </w:p>
    <w:p w14:paraId="17FA9BF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 xml:space="preserve">9.4.3 应用场景：微创外科医师技能培训、手术模拟教学、离体器官实验研究。    </w:t>
      </w:r>
    </w:p>
    <w:p w14:paraId="0327413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10、腔镜在线教学资源平台：</w:t>
      </w:r>
    </w:p>
    <w:p w14:paraId="7CC377C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10.1 内容资源形式与类型</w:t>
      </w:r>
    </w:p>
    <w:p w14:paraId="5F25724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10.1.1 支持多样化基础内容类型，包括图文、视频；</w:t>
      </w:r>
    </w:p>
    <w:p w14:paraId="08B27A22">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b/>
          <w:color w:val="000000"/>
          <w:sz w:val="24"/>
          <w:szCs w:val="20"/>
        </w:rPr>
        <w:t>★</w:t>
      </w:r>
      <w:r>
        <w:rPr>
          <w:rFonts w:hint="eastAsia" w:ascii="宋体" w:hAnsi="宋体" w:eastAsia="宋体" w:cs="宋体"/>
          <w:kern w:val="2"/>
          <w:sz w:val="24"/>
          <w:szCs w:val="24"/>
          <w:lang w:val="en-US" w:eastAsia="zh-CN" w:bidi="ar"/>
        </w:rPr>
        <w:t>10.1.2内容形式，包含线上微创手术模拟竞赛平台，竞赛平台包括竞赛规则设置、作品提交、导师评分、排行榜分享等功能；</w:t>
      </w:r>
    </w:p>
    <w:p w14:paraId="21964CEC">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b/>
          <w:color w:val="000000"/>
          <w:sz w:val="24"/>
          <w:szCs w:val="20"/>
        </w:rPr>
        <w:t>★</w:t>
      </w:r>
      <w:r>
        <w:rPr>
          <w:rFonts w:hint="eastAsia" w:ascii="宋体" w:hAnsi="宋体" w:eastAsia="宋体" w:cs="宋体"/>
          <w:kern w:val="2"/>
          <w:sz w:val="24"/>
          <w:szCs w:val="24"/>
          <w:lang w:val="en-US" w:eastAsia="zh-CN" w:bidi="ar"/>
        </w:rPr>
        <w:t>10.1.3 提供体系化内容打包，涵盖专栏、课程等形式，如 “ESD手术训练课程”“腔镜基础课程”“肝胆外科课程”“呼吸中心课程”“胃肠外科课程” 等；</w:t>
      </w:r>
    </w:p>
    <w:p w14:paraId="1EDB681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10.2 平台访问与权限参数：</w:t>
      </w:r>
    </w:p>
    <w:p w14:paraId="6EB54EE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10.2.1 平台首页访问：无需登录即可查看平台内所有微创手术相关培训与课程信息；</w:t>
      </w:r>
    </w:p>
    <w:p w14:paraId="2E509ED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10.2.2 课程授权机制：用户需进行注册（支持手机号、邮箱注册，微信等第三方账号快捷注册）或登录后，获得相应权限方可进行课程学习；</w:t>
      </w:r>
    </w:p>
    <w:p w14:paraId="6EF1008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10.2.3 账户权限管理：学员权限：可浏览课程、参与互动、完成作业、观看已授权课程等；讲师权限：拥有课程创建、直播教学、批改作业、解答疑问等权限；管理员权限：可进行用户管理、内容审核、数据统计等操作；</w:t>
      </w:r>
    </w:p>
    <w:p w14:paraId="2B56746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10.3 课程学习参数：</w:t>
      </w:r>
    </w:p>
    <w:p w14:paraId="62BA219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10.3.1 课程学习进度管理：支持按课程进行解锁，用户可清晰查看课程学习总进度及各单元课程学习进度；所有已授权课程视频可反复观看，系统自动记录上次学习具体时间；</w:t>
      </w:r>
    </w:p>
    <w:p w14:paraId="659D137C">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b/>
          <w:color w:val="000000"/>
          <w:sz w:val="24"/>
          <w:szCs w:val="20"/>
        </w:rPr>
        <w:t>★</w:t>
      </w:r>
      <w:r>
        <w:rPr>
          <w:rFonts w:hint="eastAsia" w:ascii="宋体" w:hAnsi="宋体" w:eastAsia="宋体" w:cs="宋体"/>
          <w:kern w:val="2"/>
          <w:sz w:val="24"/>
          <w:szCs w:val="24"/>
          <w:lang w:val="en-US" w:eastAsia="zh-CN" w:bidi="ar"/>
        </w:rPr>
        <w:t>10.3.2 课程互动测试：支持在线进行课程相关答题，包括情景练习和随堂测验（如 “腹腔镜穿刺点选择原则” 等问题）；对于设置了答题要求的课程，若回答错误则无法顺利进入下一课程学习；</w:t>
      </w:r>
    </w:p>
    <w:p w14:paraId="63A745B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10.4 后台管理参数：</w:t>
      </w:r>
    </w:p>
    <w:p w14:paraId="4837B4DF">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b/>
          <w:color w:val="000000"/>
          <w:sz w:val="24"/>
          <w:szCs w:val="20"/>
        </w:rPr>
        <w:t>★</w:t>
      </w:r>
      <w:r>
        <w:rPr>
          <w:rFonts w:hint="eastAsia" w:ascii="宋体" w:hAnsi="宋体" w:eastAsia="宋体" w:cs="宋体"/>
          <w:kern w:val="2"/>
          <w:sz w:val="24"/>
          <w:szCs w:val="24"/>
          <w:lang w:val="en-US" w:eastAsia="zh-CN" w:bidi="ar"/>
        </w:rPr>
        <w:t>10.4.1 后台管理功能：用户管理：支持新增与删除用户；视频资源管理：支持视频库和视频课程的维护与更新；数据分析功能：提供视频数据分析，统计学习人数、课程观看时长、在线学员列表、实时观看数据（峰值人数、地区分布等），支持课程分发效果分析、学员学习路径分析等多维度分析；</w:t>
      </w:r>
    </w:p>
    <w:p w14:paraId="6C18996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10.5 直播互动参数：</w:t>
      </w:r>
    </w:p>
    <w:p w14:paraId="77C6241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10.5.1 支持多场景直播模式，包括实时视频直播、语音直播、录播转直播等；</w:t>
      </w:r>
    </w:p>
    <w:p w14:paraId="57442D7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10.5.2 配备丰富互动工具，如实时举手发言、讨论区留言、点名签到、白板板书、课件同步展示等；</w:t>
      </w:r>
    </w:p>
    <w:p w14:paraId="6641A80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10.5.3 直播过程自动录制，支持课后回看，支持移动与 PC 端同步观看及多平台分发；</w:t>
      </w:r>
    </w:p>
    <w:p w14:paraId="04FE1DBF">
      <w:r>
        <w:rPr>
          <w:rFonts w:hint="eastAsia" w:ascii="宋体" w:hAnsi="宋体" w:eastAsia="宋体"/>
          <w:b/>
          <w:color w:val="000000"/>
          <w:sz w:val="24"/>
          <w:szCs w:val="20"/>
        </w:rPr>
        <w:t>★</w:t>
      </w:r>
      <w:r>
        <w:rPr>
          <w:rFonts w:hint="eastAsia" w:ascii="宋体" w:hAnsi="宋体" w:eastAsia="宋体" w:cs="宋体"/>
          <w:kern w:val="2"/>
          <w:sz w:val="24"/>
          <w:szCs w:val="24"/>
          <w:lang w:val="en-US" w:eastAsia="zh-CN" w:bidi="ar"/>
        </w:rPr>
        <w:t>10.5.4 督学与考核参数：提供打卡功能（日历打卡、作业打卡、考试打卡）及打卡统计；设有训练营，整合多节课程内容，结合打卡、考试、证书体系，学员完成后可获得结业证书；提供自定义题库，支持布置作业、随堂检测、灵活组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8C43C8"/>
    <w:multiLevelType w:val="singleLevel"/>
    <w:tmpl w:val="948C43C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422F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w:basedOn w:val="1"/>
    <w:uiPriority w:val="0"/>
    <w:pPr>
      <w:ind w:firstLine="570"/>
    </w:pPr>
    <w:rPr>
      <w:rFonts w:ascii="黑体" w:eastAsia="仿宋_GB2312"/>
      <w:sz w:val="28"/>
    </w:rPr>
  </w:style>
  <w:style w:type="paragraph" w:styleId="3">
    <w:name w:val="Body Text First Indent 2"/>
    <w:basedOn w:val="2"/>
    <w:uiPriority w:val="0"/>
    <w:pPr>
      <w:spacing w:after="120"/>
      <w:ind w:left="420" w:leftChars="200" w:firstLine="420" w:firstLineChars="200"/>
    </w:pPr>
    <w:rPr>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2026-07-03T06:16:59Z</dcterms:created>
  <dc:creator>Administrator</dc:creator>
  <cp:lastModifiedBy>Administrator</cp:lastModifiedBy>
  <dcterms:modified xsi:type="dcterms:W3CDTF">2026-07-03T06:17:42Z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eyJoZGlkIjoiNTZlOTZhYjExNjQ0NTdjZDExZjk3MjdmYmY3YTMwYzQiLCJ1c2VySWQiOiIzOTczODgwOTIifQ==</vt:lpwstr>
  </property>
  <property fmtid="{D5CDD505-2E9C-101B-9397-08002B2CF9AE}" pid="4" name="ICV">
    <vt:lpwstr>9546106A85C948C0938A131DC98489D4_12</vt:lpwstr>
  </property>
</Properties>
</file>