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EBE34">
      <w:pPr>
        <w:numPr>
          <w:numId w:val="0"/>
        </w:numPr>
        <w:spacing w:line="360" w:lineRule="auto"/>
        <w:ind w:left="1418" w:leftChars="0"/>
        <w:jc w:val="center"/>
        <w:outlineLvl w:val="0"/>
        <w:rPr>
          <w:rFonts w:hint="eastAsia"/>
          <w:b/>
          <w:sz w:val="32"/>
          <w:szCs w:val="32"/>
          <w:highlight w:val="none"/>
        </w:rPr>
      </w:pPr>
      <w:bookmarkStart w:id="1" w:name="_GoBack"/>
      <w:bookmarkStart w:id="0" w:name="_Toc32076"/>
      <w:r>
        <w:rPr>
          <w:rFonts w:hint="eastAsia"/>
          <w:b/>
          <w:sz w:val="32"/>
          <w:szCs w:val="32"/>
          <w:highlight w:val="none"/>
        </w:rPr>
        <w:t>采购需求</w:t>
      </w:r>
      <w:bookmarkEnd w:id="1"/>
      <w:bookmarkEnd w:id="0"/>
    </w:p>
    <w:p w14:paraId="0A768397">
      <w:pPr>
        <w:spacing w:line="360" w:lineRule="auto"/>
        <w:rPr>
          <w:rFonts w:hint="eastAsia" w:ascii="宋体" w:hAnsi="宋体" w:cs="宋体"/>
          <w:b/>
          <w:color w:val="FF0000"/>
          <w:sz w:val="21"/>
          <w:szCs w:val="21"/>
          <w:highlight w:val="none"/>
        </w:rPr>
      </w:pPr>
      <w:r>
        <w:rPr>
          <w:rFonts w:hint="eastAsia" w:ascii="宋体" w:hAnsi="宋体" w:cs="宋体"/>
          <w:b/>
          <w:sz w:val="21"/>
          <w:szCs w:val="21"/>
          <w:highlight w:val="none"/>
        </w:rPr>
        <w:t>一、</w:t>
      </w:r>
      <w:r>
        <w:rPr>
          <w:rFonts w:hint="eastAsia" w:ascii="宋体" w:hAnsi="宋体" w:cs="宋体"/>
          <w:b/>
          <w:color w:val="FF0000"/>
          <w:sz w:val="21"/>
          <w:szCs w:val="21"/>
          <w:highlight w:val="none"/>
        </w:rPr>
        <w:t>要求：以下条款如参选人参与参选，视为参选人自动响应。</w:t>
      </w:r>
    </w:p>
    <w:p w14:paraId="21E261AF">
      <w:pPr>
        <w:spacing w:line="360" w:lineRule="auto"/>
        <w:ind w:firstLine="413" w:firstLineChars="196"/>
        <w:rPr>
          <w:rFonts w:hint="eastAsia" w:ascii="宋体" w:hAnsi="宋体" w:cs="宋体"/>
          <w:b/>
          <w:sz w:val="21"/>
          <w:szCs w:val="21"/>
          <w:highlight w:val="none"/>
        </w:rPr>
      </w:pPr>
      <w:r>
        <w:rPr>
          <w:rFonts w:hint="eastAsia" w:ascii="宋体" w:hAnsi="宋体" w:cs="宋体"/>
          <w:b/>
          <w:sz w:val="21"/>
          <w:szCs w:val="21"/>
          <w:highlight w:val="none"/>
        </w:rPr>
        <w:t>1、按照参选方案提供配置清单，标明品牌、型号、产地、数量等并分项报价；</w:t>
      </w:r>
    </w:p>
    <w:p w14:paraId="1E633B6D">
      <w:pPr>
        <w:spacing w:line="360" w:lineRule="auto"/>
        <w:ind w:firstLine="413" w:firstLineChars="196"/>
        <w:rPr>
          <w:rFonts w:hint="eastAsia" w:ascii="宋体" w:hAnsi="宋体" w:cs="宋体"/>
          <w:b/>
          <w:sz w:val="21"/>
          <w:szCs w:val="21"/>
          <w:highlight w:val="none"/>
        </w:rPr>
      </w:pPr>
      <w:r>
        <w:rPr>
          <w:rFonts w:hint="eastAsia" w:ascii="宋体" w:hAnsi="宋体" w:cs="宋体"/>
          <w:b/>
          <w:sz w:val="21"/>
          <w:szCs w:val="21"/>
          <w:highlight w:val="none"/>
        </w:rPr>
        <w:t>2、提供产品日常使用的所有配套专用耗材清单，确保产品正常使用。须标明品牌、型号、产地、规格、最小供货单位等并分项报价，报价不计入参选总价。在成交后如发现有漏报、瞒报的配套专用耗材，一律视为已包含在成交总价内，不得以赠送形式向采购人提供产品及服务。耗材供应期按照医院相关耗材管理规定执行；</w:t>
      </w:r>
    </w:p>
    <w:p w14:paraId="2CF91BA7">
      <w:pPr>
        <w:spacing w:line="360" w:lineRule="auto"/>
        <w:ind w:firstLine="413" w:firstLineChars="196"/>
        <w:rPr>
          <w:rFonts w:hint="eastAsia" w:ascii="宋体" w:hAnsi="宋体" w:cs="宋体"/>
          <w:b/>
          <w:sz w:val="21"/>
          <w:szCs w:val="21"/>
          <w:highlight w:val="none"/>
        </w:rPr>
      </w:pPr>
      <w:r>
        <w:rPr>
          <w:rFonts w:hint="eastAsia" w:ascii="宋体" w:hAnsi="宋体" w:cs="宋体"/>
          <w:b/>
          <w:sz w:val="21"/>
          <w:szCs w:val="21"/>
          <w:highlight w:val="none"/>
        </w:rPr>
        <w:t>3、说明是否需要其他设备配套使用，请列出配套设备名称、数量等，如未说明一律视为已包含在参选总价内；</w:t>
      </w:r>
    </w:p>
    <w:p w14:paraId="74850179">
      <w:pPr>
        <w:spacing w:line="360" w:lineRule="auto"/>
        <w:ind w:firstLine="413" w:firstLineChars="196"/>
        <w:rPr>
          <w:rFonts w:hint="eastAsia" w:ascii="宋体" w:hAnsi="宋体" w:cs="宋体"/>
          <w:b/>
          <w:sz w:val="21"/>
          <w:szCs w:val="21"/>
          <w:highlight w:val="none"/>
        </w:rPr>
      </w:pPr>
      <w:r>
        <w:rPr>
          <w:rFonts w:ascii="宋体" w:hAnsi="宋体" w:cs="宋体"/>
          <w:b/>
          <w:sz w:val="21"/>
          <w:szCs w:val="21"/>
          <w:highlight w:val="none"/>
        </w:rPr>
        <w:t>4</w:t>
      </w:r>
      <w:r>
        <w:rPr>
          <w:rFonts w:hint="eastAsia" w:ascii="宋体" w:hAnsi="宋体" w:cs="宋体"/>
          <w:b/>
          <w:sz w:val="21"/>
          <w:szCs w:val="21"/>
          <w:highlight w:val="none"/>
        </w:rPr>
        <w:t>、参选公司及产品须资质、证照齐全且在有效期内，如确无注册证的产品，须提供官方说明材料；</w:t>
      </w:r>
    </w:p>
    <w:p w14:paraId="0D6F2CB0">
      <w:pPr>
        <w:spacing w:line="360" w:lineRule="auto"/>
        <w:ind w:firstLine="413" w:firstLineChars="196"/>
        <w:rPr>
          <w:rFonts w:hint="eastAsia" w:ascii="宋体" w:hAnsi="宋体" w:cs="宋体"/>
          <w:b/>
          <w:sz w:val="21"/>
          <w:szCs w:val="21"/>
          <w:highlight w:val="none"/>
        </w:rPr>
      </w:pPr>
      <w:r>
        <w:rPr>
          <w:rFonts w:ascii="宋体" w:hAnsi="宋体" w:cs="宋体"/>
          <w:b/>
          <w:sz w:val="21"/>
          <w:szCs w:val="21"/>
          <w:highlight w:val="none"/>
        </w:rPr>
        <w:t>5</w:t>
      </w:r>
      <w:r>
        <w:rPr>
          <w:rFonts w:hint="eastAsia" w:ascii="宋体" w:hAnsi="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082FCF6F">
      <w:pPr>
        <w:spacing w:line="360" w:lineRule="auto"/>
        <w:ind w:firstLine="413" w:firstLineChars="196"/>
        <w:rPr>
          <w:rFonts w:hint="eastAsia" w:ascii="宋体" w:hAnsi="宋体" w:cs="宋体"/>
          <w:b/>
          <w:sz w:val="21"/>
          <w:szCs w:val="21"/>
          <w:highlight w:val="none"/>
        </w:rPr>
      </w:pPr>
      <w:r>
        <w:rPr>
          <w:rFonts w:ascii="宋体" w:hAnsi="宋体" w:cs="宋体"/>
          <w:b/>
          <w:sz w:val="21"/>
          <w:szCs w:val="21"/>
          <w:highlight w:val="none"/>
        </w:rPr>
        <w:t>6</w:t>
      </w:r>
      <w:r>
        <w:rPr>
          <w:rFonts w:hint="eastAsia" w:ascii="宋体" w:hAnsi="宋体" w:cs="宋体"/>
          <w:b/>
          <w:sz w:val="21"/>
          <w:szCs w:val="21"/>
          <w:highlight w:val="none"/>
        </w:rPr>
        <w:t>、</w:t>
      </w:r>
      <w:r>
        <w:rPr>
          <w:rFonts w:hint="eastAsia" w:ascii="宋体" w:hAnsi="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cs="宋体"/>
          <w:b/>
          <w:sz w:val="21"/>
          <w:szCs w:val="21"/>
          <w:highlight w:val="none"/>
        </w:rPr>
        <w:t>；</w:t>
      </w:r>
    </w:p>
    <w:p w14:paraId="4B2BB665">
      <w:pPr>
        <w:spacing w:line="360" w:lineRule="auto"/>
        <w:ind w:firstLine="413" w:firstLineChars="196"/>
        <w:rPr>
          <w:rFonts w:hint="eastAsia" w:ascii="宋体" w:hAnsi="宋体" w:cs="宋体"/>
          <w:b/>
          <w:sz w:val="21"/>
          <w:szCs w:val="21"/>
          <w:highlight w:val="none"/>
        </w:rPr>
      </w:pPr>
      <w:r>
        <w:rPr>
          <w:rFonts w:ascii="宋体" w:hAnsi="宋体" w:cs="宋体"/>
          <w:b/>
          <w:sz w:val="21"/>
          <w:szCs w:val="21"/>
          <w:highlight w:val="none"/>
        </w:rPr>
        <w:t>7</w:t>
      </w:r>
      <w:r>
        <w:rPr>
          <w:rFonts w:hint="eastAsia" w:ascii="宋体" w:hAnsi="宋体" w:cs="宋体"/>
          <w:b/>
          <w:sz w:val="21"/>
          <w:szCs w:val="21"/>
          <w:highlight w:val="none"/>
        </w:rPr>
        <w:t>、根据医保政策，可单独收费医用耗材请提供安徽医保局下发的27位医保编码，并按编码进行报价；</w:t>
      </w:r>
    </w:p>
    <w:p w14:paraId="4B9D8A1D">
      <w:pPr>
        <w:wordWrap w:val="0"/>
        <w:spacing w:line="360" w:lineRule="auto"/>
        <w:ind w:firstLine="422" w:firstLineChars="200"/>
        <w:jc w:val="left"/>
        <w:rPr>
          <w:rFonts w:hint="eastAsia" w:ascii="宋体" w:hAnsi="宋体" w:cs="宋体"/>
          <w:b/>
          <w:sz w:val="21"/>
          <w:szCs w:val="21"/>
          <w:highlight w:val="none"/>
        </w:rPr>
      </w:pPr>
      <w:r>
        <w:rPr>
          <w:rFonts w:ascii="宋体" w:hAnsi="宋体" w:cs="宋体"/>
          <w:b/>
          <w:sz w:val="21"/>
          <w:szCs w:val="21"/>
          <w:highlight w:val="none"/>
        </w:rPr>
        <w:t>8</w:t>
      </w:r>
      <w:r>
        <w:rPr>
          <w:rFonts w:hint="eastAsia" w:ascii="宋体" w:hAnsi="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3C3AC21D">
      <w:pPr>
        <w:wordWrap w:val="0"/>
        <w:spacing w:line="360" w:lineRule="auto"/>
        <w:ind w:firstLine="422" w:firstLineChars="200"/>
        <w:jc w:val="left"/>
        <w:rPr>
          <w:rFonts w:hint="eastAsia" w:ascii="宋体" w:hAnsi="宋体" w:cs="宋体"/>
          <w:b/>
          <w:sz w:val="21"/>
          <w:szCs w:val="21"/>
          <w:highlight w:val="none"/>
        </w:rPr>
      </w:pPr>
      <w:r>
        <w:rPr>
          <w:rFonts w:ascii="宋体" w:hAnsi="宋体" w:cs="宋体"/>
          <w:b/>
          <w:sz w:val="21"/>
          <w:szCs w:val="21"/>
          <w:highlight w:val="none"/>
        </w:rPr>
        <w:t>9</w:t>
      </w:r>
      <w:r>
        <w:rPr>
          <w:rFonts w:hint="eastAsia" w:ascii="宋体" w:hAnsi="宋体" w:cs="宋体"/>
          <w:b/>
          <w:sz w:val="21"/>
          <w:szCs w:val="21"/>
          <w:highlight w:val="none"/>
        </w:rPr>
        <w:t>、医用耗材及配套使用的工具按医院规定需要消毒的，其相关费用由参选人自行承担。</w:t>
      </w:r>
    </w:p>
    <w:p w14:paraId="1AB7ACF9">
      <w:pPr>
        <w:wordWrap w:val="0"/>
        <w:spacing w:line="360" w:lineRule="auto"/>
        <w:ind w:firstLine="422" w:firstLineChars="200"/>
        <w:jc w:val="left"/>
        <w:rPr>
          <w:rFonts w:hint="eastAsia" w:ascii="宋体" w:hAnsi="宋体" w:cs="宋体"/>
          <w:b/>
          <w:sz w:val="21"/>
          <w:szCs w:val="21"/>
          <w:highlight w:val="none"/>
        </w:rPr>
      </w:pPr>
      <w:r>
        <w:rPr>
          <w:rFonts w:ascii="宋体" w:hAnsi="宋体" w:cs="宋体"/>
          <w:b/>
          <w:sz w:val="21"/>
          <w:szCs w:val="21"/>
          <w:highlight w:val="none"/>
        </w:rPr>
        <w:t>10</w:t>
      </w:r>
      <w:r>
        <w:rPr>
          <w:rFonts w:hint="eastAsia" w:ascii="宋体" w:hAnsi="宋体" w:cs="宋体"/>
          <w:b/>
          <w:sz w:val="21"/>
          <w:szCs w:val="21"/>
          <w:highlight w:val="none"/>
        </w:rPr>
        <w:t>、检验试剂项目和需配套检验试剂使用的检验设备项目，均须免费提供同品牌或第三方符合溯源要求的质控品。</w:t>
      </w:r>
    </w:p>
    <w:p w14:paraId="6B8E0C45">
      <w:pPr>
        <w:wordWrap w:val="0"/>
        <w:spacing w:line="360" w:lineRule="auto"/>
        <w:ind w:firstLine="422" w:firstLineChars="200"/>
        <w:jc w:val="left"/>
        <w:rPr>
          <w:rFonts w:hint="eastAsia" w:ascii="宋体" w:hAnsi="宋体" w:cs="宋体"/>
          <w:b/>
          <w:sz w:val="21"/>
          <w:szCs w:val="21"/>
          <w:highlight w:val="none"/>
        </w:rPr>
      </w:pPr>
      <w:r>
        <w:rPr>
          <w:rFonts w:ascii="宋体" w:hAnsi="宋体" w:cs="宋体"/>
          <w:b/>
          <w:sz w:val="21"/>
          <w:szCs w:val="21"/>
          <w:highlight w:val="none"/>
        </w:rPr>
        <w:t>11</w:t>
      </w:r>
      <w:r>
        <w:rPr>
          <w:rFonts w:hint="eastAsia" w:ascii="宋体" w:hAnsi="宋体" w:cs="宋体"/>
          <w:b/>
          <w:sz w:val="21"/>
          <w:szCs w:val="21"/>
          <w:highlight w:val="none"/>
        </w:rPr>
        <w:t>、参选人需无条件接受因国家及安徽省相关政策（如医用耗材带量采购等）对比选结果带来的变动，参选人不得提出异议。</w:t>
      </w:r>
    </w:p>
    <w:p w14:paraId="7785DB4C">
      <w:pPr>
        <w:wordWrap w:val="0"/>
        <w:spacing w:line="360" w:lineRule="auto"/>
        <w:ind w:firstLine="422" w:firstLineChars="200"/>
        <w:jc w:val="left"/>
        <w:rPr>
          <w:rFonts w:hint="eastAsia" w:ascii="宋体" w:hAnsi="宋体" w:cs="宋体"/>
          <w:b/>
          <w:sz w:val="21"/>
          <w:szCs w:val="21"/>
          <w:highlight w:val="none"/>
        </w:rPr>
      </w:pPr>
      <w:r>
        <w:rPr>
          <w:rFonts w:ascii="宋体" w:hAnsi="宋体" w:cs="宋体"/>
          <w:b/>
          <w:sz w:val="21"/>
          <w:szCs w:val="21"/>
          <w:highlight w:val="none"/>
        </w:rPr>
        <w:t>12</w:t>
      </w:r>
      <w:r>
        <w:rPr>
          <w:rFonts w:hint="eastAsia" w:ascii="宋体" w:hAnsi="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6CCD5BF5">
      <w:pPr>
        <w:wordWrap w:val="0"/>
        <w:spacing w:line="360" w:lineRule="auto"/>
        <w:ind w:firstLine="422" w:firstLineChars="200"/>
        <w:jc w:val="left"/>
        <w:rPr>
          <w:rFonts w:hint="eastAsia" w:ascii="宋体" w:hAnsi="宋体" w:cs="宋体"/>
          <w:b/>
          <w:sz w:val="21"/>
          <w:szCs w:val="21"/>
          <w:highlight w:val="none"/>
        </w:rPr>
      </w:pPr>
      <w:r>
        <w:rPr>
          <w:rFonts w:hint="eastAsia" w:ascii="宋体" w:hAnsi="宋体" w:cs="宋体"/>
          <w:b/>
          <w:sz w:val="21"/>
          <w:szCs w:val="21"/>
          <w:highlight w:val="none"/>
        </w:rPr>
        <w:t>13、按收费价格费率投标的检验项目，如后期收费价格下调，试剂供货价格须按中标费率同比例下浮。</w:t>
      </w:r>
    </w:p>
    <w:p w14:paraId="57148EE0">
      <w:pPr>
        <w:spacing w:line="360" w:lineRule="auto"/>
        <w:ind w:firstLine="411" w:firstLineChars="196"/>
        <w:rPr>
          <w:rFonts w:hint="eastAsia" w:ascii="宋体" w:hAnsi="宋体"/>
          <w:b/>
          <w:sz w:val="21"/>
          <w:szCs w:val="21"/>
          <w:highlight w:val="none"/>
        </w:rPr>
      </w:pPr>
      <w:r>
        <w:rPr>
          <w:rFonts w:hint="eastAsia" w:ascii="宋体" w:hAnsi="宋体" w:cs="宋体"/>
          <w:sz w:val="21"/>
          <w:szCs w:val="21"/>
          <w:highlight w:val="none"/>
        </w:rPr>
        <w:t>备注：请列出易损件，耗材及其他相关产品清单，并注明编码报价；耗材类产品必须带样品到开标/比选现场。</w:t>
      </w:r>
    </w:p>
    <w:p w14:paraId="53D2ABD1">
      <w:pPr>
        <w:wordWrap w:val="0"/>
        <w:spacing w:line="360" w:lineRule="auto"/>
        <w:jc w:val="left"/>
        <w:rPr>
          <w:rFonts w:hint="eastAsia" w:ascii="宋体" w:hAnsi="宋体"/>
          <w:b/>
          <w:szCs w:val="24"/>
          <w:highlight w:val="none"/>
        </w:rPr>
      </w:pPr>
      <w:r>
        <w:rPr>
          <w:rFonts w:hint="eastAsia" w:ascii="宋体" w:hAnsi="宋体"/>
          <w:b/>
          <w:szCs w:val="24"/>
          <w:highlight w:val="none"/>
        </w:rPr>
        <w:t>二、不满足技术要求中“★”参数（如有）的,属于重大偏离，会对最终评审产生较大影响。</w:t>
      </w:r>
    </w:p>
    <w:p w14:paraId="545996E5">
      <w:pPr>
        <w:wordWrap w:val="0"/>
        <w:spacing w:line="360" w:lineRule="auto"/>
        <w:jc w:val="left"/>
        <w:rPr>
          <w:rFonts w:hint="eastAsia" w:ascii="宋体" w:hAnsi="宋体"/>
          <w:szCs w:val="21"/>
          <w:highlight w:val="none"/>
        </w:rPr>
      </w:pPr>
      <w:r>
        <w:rPr>
          <w:rFonts w:hint="eastAsia" w:ascii="宋体" w:hAnsi="宋体"/>
          <w:b/>
          <w:szCs w:val="24"/>
          <w:highlight w:val="none"/>
        </w:rPr>
        <w:t>三、主要技术参数：</w:t>
      </w:r>
    </w:p>
    <w:p w14:paraId="7142108F">
      <w:pPr>
        <w:wordWrap w:val="0"/>
        <w:spacing w:line="360" w:lineRule="auto"/>
        <w:jc w:val="left"/>
        <w:rPr>
          <w:rFonts w:hint="eastAsia" w:ascii="宋体" w:hAnsi="宋体" w:eastAsia="宋体" w:cs="Times New Roman"/>
          <w:b w:val="0"/>
          <w:bCs/>
          <w:sz w:val="24"/>
          <w:szCs w:val="24"/>
          <w:highlight w:val="none"/>
        </w:rPr>
      </w:pPr>
    </w:p>
    <w:p w14:paraId="53D51A8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1.配置清单：主机一台、急停开关或脚踏开关一个、治疗手柄四套、仪器车一台、说明书一本。</w:t>
      </w:r>
    </w:p>
    <w:p w14:paraId="5D01787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2.主机输入电源：220V，50Hz；额定功率≤300VA。</w:t>
      </w:r>
    </w:p>
    <w:p w14:paraId="694B25E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3.主机控制屏：彩色液晶触摸屏，易于操作。</w:t>
      </w:r>
    </w:p>
    <w:p w14:paraId="7A2C957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4.时间显示：0-60分钟可调，步进1分钟，可显示剩余治疗时间。</w:t>
      </w:r>
    </w:p>
    <w:p w14:paraId="4F7AAED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5.治疗提示音：治疗开始和治疗结束有提示音，音量大小可调节。</w:t>
      </w:r>
    </w:p>
    <w:p w14:paraId="14C640B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★6.输出能量：1-9级可调。</w:t>
      </w:r>
    </w:p>
    <w:p w14:paraId="53EB8694">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7.运行环境温度范围：10℃～40℃。</w:t>
      </w:r>
    </w:p>
    <w:p w14:paraId="407C4E2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★8.工作频率：频率范围在2500Hz～1MHz，不少于两种不同的治疗频率。</w:t>
      </w:r>
    </w:p>
    <w:p w14:paraId="3238F02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9.输出形式：单级模式、双级或多级模式，不少于两种模式。</w:t>
      </w:r>
    </w:p>
    <w:p w14:paraId="37C0582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10.主机噪音：产品在工作状态下的噪音应不大于70dB(A)。</w:t>
      </w:r>
    </w:p>
    <w:p w14:paraId="57165AE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11.输出通道：不少于4种输出通道接口，每一种通道工作模式不同，包含有中性电极输出通道。</w:t>
      </w:r>
    </w:p>
    <w:p w14:paraId="355F3B0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12.治疗频率工作模式：单频率模式；多频率自动交替模式。</w:t>
      </w:r>
    </w:p>
    <w:p w14:paraId="16E7988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13.治疗模式（模块）功能：不少于三种治疗模式（模块），单独治疗模式（模块）不少于2种，交替治疗模式（模块）不少于1种。</w:t>
      </w:r>
    </w:p>
    <w:p w14:paraId="54C37780">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14.治疗模式选择方式：手动选择、自动识别切换功能。</w:t>
      </w:r>
    </w:p>
    <w:p w14:paraId="5A726B6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★15.工作模式：常规模式，工作频率≤0.5MHz，误差±10%；深度模式，工作频率≤0.3MHz,误差±10%。</w:t>
      </w:r>
    </w:p>
    <w:p w14:paraId="3D90BF8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16.脉冲模式（模块）：在其他模式（模块）下，脉冲频率为2Hz和4Hz。</w:t>
      </w:r>
    </w:p>
    <w:p w14:paraId="028DA08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17.多极（包括双极）工作模式：一种模式工作频率≤1MHz；另一种工作频率≤0.5MHz。</w:t>
      </w:r>
    </w:p>
    <w:p w14:paraId="6794B8F7">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18.存储读取功能：内置存储和读取功能，记录当前设置和读取储存设置。</w:t>
      </w:r>
    </w:p>
    <w:p w14:paraId="44CA93A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19.安全措施：具备手持式紧急开关或脚踏开关；有主电源开关，副电源开关。</w:t>
      </w:r>
    </w:p>
    <w:p w14:paraId="075CF19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20.治疗手柄支架：支架具备可存放不少于4个治疗手柄（治疗头）。</w:t>
      </w:r>
    </w:p>
    <w:p w14:paraId="07ED097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★21.包含有柱状凸点式电极，柱状凸点≥3个，治疗能量更集中。</w:t>
      </w:r>
    </w:p>
    <w:p w14:paraId="04CDB45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22.配套耗材及易损件统一报价</w:t>
      </w:r>
    </w:p>
    <w:p w14:paraId="4F1D0F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B26AC"/>
    <w:rsid w:val="1F2B2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2026-06-30T07:32:00Z</dcterms:created>
  <dc:creator>汪宪宜</dc:creator>
  <cp:lastModifiedBy>汪宪宜</cp:lastModifiedBy>
  <dcterms:modified xsi:type="dcterms:W3CDTF">2026-06-30T07:32:49Z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EFBCA47532C943318B8108D7A09FAA27_11</vt:lpwstr>
  </property>
  <property fmtid="{D5CDD505-2E9C-101B-9397-08002B2CF9AE}" pid="4" name="KSOTemplateDocerSaveRecord">
    <vt:lpwstr>eyJoZGlkIjoiZWUyOTQ1NDM2Zjc0YjU0MjZhMWI3YTAyMzgxNTM2MDQiLCJ1c2VySWQiOiI0NjEyMTI0ODEifQ==</vt:lpwstr>
  </property>
</Properties>
</file>