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C1D4D4">
      <w:pPr>
        <w:numPr>
          <w:numId w:val="0"/>
        </w:numPr>
        <w:spacing w:line="360" w:lineRule="auto"/>
        <w:jc w:val="center"/>
        <w:outlineLvl w:val="0"/>
        <w:rPr>
          <w:rFonts w:ascii="Times New Roman" w:hAnsi="Times New Roman" w:eastAsia="宋体" w:cs="Times New Roman"/>
          <w:b/>
          <w:sz w:val="32"/>
          <w:szCs w:val="32"/>
          <w:highlight w:val="none"/>
        </w:rPr>
      </w:pPr>
      <w:bookmarkStart w:id="1" w:name="_GoBack"/>
      <w:bookmarkEnd w:id="1"/>
      <w:bookmarkStart w:id="0" w:name="_Toc32076"/>
      <w:r>
        <w:rPr>
          <w:rFonts w:hint="eastAsia" w:ascii="Times New Roman" w:hAnsi="Times New Roman" w:eastAsia="宋体" w:cs="Times New Roman"/>
          <w:b/>
          <w:sz w:val="32"/>
          <w:szCs w:val="32"/>
          <w:highlight w:val="none"/>
        </w:rPr>
        <w:t>采购需求</w:t>
      </w:r>
      <w:bookmarkEnd w:id="0"/>
    </w:p>
    <w:p w14:paraId="6B9E1530">
      <w:pPr>
        <w:spacing w:line="360" w:lineRule="auto"/>
        <w:rPr>
          <w:rFonts w:ascii="宋体" w:hAnsi="宋体" w:eastAsia="宋体" w:cs="宋体"/>
          <w:b/>
          <w:color w:val="FF0000"/>
          <w:sz w:val="21"/>
          <w:szCs w:val="21"/>
          <w:highlight w:val="none"/>
        </w:rPr>
      </w:pPr>
      <w:r>
        <w:rPr>
          <w:rFonts w:hint="eastAsia" w:ascii="宋体" w:hAnsi="宋体" w:eastAsia="宋体" w:cs="宋体"/>
          <w:b/>
          <w:sz w:val="21"/>
          <w:szCs w:val="21"/>
          <w:highlight w:val="none"/>
        </w:rPr>
        <w:t>一、</w:t>
      </w:r>
      <w:r>
        <w:rPr>
          <w:rFonts w:hint="eastAsia" w:ascii="宋体" w:hAnsi="宋体" w:eastAsia="宋体" w:cs="宋体"/>
          <w:b/>
          <w:color w:val="FF0000"/>
          <w:sz w:val="21"/>
          <w:szCs w:val="21"/>
          <w:highlight w:val="none"/>
        </w:rPr>
        <w:t>要求：以下条款如参选人参与参选，视为参选人自动响应。</w:t>
      </w:r>
    </w:p>
    <w:p w14:paraId="3DB560A7">
      <w:pPr>
        <w:spacing w:line="360" w:lineRule="auto"/>
        <w:ind w:firstLine="413" w:firstLineChars="196"/>
        <w:rPr>
          <w:rFonts w:ascii="宋体" w:hAnsi="宋体" w:eastAsia="宋体" w:cs="宋体"/>
          <w:b/>
          <w:sz w:val="21"/>
          <w:szCs w:val="21"/>
          <w:highlight w:val="none"/>
        </w:rPr>
      </w:pPr>
      <w:r>
        <w:rPr>
          <w:rFonts w:hint="eastAsia" w:ascii="宋体" w:hAnsi="宋体" w:eastAsia="宋体" w:cs="宋体"/>
          <w:b/>
          <w:sz w:val="21"/>
          <w:szCs w:val="21"/>
          <w:highlight w:val="none"/>
        </w:rPr>
        <w:t>1、按照参选方案提供配置清单，标明品牌、型号、产地、数量等并分项报价；</w:t>
      </w:r>
    </w:p>
    <w:p w14:paraId="5767F68A">
      <w:pPr>
        <w:spacing w:line="360" w:lineRule="auto"/>
        <w:ind w:firstLine="413" w:firstLineChars="196"/>
        <w:rPr>
          <w:rFonts w:ascii="宋体" w:hAnsi="宋体" w:eastAsia="宋体" w:cs="宋体"/>
          <w:b/>
          <w:sz w:val="21"/>
          <w:szCs w:val="21"/>
          <w:highlight w:val="none"/>
        </w:rPr>
      </w:pPr>
      <w:r>
        <w:rPr>
          <w:rFonts w:hint="eastAsia" w:ascii="宋体" w:hAnsi="宋体" w:eastAsia="宋体" w:cs="宋体"/>
          <w:b/>
          <w:sz w:val="21"/>
          <w:szCs w:val="21"/>
          <w:highlight w:val="none"/>
        </w:rPr>
        <w:t>2、提供产品日常使用的所有配套专用耗材清单，确保产品正常使用。须标明品牌、型号、产地、规格、最小供货单位等并分项报价，报价不计入参选总价。在成交后如发现有漏报、瞒报的配套专用耗材，一律视为已包含在成交总价内，不得以赠送形式向采购人提供产品及服务。耗材供应期按照医院相关耗材管理规定执行；</w:t>
      </w:r>
    </w:p>
    <w:p w14:paraId="1F4C42AB">
      <w:pPr>
        <w:spacing w:line="360" w:lineRule="auto"/>
        <w:ind w:firstLine="413" w:firstLineChars="196"/>
        <w:rPr>
          <w:rFonts w:ascii="宋体" w:hAnsi="宋体" w:eastAsia="宋体" w:cs="宋体"/>
          <w:b/>
          <w:sz w:val="21"/>
          <w:szCs w:val="21"/>
          <w:highlight w:val="none"/>
        </w:rPr>
      </w:pPr>
      <w:r>
        <w:rPr>
          <w:rFonts w:hint="eastAsia" w:ascii="宋体" w:hAnsi="宋体" w:eastAsia="宋体" w:cs="宋体"/>
          <w:b/>
          <w:sz w:val="21"/>
          <w:szCs w:val="21"/>
          <w:highlight w:val="none"/>
        </w:rPr>
        <w:t>3、说明是否需要其他设备配套使用，请列出配套设备名称、数量等，如未说明一律视为已包含在参选总价内；</w:t>
      </w:r>
    </w:p>
    <w:p w14:paraId="55736FD8">
      <w:pPr>
        <w:spacing w:line="360" w:lineRule="auto"/>
        <w:ind w:firstLine="413" w:firstLineChars="196"/>
        <w:rPr>
          <w:rFonts w:ascii="宋体" w:hAnsi="宋体" w:eastAsia="宋体" w:cs="宋体"/>
          <w:b/>
          <w:sz w:val="21"/>
          <w:szCs w:val="21"/>
          <w:highlight w:val="none"/>
        </w:rPr>
      </w:pPr>
      <w:r>
        <w:rPr>
          <w:rFonts w:ascii="宋体" w:hAnsi="宋体" w:eastAsia="宋体" w:cs="宋体"/>
          <w:b/>
          <w:sz w:val="21"/>
          <w:szCs w:val="21"/>
          <w:highlight w:val="none"/>
        </w:rPr>
        <w:t>4</w:t>
      </w:r>
      <w:r>
        <w:rPr>
          <w:rFonts w:hint="eastAsia" w:ascii="宋体" w:hAnsi="宋体" w:eastAsia="宋体" w:cs="宋体"/>
          <w:b/>
          <w:sz w:val="21"/>
          <w:szCs w:val="21"/>
          <w:highlight w:val="none"/>
        </w:rPr>
        <w:t>、参选公司及产品须资质、证照齐全且在有效期内，如确无注册证的产品，须提供官方说明材料；</w:t>
      </w:r>
    </w:p>
    <w:p w14:paraId="5394FC5B">
      <w:pPr>
        <w:spacing w:line="360" w:lineRule="auto"/>
        <w:ind w:firstLine="413" w:firstLineChars="196"/>
        <w:rPr>
          <w:rFonts w:ascii="宋体" w:hAnsi="宋体" w:eastAsia="宋体" w:cs="宋体"/>
          <w:b/>
          <w:sz w:val="21"/>
          <w:szCs w:val="21"/>
          <w:highlight w:val="none"/>
        </w:rPr>
      </w:pPr>
      <w:r>
        <w:rPr>
          <w:rFonts w:ascii="宋体" w:hAnsi="宋体" w:eastAsia="宋体" w:cs="宋体"/>
          <w:b/>
          <w:sz w:val="21"/>
          <w:szCs w:val="21"/>
          <w:highlight w:val="none"/>
        </w:rPr>
        <w:t>5</w:t>
      </w:r>
      <w:r>
        <w:rPr>
          <w:rFonts w:hint="eastAsia" w:ascii="宋体" w:hAnsi="宋体" w:eastAsia="宋体" w:cs="宋体"/>
          <w:b/>
          <w:sz w:val="21"/>
          <w:szCs w:val="21"/>
          <w:highlight w:val="none"/>
        </w:rPr>
        <w:t>、若属安徽省医用耗材政策管理范围内产品，需满足相关要求（如“集采”、“两票制”等）；若为集采管理范围内产品，需在集采目录中，同类产品原则上选择限价产品，同类无替代选择备案产品；</w:t>
      </w:r>
    </w:p>
    <w:p w14:paraId="30AFBA70">
      <w:pPr>
        <w:spacing w:line="360" w:lineRule="auto"/>
        <w:ind w:firstLine="413" w:firstLineChars="196"/>
        <w:rPr>
          <w:rFonts w:ascii="宋体" w:hAnsi="宋体" w:eastAsia="宋体" w:cs="宋体"/>
          <w:b/>
          <w:sz w:val="21"/>
          <w:szCs w:val="21"/>
          <w:highlight w:val="none"/>
        </w:rPr>
      </w:pPr>
      <w:r>
        <w:rPr>
          <w:rFonts w:ascii="宋体" w:hAnsi="宋体" w:eastAsia="宋体" w:cs="宋体"/>
          <w:b/>
          <w:sz w:val="21"/>
          <w:szCs w:val="21"/>
          <w:highlight w:val="none"/>
        </w:rPr>
        <w:t>6</w:t>
      </w:r>
      <w:r>
        <w:rPr>
          <w:rFonts w:hint="eastAsia" w:ascii="宋体" w:hAnsi="宋体" w:eastAsia="宋体" w:cs="宋体"/>
          <w:b/>
          <w:sz w:val="21"/>
          <w:szCs w:val="21"/>
          <w:highlight w:val="none"/>
        </w:rPr>
        <w:t>、</w:t>
      </w:r>
      <w:r>
        <w:rPr>
          <w:rFonts w:hint="eastAsia" w:ascii="宋体" w:hAnsi="宋体" w:eastAsia="宋体" w:cs="宋体"/>
          <w:b/>
          <w:bCs/>
          <w:sz w:val="21"/>
          <w:szCs w:val="21"/>
          <w:highlight w:val="none"/>
        </w:rPr>
        <w:t>成交人须将供应的医用物资包括但不限于医用耗材、检验试剂、后勤物资等，纳入采购人医用物资SPD智慧物流管理模式进行一元化管理，与采购人SPD服务商签订服务协议并承担相关的服务费。其中医用耗材、试剂的具体服务费率由成交人与SPD服务商协商，服务费率不高于医院与SPD服务商约定的收费标准（现行服务费率为供货金额的1%；如后期采购人与SPD服务商约定的服务费率发生变动，以采购人与SPD服务商签订合同约定的服务费率为准）；后勤物资等其他物资，成交人无需承担服务费。如成交人不予配合，采购人有权终止与成交人的医用物资供应关系或选择备选医用物资成交人</w:t>
      </w:r>
      <w:r>
        <w:rPr>
          <w:rFonts w:hint="eastAsia" w:ascii="宋体" w:hAnsi="宋体" w:eastAsia="宋体" w:cs="宋体"/>
          <w:b/>
          <w:sz w:val="21"/>
          <w:szCs w:val="21"/>
          <w:highlight w:val="none"/>
        </w:rPr>
        <w:t>；</w:t>
      </w:r>
    </w:p>
    <w:p w14:paraId="0881E23C">
      <w:pPr>
        <w:spacing w:line="360" w:lineRule="auto"/>
        <w:ind w:firstLine="413" w:firstLineChars="196"/>
        <w:rPr>
          <w:rFonts w:ascii="宋体" w:hAnsi="宋体" w:eastAsia="宋体" w:cs="宋体"/>
          <w:b/>
          <w:sz w:val="21"/>
          <w:szCs w:val="21"/>
          <w:highlight w:val="none"/>
        </w:rPr>
      </w:pPr>
      <w:r>
        <w:rPr>
          <w:rFonts w:ascii="宋体" w:hAnsi="宋体" w:eastAsia="宋体" w:cs="宋体"/>
          <w:b/>
          <w:sz w:val="21"/>
          <w:szCs w:val="21"/>
          <w:highlight w:val="none"/>
        </w:rPr>
        <w:t>7</w:t>
      </w:r>
      <w:r>
        <w:rPr>
          <w:rFonts w:hint="eastAsia" w:ascii="宋体" w:hAnsi="宋体" w:eastAsia="宋体" w:cs="宋体"/>
          <w:b/>
          <w:sz w:val="21"/>
          <w:szCs w:val="21"/>
          <w:highlight w:val="none"/>
        </w:rPr>
        <w:t>、根据医保政策，可单独收费医用耗材请提供安徽医保局下发的27位医保编码，并按编码进行报价；</w:t>
      </w:r>
    </w:p>
    <w:p w14:paraId="5AB1BBB3">
      <w:pPr>
        <w:wordWrap w:val="0"/>
        <w:spacing w:line="360" w:lineRule="auto"/>
        <w:ind w:firstLine="422" w:firstLineChars="200"/>
        <w:jc w:val="left"/>
        <w:rPr>
          <w:rFonts w:ascii="宋体" w:hAnsi="宋体" w:eastAsia="宋体" w:cs="宋体"/>
          <w:b/>
          <w:sz w:val="21"/>
          <w:szCs w:val="21"/>
          <w:highlight w:val="none"/>
        </w:rPr>
      </w:pPr>
      <w:r>
        <w:rPr>
          <w:rFonts w:ascii="宋体" w:hAnsi="宋体" w:eastAsia="宋体" w:cs="宋体"/>
          <w:b/>
          <w:sz w:val="21"/>
          <w:szCs w:val="21"/>
          <w:highlight w:val="none"/>
        </w:rPr>
        <w:t>8</w:t>
      </w:r>
      <w:r>
        <w:rPr>
          <w:rFonts w:hint="eastAsia" w:ascii="宋体" w:hAnsi="宋体" w:eastAsia="宋体" w:cs="宋体"/>
          <w:b/>
          <w:sz w:val="21"/>
          <w:szCs w:val="21"/>
          <w:highlight w:val="none"/>
        </w:rPr>
        <w:t>、需长期供应的医用耗材及试剂产品，成交后合同期内不得变更配送公司，否则取消该品牌成交资格。参选时生产厂家须出具长期授权函，并提供合同期内不变更配送公司的承诺函，如不提供的评审委员会有权按无效参选处理。</w:t>
      </w:r>
    </w:p>
    <w:p w14:paraId="44974358">
      <w:pPr>
        <w:wordWrap w:val="0"/>
        <w:spacing w:line="360" w:lineRule="auto"/>
        <w:ind w:firstLine="422" w:firstLineChars="200"/>
        <w:jc w:val="left"/>
        <w:rPr>
          <w:rFonts w:ascii="宋体" w:hAnsi="宋体" w:eastAsia="宋体" w:cs="宋体"/>
          <w:b/>
          <w:sz w:val="21"/>
          <w:szCs w:val="21"/>
          <w:highlight w:val="none"/>
        </w:rPr>
      </w:pPr>
      <w:r>
        <w:rPr>
          <w:rFonts w:ascii="宋体" w:hAnsi="宋体" w:eastAsia="宋体" w:cs="宋体"/>
          <w:b/>
          <w:sz w:val="21"/>
          <w:szCs w:val="21"/>
          <w:highlight w:val="none"/>
        </w:rPr>
        <w:t>9</w:t>
      </w:r>
      <w:r>
        <w:rPr>
          <w:rFonts w:hint="eastAsia" w:ascii="宋体" w:hAnsi="宋体" w:eastAsia="宋体" w:cs="宋体"/>
          <w:b/>
          <w:sz w:val="21"/>
          <w:szCs w:val="21"/>
          <w:highlight w:val="none"/>
        </w:rPr>
        <w:t>、医用耗材及配套使用的工具按医院规定需要消毒的，其相关费用由参选人自行承担。</w:t>
      </w:r>
    </w:p>
    <w:p w14:paraId="04F340C7">
      <w:pPr>
        <w:wordWrap w:val="0"/>
        <w:spacing w:line="360" w:lineRule="auto"/>
        <w:ind w:firstLine="422" w:firstLineChars="200"/>
        <w:jc w:val="left"/>
        <w:rPr>
          <w:rFonts w:ascii="宋体" w:hAnsi="宋体" w:eastAsia="宋体" w:cs="宋体"/>
          <w:b/>
          <w:sz w:val="21"/>
          <w:szCs w:val="21"/>
          <w:highlight w:val="none"/>
        </w:rPr>
      </w:pPr>
      <w:r>
        <w:rPr>
          <w:rFonts w:ascii="宋体" w:hAnsi="宋体" w:eastAsia="宋体" w:cs="宋体"/>
          <w:b/>
          <w:sz w:val="21"/>
          <w:szCs w:val="21"/>
          <w:highlight w:val="none"/>
        </w:rPr>
        <w:t>10</w:t>
      </w:r>
      <w:r>
        <w:rPr>
          <w:rFonts w:hint="eastAsia" w:ascii="宋体" w:hAnsi="宋体" w:eastAsia="宋体" w:cs="宋体"/>
          <w:b/>
          <w:sz w:val="21"/>
          <w:szCs w:val="21"/>
          <w:highlight w:val="none"/>
        </w:rPr>
        <w:t>、检验试剂项目和需配套检验试剂使用的检验设备项目，均须免费提供同品牌或第三方符合溯源要求的质控品。</w:t>
      </w:r>
    </w:p>
    <w:p w14:paraId="3FAEF1FD">
      <w:pPr>
        <w:wordWrap w:val="0"/>
        <w:spacing w:line="360" w:lineRule="auto"/>
        <w:ind w:firstLine="422" w:firstLineChars="200"/>
        <w:jc w:val="left"/>
        <w:rPr>
          <w:rFonts w:ascii="宋体" w:hAnsi="宋体" w:eastAsia="宋体" w:cs="宋体"/>
          <w:b/>
          <w:sz w:val="21"/>
          <w:szCs w:val="21"/>
          <w:highlight w:val="none"/>
        </w:rPr>
      </w:pPr>
      <w:r>
        <w:rPr>
          <w:rFonts w:ascii="宋体" w:hAnsi="宋体" w:eastAsia="宋体" w:cs="宋体"/>
          <w:b/>
          <w:sz w:val="21"/>
          <w:szCs w:val="21"/>
          <w:highlight w:val="none"/>
        </w:rPr>
        <w:t>11</w:t>
      </w:r>
      <w:r>
        <w:rPr>
          <w:rFonts w:hint="eastAsia" w:ascii="宋体" w:hAnsi="宋体" w:eastAsia="宋体" w:cs="宋体"/>
          <w:b/>
          <w:sz w:val="21"/>
          <w:szCs w:val="21"/>
          <w:highlight w:val="none"/>
        </w:rPr>
        <w:t>、参选人需无条件接受因国家及安徽省相关政策（如医用耗材带量采购等）对比选结果带来的变动，参选人不得提出异议。</w:t>
      </w:r>
    </w:p>
    <w:p w14:paraId="55651956">
      <w:pPr>
        <w:wordWrap w:val="0"/>
        <w:spacing w:line="360" w:lineRule="auto"/>
        <w:ind w:firstLine="422" w:firstLineChars="200"/>
        <w:jc w:val="left"/>
        <w:rPr>
          <w:rFonts w:ascii="宋体" w:hAnsi="宋体" w:eastAsia="宋体" w:cs="宋体"/>
          <w:b/>
          <w:sz w:val="21"/>
          <w:szCs w:val="21"/>
          <w:highlight w:val="none"/>
        </w:rPr>
      </w:pPr>
      <w:r>
        <w:rPr>
          <w:rFonts w:ascii="宋体" w:hAnsi="宋体" w:eastAsia="宋体" w:cs="宋体"/>
          <w:b/>
          <w:sz w:val="21"/>
          <w:szCs w:val="21"/>
          <w:highlight w:val="none"/>
        </w:rPr>
        <w:t>12</w:t>
      </w:r>
      <w:r>
        <w:rPr>
          <w:rFonts w:hint="eastAsia" w:ascii="宋体" w:hAnsi="宋体" w:eastAsia="宋体" w:cs="宋体"/>
          <w:b/>
          <w:sz w:val="21"/>
          <w:szCs w:val="21"/>
          <w:highlight w:val="none"/>
        </w:rPr>
        <w:t>、参选人须保证此次参选产品，参选价格不得高于安徽省医药集中采购平台交易目录最高限价；后期安徽省医药集中采购平台交易目录最高限价如有降价，成交产品的成交人应于7个工作日内书面通知采购人启动协商程序。</w:t>
      </w:r>
    </w:p>
    <w:p w14:paraId="74FF783B">
      <w:pPr>
        <w:wordWrap w:val="0"/>
        <w:spacing w:line="360" w:lineRule="auto"/>
        <w:ind w:firstLine="422" w:firstLineChars="200"/>
        <w:jc w:val="left"/>
        <w:rPr>
          <w:rFonts w:ascii="宋体" w:hAnsi="宋体" w:eastAsia="宋体" w:cs="宋体"/>
          <w:b/>
          <w:sz w:val="21"/>
          <w:szCs w:val="21"/>
          <w:highlight w:val="none"/>
        </w:rPr>
      </w:pPr>
      <w:r>
        <w:rPr>
          <w:rFonts w:hint="eastAsia" w:ascii="宋体" w:hAnsi="宋体" w:eastAsia="宋体" w:cs="宋体"/>
          <w:b/>
          <w:sz w:val="21"/>
          <w:szCs w:val="21"/>
          <w:highlight w:val="none"/>
        </w:rPr>
        <w:t>1</w:t>
      </w:r>
      <w:r>
        <w:rPr>
          <w:rFonts w:ascii="宋体" w:hAnsi="宋体" w:eastAsia="宋体" w:cs="宋体"/>
          <w:b/>
          <w:sz w:val="21"/>
          <w:szCs w:val="21"/>
          <w:highlight w:val="none"/>
        </w:rPr>
        <w:t>3</w:t>
      </w:r>
      <w:r>
        <w:rPr>
          <w:rFonts w:hint="eastAsia" w:ascii="宋体" w:hAnsi="宋体" w:eastAsia="宋体" w:cs="宋体"/>
          <w:b/>
          <w:sz w:val="21"/>
          <w:szCs w:val="21"/>
          <w:highlight w:val="none"/>
        </w:rPr>
        <w:t>、按收费价格费率投标的检验项目，如后期收费价格下调，试剂供货价格须按中标费率同比例下浮。</w:t>
      </w:r>
    </w:p>
    <w:p w14:paraId="72694880">
      <w:pPr>
        <w:spacing w:line="360" w:lineRule="auto"/>
        <w:ind w:firstLine="411" w:firstLineChars="196"/>
        <w:rPr>
          <w:rFonts w:ascii="宋体" w:hAnsi="宋体" w:eastAsia="宋体" w:cs="Times New Roman"/>
          <w:b/>
          <w:sz w:val="21"/>
          <w:szCs w:val="21"/>
          <w:highlight w:val="none"/>
        </w:rPr>
      </w:pPr>
      <w:r>
        <w:rPr>
          <w:rFonts w:hint="eastAsia" w:ascii="宋体" w:hAnsi="宋体" w:eastAsia="宋体" w:cs="宋体"/>
          <w:sz w:val="21"/>
          <w:szCs w:val="21"/>
          <w:highlight w:val="none"/>
        </w:rPr>
        <w:t>备注：请列出易损件，耗材及其他相关产品清单，并注明编码报价；耗材类产品必须带样品到开标/比选现场。</w:t>
      </w:r>
    </w:p>
    <w:p w14:paraId="3E8031A3">
      <w:pPr>
        <w:wordWrap w:val="0"/>
        <w:spacing w:line="360" w:lineRule="auto"/>
        <w:jc w:val="left"/>
        <w:rPr>
          <w:rFonts w:ascii="宋体" w:hAnsi="宋体" w:eastAsia="宋体" w:cs="Times New Roman"/>
          <w:b/>
          <w:szCs w:val="24"/>
          <w:highlight w:val="none"/>
        </w:rPr>
      </w:pPr>
      <w:r>
        <w:rPr>
          <w:rFonts w:hint="eastAsia" w:ascii="宋体" w:hAnsi="宋体" w:eastAsia="宋体" w:cs="Times New Roman"/>
          <w:b/>
          <w:szCs w:val="24"/>
          <w:highlight w:val="none"/>
        </w:rPr>
        <w:t>二、不满足技术要求中“★”参数（如有）的,属于重大偏离，会对最终评审产生较大影响。</w:t>
      </w:r>
    </w:p>
    <w:p w14:paraId="4BC213DE">
      <w:pPr>
        <w:wordWrap w:val="0"/>
        <w:spacing w:line="360" w:lineRule="auto"/>
        <w:jc w:val="left"/>
        <w:rPr>
          <w:rFonts w:ascii="宋体" w:hAnsi="宋体" w:eastAsia="宋体" w:cs="Times New Roman"/>
          <w:b/>
          <w:szCs w:val="24"/>
          <w:highlight w:val="none"/>
        </w:rPr>
      </w:pPr>
      <w:r>
        <w:rPr>
          <w:rFonts w:hint="eastAsia" w:ascii="宋体" w:hAnsi="宋体" w:eastAsia="宋体" w:cs="Times New Roman"/>
          <w:b/>
          <w:szCs w:val="24"/>
          <w:highlight w:val="none"/>
        </w:rPr>
        <w:t>三、主要技术参数：</w:t>
      </w:r>
    </w:p>
    <w:p w14:paraId="0DB190B8">
      <w:pPr>
        <w:wordWrap w:val="0"/>
        <w:spacing w:line="360" w:lineRule="auto"/>
        <w:jc w:val="left"/>
        <w:rPr>
          <w:rFonts w:ascii="宋体" w:hAnsi="宋体" w:eastAsia="宋体" w:cs="Times New Roman"/>
          <w:b/>
          <w:szCs w:val="24"/>
          <w:highlight w:val="none"/>
        </w:rPr>
      </w:pPr>
    </w:p>
    <w:p w14:paraId="2B116DCF">
      <w:pPr>
        <w:wordWrap w:val="0"/>
        <w:spacing w:line="360" w:lineRule="auto"/>
        <w:jc w:val="left"/>
        <w:rPr>
          <w:rFonts w:ascii="宋体" w:hAnsi="宋体" w:eastAsia="宋体" w:cs="Times New Roman"/>
          <w:b/>
          <w:szCs w:val="24"/>
          <w:highlight w:val="none"/>
        </w:rPr>
      </w:pPr>
    </w:p>
    <w:tbl>
      <w:tblPr>
        <w:tblStyle w:val="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759"/>
        <w:gridCol w:w="1273"/>
        <w:gridCol w:w="2490"/>
      </w:tblGrid>
      <w:tr w14:paraId="7C26C3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000" w:type="pct"/>
            <w:gridSpan w:val="3"/>
            <w:tcBorders>
              <w:top w:val="single" w:color="000000" w:sz="8" w:space="0"/>
              <w:left w:val="single" w:color="000000" w:sz="8" w:space="0"/>
              <w:bottom w:val="single" w:color="000000" w:sz="8" w:space="0"/>
              <w:right w:val="single" w:color="000000" w:sz="8" w:space="0"/>
            </w:tcBorders>
            <w:shd w:val="clear" w:color="auto" w:fill="auto"/>
            <w:vAlign w:val="center"/>
          </w:tcPr>
          <w:p w14:paraId="5E74FB4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教学模型一批</w:t>
            </w:r>
          </w:p>
        </w:tc>
      </w:tr>
      <w:tr w14:paraId="651D63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79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3F88B5D">
            <w:pPr>
              <w:keepNext w:val="0"/>
              <w:keepLines w:val="0"/>
              <w:widowControl/>
              <w:suppressLineNumbers w:val="0"/>
              <w:jc w:val="both"/>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1</w:t>
            </w:r>
            <w:r>
              <w:rPr>
                <w:rFonts w:hint="eastAsia" w:ascii="宋体" w:hAnsi="宋体" w:eastAsia="宋体" w:cs="宋体"/>
                <w:color w:val="000000"/>
                <w:sz w:val="24"/>
                <w:szCs w:val="24"/>
                <w:u w:val="none"/>
                <w:lang w:val="en-US" w:eastAsia="zh-CN" w:bidi="ar"/>
              </w:rPr>
              <w:t>、前臂骨折处理训练模型</w:t>
            </w:r>
          </w:p>
        </w:tc>
        <w:tc>
          <w:tcPr>
            <w:tcW w:w="747" w:type="pct"/>
            <w:tcBorders>
              <w:top w:val="single" w:color="000000" w:sz="8" w:space="0"/>
              <w:left w:val="nil"/>
              <w:bottom w:val="single" w:color="000000" w:sz="8" w:space="0"/>
              <w:right w:val="single" w:color="000000" w:sz="8" w:space="0"/>
            </w:tcBorders>
            <w:shd w:val="clear" w:color="auto" w:fill="auto"/>
            <w:noWrap/>
            <w:vAlign w:val="center"/>
          </w:tcPr>
          <w:p w14:paraId="164AA3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460" w:type="pct"/>
            <w:tcBorders>
              <w:top w:val="single" w:color="000000" w:sz="8" w:space="0"/>
              <w:left w:val="nil"/>
              <w:bottom w:val="single" w:color="000000" w:sz="8" w:space="0"/>
              <w:right w:val="single" w:color="000000" w:sz="8" w:space="0"/>
            </w:tcBorders>
            <w:shd w:val="clear" w:color="auto" w:fill="auto"/>
            <w:noWrap/>
            <w:vAlign w:val="center"/>
          </w:tcPr>
          <w:p w14:paraId="51F51E0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r>
      <w:tr w14:paraId="17DB1B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792" w:type="pct"/>
            <w:tcBorders>
              <w:top w:val="nil"/>
              <w:left w:val="single" w:color="000000" w:sz="8" w:space="0"/>
              <w:bottom w:val="single" w:color="000000" w:sz="8" w:space="0"/>
              <w:right w:val="single" w:color="000000" w:sz="8" w:space="0"/>
            </w:tcBorders>
            <w:shd w:val="clear" w:color="auto" w:fill="auto"/>
            <w:vAlign w:val="center"/>
          </w:tcPr>
          <w:p w14:paraId="558920AF">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r>
              <w:rPr>
                <w:rFonts w:hint="eastAsia" w:ascii="宋体" w:hAnsi="宋体" w:eastAsia="宋体" w:cs="宋体"/>
                <w:color w:val="000000"/>
                <w:sz w:val="24"/>
                <w:szCs w:val="24"/>
                <w:u w:val="none"/>
                <w:lang w:val="en-US" w:eastAsia="zh-CN" w:bidi="ar"/>
              </w:rPr>
              <w:t>、外科多技能训练器</w:t>
            </w:r>
          </w:p>
        </w:tc>
        <w:tc>
          <w:tcPr>
            <w:tcW w:w="747" w:type="pct"/>
            <w:tcBorders>
              <w:top w:val="nil"/>
              <w:left w:val="nil"/>
              <w:bottom w:val="single" w:color="000000" w:sz="8" w:space="0"/>
              <w:right w:val="single" w:color="000000" w:sz="8" w:space="0"/>
            </w:tcBorders>
            <w:shd w:val="clear" w:color="auto" w:fill="auto"/>
            <w:vAlign w:val="center"/>
          </w:tcPr>
          <w:p w14:paraId="4424C35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460" w:type="pct"/>
            <w:tcBorders>
              <w:top w:val="nil"/>
              <w:left w:val="nil"/>
              <w:bottom w:val="single" w:color="000000" w:sz="8" w:space="0"/>
              <w:right w:val="single" w:color="000000" w:sz="8" w:space="0"/>
            </w:tcBorders>
            <w:shd w:val="clear" w:color="auto" w:fill="auto"/>
            <w:noWrap/>
            <w:vAlign w:val="center"/>
          </w:tcPr>
          <w:p w14:paraId="31143C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r>
      <w:tr w14:paraId="505937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792" w:type="pct"/>
            <w:tcBorders>
              <w:top w:val="nil"/>
              <w:left w:val="single" w:color="000000" w:sz="8" w:space="0"/>
              <w:bottom w:val="single" w:color="000000" w:sz="8" w:space="0"/>
              <w:right w:val="single" w:color="000000" w:sz="8" w:space="0"/>
            </w:tcBorders>
            <w:shd w:val="clear" w:color="auto" w:fill="auto"/>
            <w:vAlign w:val="center"/>
          </w:tcPr>
          <w:p w14:paraId="132A1FC7">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r>
              <w:rPr>
                <w:rFonts w:hint="eastAsia" w:ascii="宋体" w:hAnsi="宋体" w:eastAsia="宋体" w:cs="宋体"/>
                <w:color w:val="000000"/>
                <w:sz w:val="24"/>
                <w:szCs w:val="24"/>
                <w:u w:val="none"/>
                <w:lang w:val="en-US" w:eastAsia="zh-CN" w:bidi="ar"/>
              </w:rPr>
              <w:t>、环甲膜穿刺和切开训练仿真模型</w:t>
            </w:r>
          </w:p>
        </w:tc>
        <w:tc>
          <w:tcPr>
            <w:tcW w:w="747" w:type="pct"/>
            <w:tcBorders>
              <w:top w:val="nil"/>
              <w:left w:val="nil"/>
              <w:bottom w:val="single" w:color="000000" w:sz="8" w:space="0"/>
              <w:right w:val="single" w:color="000000" w:sz="8" w:space="0"/>
            </w:tcBorders>
            <w:shd w:val="clear" w:color="auto" w:fill="auto"/>
            <w:vAlign w:val="center"/>
          </w:tcPr>
          <w:p w14:paraId="514BDC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460" w:type="pct"/>
            <w:tcBorders>
              <w:top w:val="nil"/>
              <w:left w:val="nil"/>
              <w:bottom w:val="single" w:color="000000" w:sz="8" w:space="0"/>
              <w:right w:val="single" w:color="000000" w:sz="8" w:space="0"/>
            </w:tcBorders>
            <w:shd w:val="clear" w:color="auto" w:fill="auto"/>
            <w:noWrap/>
            <w:vAlign w:val="center"/>
          </w:tcPr>
          <w:p w14:paraId="30BAED6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r>
      <w:tr w14:paraId="6BDCD1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792" w:type="pct"/>
            <w:tcBorders>
              <w:top w:val="nil"/>
              <w:left w:val="single" w:color="000000" w:sz="8" w:space="0"/>
              <w:bottom w:val="single" w:color="000000" w:sz="8" w:space="0"/>
              <w:right w:val="single" w:color="000000" w:sz="8" w:space="0"/>
            </w:tcBorders>
            <w:shd w:val="clear" w:color="auto" w:fill="auto"/>
            <w:vAlign w:val="center"/>
          </w:tcPr>
          <w:p w14:paraId="5F5879D0">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r>
              <w:rPr>
                <w:rFonts w:hint="eastAsia" w:ascii="宋体" w:hAnsi="宋体" w:eastAsia="宋体" w:cs="宋体"/>
                <w:color w:val="000000"/>
                <w:sz w:val="24"/>
                <w:szCs w:val="24"/>
                <w:u w:val="none"/>
                <w:lang w:val="en-US" w:eastAsia="zh-CN" w:bidi="ar"/>
              </w:rPr>
              <w:t>、基础护理模型</w:t>
            </w:r>
          </w:p>
        </w:tc>
        <w:tc>
          <w:tcPr>
            <w:tcW w:w="747" w:type="pct"/>
            <w:tcBorders>
              <w:top w:val="nil"/>
              <w:left w:val="nil"/>
              <w:bottom w:val="single" w:color="000000" w:sz="8" w:space="0"/>
              <w:right w:val="single" w:color="000000" w:sz="8" w:space="0"/>
            </w:tcBorders>
            <w:shd w:val="clear" w:color="auto" w:fill="auto"/>
            <w:vAlign w:val="center"/>
          </w:tcPr>
          <w:p w14:paraId="29D959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460" w:type="pct"/>
            <w:tcBorders>
              <w:top w:val="nil"/>
              <w:left w:val="nil"/>
              <w:bottom w:val="single" w:color="000000" w:sz="8" w:space="0"/>
              <w:right w:val="single" w:color="000000" w:sz="8" w:space="0"/>
            </w:tcBorders>
            <w:shd w:val="clear" w:color="auto" w:fill="auto"/>
            <w:noWrap/>
            <w:vAlign w:val="center"/>
          </w:tcPr>
          <w:p w14:paraId="7A9CEB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r>
      <w:tr w14:paraId="773991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792" w:type="pct"/>
            <w:tcBorders>
              <w:top w:val="nil"/>
              <w:left w:val="single" w:color="000000" w:sz="8" w:space="0"/>
              <w:bottom w:val="single" w:color="000000" w:sz="8" w:space="0"/>
              <w:right w:val="single" w:color="000000" w:sz="8" w:space="0"/>
            </w:tcBorders>
            <w:shd w:val="clear" w:color="auto" w:fill="auto"/>
            <w:vAlign w:val="center"/>
          </w:tcPr>
          <w:p w14:paraId="0629C84E">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r>
              <w:rPr>
                <w:rFonts w:hint="eastAsia" w:ascii="宋体" w:hAnsi="宋体" w:eastAsia="宋体" w:cs="宋体"/>
                <w:color w:val="000000"/>
                <w:sz w:val="24"/>
                <w:szCs w:val="24"/>
                <w:u w:val="none"/>
                <w:lang w:val="en-US" w:eastAsia="zh-CN" w:bidi="ar"/>
              </w:rPr>
              <w:t>、全功能护理仿真标准化病人模型</w:t>
            </w:r>
          </w:p>
        </w:tc>
        <w:tc>
          <w:tcPr>
            <w:tcW w:w="747" w:type="pct"/>
            <w:tcBorders>
              <w:top w:val="nil"/>
              <w:left w:val="nil"/>
              <w:bottom w:val="single" w:color="000000" w:sz="8" w:space="0"/>
              <w:right w:val="single" w:color="000000" w:sz="8" w:space="0"/>
            </w:tcBorders>
            <w:shd w:val="clear" w:color="auto" w:fill="auto"/>
            <w:vAlign w:val="center"/>
          </w:tcPr>
          <w:p w14:paraId="4557808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460" w:type="pct"/>
            <w:tcBorders>
              <w:top w:val="nil"/>
              <w:left w:val="nil"/>
              <w:bottom w:val="single" w:color="000000" w:sz="8" w:space="0"/>
              <w:right w:val="single" w:color="000000" w:sz="8" w:space="0"/>
            </w:tcBorders>
            <w:shd w:val="clear" w:color="auto" w:fill="auto"/>
            <w:noWrap/>
            <w:vAlign w:val="center"/>
          </w:tcPr>
          <w:p w14:paraId="060640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r>
      <w:tr w14:paraId="285FE4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92" w:type="pct"/>
            <w:tcBorders>
              <w:top w:val="nil"/>
              <w:left w:val="single" w:color="000000" w:sz="8" w:space="0"/>
              <w:bottom w:val="single" w:color="000000" w:sz="8" w:space="0"/>
              <w:right w:val="single" w:color="000000" w:sz="8" w:space="0"/>
            </w:tcBorders>
            <w:shd w:val="clear" w:color="auto" w:fill="auto"/>
            <w:vAlign w:val="center"/>
          </w:tcPr>
          <w:p w14:paraId="418D1273">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r>
              <w:rPr>
                <w:rFonts w:hint="eastAsia" w:ascii="宋体" w:hAnsi="宋体" w:eastAsia="宋体" w:cs="宋体"/>
                <w:color w:val="000000"/>
                <w:sz w:val="24"/>
                <w:szCs w:val="24"/>
                <w:u w:val="none"/>
                <w:lang w:val="en-US" w:eastAsia="zh-CN" w:bidi="ar"/>
              </w:rPr>
              <w:t>、成人梗阻训练模型</w:t>
            </w:r>
          </w:p>
        </w:tc>
        <w:tc>
          <w:tcPr>
            <w:tcW w:w="747" w:type="pct"/>
            <w:tcBorders>
              <w:top w:val="nil"/>
              <w:left w:val="nil"/>
              <w:bottom w:val="single" w:color="000000" w:sz="8" w:space="0"/>
              <w:right w:val="single" w:color="000000" w:sz="8" w:space="0"/>
            </w:tcBorders>
            <w:shd w:val="clear" w:color="auto" w:fill="auto"/>
            <w:vAlign w:val="center"/>
          </w:tcPr>
          <w:p w14:paraId="5898C03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460" w:type="pct"/>
            <w:tcBorders>
              <w:top w:val="nil"/>
              <w:left w:val="nil"/>
              <w:bottom w:val="single" w:color="000000" w:sz="8" w:space="0"/>
              <w:right w:val="single" w:color="000000" w:sz="8" w:space="0"/>
            </w:tcBorders>
            <w:shd w:val="clear" w:color="auto" w:fill="auto"/>
            <w:noWrap/>
            <w:vAlign w:val="center"/>
          </w:tcPr>
          <w:p w14:paraId="203843B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r>
      <w:tr w14:paraId="67CFEE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92" w:type="pct"/>
            <w:tcBorders>
              <w:top w:val="nil"/>
              <w:left w:val="single" w:color="000000" w:sz="8" w:space="0"/>
              <w:bottom w:val="single" w:color="000000" w:sz="8" w:space="0"/>
              <w:right w:val="single" w:color="000000" w:sz="8" w:space="0"/>
            </w:tcBorders>
            <w:shd w:val="clear" w:color="auto" w:fill="auto"/>
            <w:vAlign w:val="center"/>
          </w:tcPr>
          <w:p w14:paraId="3DF350BB">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r>
              <w:rPr>
                <w:rFonts w:hint="eastAsia" w:ascii="宋体" w:hAnsi="宋体" w:eastAsia="宋体" w:cs="宋体"/>
                <w:color w:val="000000"/>
                <w:sz w:val="24"/>
                <w:szCs w:val="24"/>
                <w:u w:val="none"/>
                <w:lang w:val="en-US" w:eastAsia="zh-CN" w:bidi="ar"/>
              </w:rPr>
              <w:t>、腹腔穿刺模型</w:t>
            </w:r>
          </w:p>
        </w:tc>
        <w:tc>
          <w:tcPr>
            <w:tcW w:w="747" w:type="pct"/>
            <w:tcBorders>
              <w:top w:val="nil"/>
              <w:left w:val="nil"/>
              <w:bottom w:val="single" w:color="000000" w:sz="8" w:space="0"/>
              <w:right w:val="single" w:color="000000" w:sz="8" w:space="0"/>
            </w:tcBorders>
            <w:shd w:val="clear" w:color="auto" w:fill="auto"/>
            <w:noWrap/>
            <w:vAlign w:val="center"/>
          </w:tcPr>
          <w:p w14:paraId="110794A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460" w:type="pct"/>
            <w:tcBorders>
              <w:top w:val="nil"/>
              <w:left w:val="nil"/>
              <w:bottom w:val="single" w:color="000000" w:sz="8" w:space="0"/>
              <w:right w:val="single" w:color="000000" w:sz="8" w:space="0"/>
            </w:tcBorders>
            <w:shd w:val="clear" w:color="auto" w:fill="auto"/>
            <w:noWrap/>
            <w:vAlign w:val="center"/>
          </w:tcPr>
          <w:p w14:paraId="7E6FA9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r>
      <w:tr w14:paraId="47F64D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92" w:type="pct"/>
            <w:tcBorders>
              <w:top w:val="nil"/>
              <w:left w:val="single" w:color="000000" w:sz="8" w:space="0"/>
              <w:bottom w:val="single" w:color="000000" w:sz="8" w:space="0"/>
              <w:right w:val="single" w:color="000000" w:sz="8" w:space="0"/>
            </w:tcBorders>
            <w:shd w:val="clear" w:color="auto" w:fill="auto"/>
            <w:vAlign w:val="center"/>
          </w:tcPr>
          <w:p w14:paraId="6CDD0A73">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r>
              <w:rPr>
                <w:rFonts w:hint="eastAsia" w:ascii="宋体" w:hAnsi="宋体" w:eastAsia="宋体" w:cs="宋体"/>
                <w:color w:val="00000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AED</w:t>
            </w:r>
            <w:r>
              <w:rPr>
                <w:rFonts w:hint="eastAsia" w:ascii="宋体" w:hAnsi="宋体" w:eastAsia="宋体" w:cs="宋体"/>
                <w:color w:val="000000"/>
                <w:sz w:val="24"/>
                <w:szCs w:val="24"/>
                <w:u w:val="none"/>
                <w:lang w:val="en-US" w:eastAsia="zh-CN" w:bidi="ar"/>
              </w:rPr>
              <w:t>训练器</w:t>
            </w:r>
          </w:p>
        </w:tc>
        <w:tc>
          <w:tcPr>
            <w:tcW w:w="747" w:type="pct"/>
            <w:tcBorders>
              <w:top w:val="nil"/>
              <w:left w:val="nil"/>
              <w:bottom w:val="single" w:color="000000" w:sz="8" w:space="0"/>
              <w:right w:val="single" w:color="000000" w:sz="8" w:space="0"/>
            </w:tcBorders>
            <w:shd w:val="clear" w:color="auto" w:fill="auto"/>
            <w:noWrap/>
            <w:vAlign w:val="center"/>
          </w:tcPr>
          <w:p w14:paraId="527C5C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460" w:type="pct"/>
            <w:tcBorders>
              <w:top w:val="nil"/>
              <w:left w:val="nil"/>
              <w:bottom w:val="single" w:color="000000" w:sz="8" w:space="0"/>
              <w:right w:val="single" w:color="000000" w:sz="8" w:space="0"/>
            </w:tcBorders>
            <w:shd w:val="clear" w:color="auto" w:fill="auto"/>
            <w:noWrap/>
            <w:vAlign w:val="center"/>
          </w:tcPr>
          <w:p w14:paraId="018DC1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r>
      <w:tr w14:paraId="7EC9A0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792" w:type="pct"/>
            <w:tcBorders>
              <w:top w:val="nil"/>
              <w:left w:val="single" w:color="000000" w:sz="8" w:space="0"/>
              <w:bottom w:val="single" w:color="000000" w:sz="8" w:space="0"/>
              <w:right w:val="single" w:color="000000" w:sz="8" w:space="0"/>
            </w:tcBorders>
            <w:shd w:val="clear" w:color="auto" w:fill="auto"/>
            <w:vAlign w:val="center"/>
          </w:tcPr>
          <w:p w14:paraId="25F64CFE">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r>
              <w:rPr>
                <w:rFonts w:hint="eastAsia" w:ascii="宋体" w:hAnsi="宋体" w:eastAsia="宋体" w:cs="宋体"/>
                <w:color w:val="000000"/>
                <w:sz w:val="24"/>
                <w:szCs w:val="24"/>
                <w:u w:val="none"/>
                <w:lang w:val="en-US" w:eastAsia="zh-CN" w:bidi="ar"/>
              </w:rPr>
              <w:t>、泪道冲洗模型</w:t>
            </w:r>
          </w:p>
        </w:tc>
        <w:tc>
          <w:tcPr>
            <w:tcW w:w="747" w:type="pct"/>
            <w:tcBorders>
              <w:top w:val="nil"/>
              <w:left w:val="nil"/>
              <w:bottom w:val="single" w:color="000000" w:sz="8" w:space="0"/>
              <w:right w:val="single" w:color="000000" w:sz="8" w:space="0"/>
            </w:tcBorders>
            <w:shd w:val="clear" w:color="auto" w:fill="auto"/>
            <w:noWrap/>
            <w:vAlign w:val="center"/>
          </w:tcPr>
          <w:p w14:paraId="142E514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460" w:type="pct"/>
            <w:tcBorders>
              <w:top w:val="nil"/>
              <w:left w:val="nil"/>
              <w:bottom w:val="single" w:color="000000" w:sz="8" w:space="0"/>
              <w:right w:val="single" w:color="000000" w:sz="8" w:space="0"/>
            </w:tcBorders>
            <w:shd w:val="clear" w:color="auto" w:fill="auto"/>
            <w:noWrap/>
            <w:vAlign w:val="center"/>
          </w:tcPr>
          <w:p w14:paraId="4E16EB0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r>
      <w:tr w14:paraId="31D78F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92" w:type="pct"/>
            <w:tcBorders>
              <w:top w:val="nil"/>
              <w:left w:val="single" w:color="000000" w:sz="8" w:space="0"/>
              <w:bottom w:val="single" w:color="000000" w:sz="8" w:space="0"/>
              <w:right w:val="single" w:color="000000" w:sz="8" w:space="0"/>
            </w:tcBorders>
            <w:shd w:val="clear" w:color="auto" w:fill="auto"/>
            <w:vAlign w:val="center"/>
          </w:tcPr>
          <w:p w14:paraId="468C3584">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r>
              <w:rPr>
                <w:rFonts w:hint="eastAsia" w:ascii="宋体" w:hAnsi="宋体" w:eastAsia="宋体" w:cs="宋体"/>
                <w:color w:val="000000"/>
                <w:sz w:val="24"/>
                <w:szCs w:val="24"/>
                <w:u w:val="none"/>
                <w:lang w:val="en-US" w:eastAsia="zh-CN" w:bidi="ar"/>
              </w:rPr>
              <w:t>、高级眼内视网膜病变检查模型</w:t>
            </w:r>
          </w:p>
        </w:tc>
        <w:tc>
          <w:tcPr>
            <w:tcW w:w="747" w:type="pct"/>
            <w:tcBorders>
              <w:top w:val="nil"/>
              <w:left w:val="nil"/>
              <w:bottom w:val="single" w:color="000000" w:sz="8" w:space="0"/>
              <w:right w:val="single" w:color="000000" w:sz="8" w:space="0"/>
            </w:tcBorders>
            <w:shd w:val="clear" w:color="auto" w:fill="auto"/>
            <w:noWrap/>
            <w:vAlign w:val="center"/>
          </w:tcPr>
          <w:p w14:paraId="792C7C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460" w:type="pct"/>
            <w:tcBorders>
              <w:top w:val="nil"/>
              <w:left w:val="nil"/>
              <w:bottom w:val="single" w:color="000000" w:sz="8" w:space="0"/>
              <w:right w:val="single" w:color="000000" w:sz="8" w:space="0"/>
            </w:tcBorders>
            <w:shd w:val="clear" w:color="auto" w:fill="auto"/>
            <w:noWrap/>
            <w:vAlign w:val="center"/>
          </w:tcPr>
          <w:p w14:paraId="7A1609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r>
      <w:tr w14:paraId="6F3B00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792" w:type="pct"/>
            <w:tcBorders>
              <w:top w:val="nil"/>
              <w:left w:val="single" w:color="000000" w:sz="8" w:space="0"/>
              <w:bottom w:val="single" w:color="000000" w:sz="8" w:space="0"/>
              <w:right w:val="single" w:color="000000" w:sz="8" w:space="0"/>
            </w:tcBorders>
            <w:shd w:val="clear" w:color="auto" w:fill="auto"/>
            <w:vAlign w:val="center"/>
          </w:tcPr>
          <w:p w14:paraId="426B9973">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r>
              <w:rPr>
                <w:rFonts w:hint="eastAsia" w:ascii="宋体" w:hAnsi="宋体" w:eastAsia="宋体" w:cs="宋体"/>
                <w:color w:val="000000"/>
                <w:sz w:val="24"/>
                <w:szCs w:val="24"/>
                <w:u w:val="none"/>
                <w:lang w:val="en-US" w:eastAsia="zh-CN" w:bidi="ar"/>
              </w:rPr>
              <w:t>、心肺听诊训练模型（背心式）</w:t>
            </w:r>
          </w:p>
        </w:tc>
        <w:tc>
          <w:tcPr>
            <w:tcW w:w="747" w:type="pct"/>
            <w:tcBorders>
              <w:top w:val="nil"/>
              <w:left w:val="nil"/>
              <w:bottom w:val="single" w:color="000000" w:sz="8" w:space="0"/>
              <w:right w:val="single" w:color="000000" w:sz="8" w:space="0"/>
            </w:tcBorders>
            <w:shd w:val="clear" w:color="auto" w:fill="auto"/>
            <w:noWrap/>
            <w:vAlign w:val="center"/>
          </w:tcPr>
          <w:p w14:paraId="17507B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460" w:type="pct"/>
            <w:tcBorders>
              <w:top w:val="nil"/>
              <w:left w:val="nil"/>
              <w:bottom w:val="single" w:color="000000" w:sz="8" w:space="0"/>
              <w:right w:val="single" w:color="000000" w:sz="8" w:space="0"/>
            </w:tcBorders>
            <w:shd w:val="clear" w:color="auto" w:fill="auto"/>
            <w:noWrap/>
            <w:vAlign w:val="center"/>
          </w:tcPr>
          <w:p w14:paraId="4B299B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r>
      <w:tr w14:paraId="7016C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792" w:type="pct"/>
            <w:tcBorders>
              <w:top w:val="nil"/>
              <w:left w:val="single" w:color="000000" w:sz="8" w:space="0"/>
              <w:bottom w:val="single" w:color="000000" w:sz="8" w:space="0"/>
              <w:right w:val="single" w:color="000000" w:sz="8" w:space="0"/>
            </w:tcBorders>
            <w:shd w:val="clear" w:color="auto" w:fill="auto"/>
            <w:vAlign w:val="center"/>
          </w:tcPr>
          <w:p w14:paraId="19D47EE3">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r>
              <w:rPr>
                <w:rFonts w:hint="eastAsia" w:ascii="宋体" w:hAnsi="宋体" w:eastAsia="宋体" w:cs="宋体"/>
                <w:color w:val="000000"/>
                <w:sz w:val="24"/>
                <w:szCs w:val="24"/>
                <w:u w:val="none"/>
                <w:lang w:val="en-US" w:eastAsia="zh-CN" w:bidi="ar"/>
              </w:rPr>
              <w:t>、新型多功能护理人实习模型（男性）</w:t>
            </w:r>
          </w:p>
        </w:tc>
        <w:tc>
          <w:tcPr>
            <w:tcW w:w="747" w:type="pct"/>
            <w:tcBorders>
              <w:top w:val="nil"/>
              <w:left w:val="nil"/>
              <w:bottom w:val="single" w:color="000000" w:sz="8" w:space="0"/>
              <w:right w:val="single" w:color="000000" w:sz="8" w:space="0"/>
            </w:tcBorders>
            <w:shd w:val="clear" w:color="auto" w:fill="auto"/>
            <w:noWrap/>
            <w:vAlign w:val="center"/>
          </w:tcPr>
          <w:p w14:paraId="3991CEA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460" w:type="pct"/>
            <w:tcBorders>
              <w:top w:val="nil"/>
              <w:left w:val="nil"/>
              <w:bottom w:val="single" w:color="000000" w:sz="8" w:space="0"/>
              <w:right w:val="single" w:color="000000" w:sz="8" w:space="0"/>
            </w:tcBorders>
            <w:shd w:val="clear" w:color="auto" w:fill="auto"/>
            <w:noWrap/>
            <w:vAlign w:val="center"/>
          </w:tcPr>
          <w:p w14:paraId="05CFC1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r>
      <w:tr w14:paraId="1692A3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792" w:type="pct"/>
            <w:tcBorders>
              <w:top w:val="nil"/>
              <w:left w:val="single" w:color="000000" w:sz="8" w:space="0"/>
              <w:bottom w:val="single" w:color="000000" w:sz="8" w:space="0"/>
              <w:right w:val="single" w:color="000000" w:sz="8" w:space="0"/>
            </w:tcBorders>
            <w:shd w:val="clear" w:color="auto" w:fill="auto"/>
            <w:vAlign w:val="center"/>
          </w:tcPr>
          <w:p w14:paraId="5A600D52">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r>
              <w:rPr>
                <w:rFonts w:hint="eastAsia" w:ascii="宋体" w:hAnsi="宋体" w:eastAsia="宋体" w:cs="宋体"/>
                <w:color w:val="000000"/>
                <w:sz w:val="24"/>
                <w:szCs w:val="24"/>
                <w:u w:val="none"/>
                <w:lang w:val="en-US" w:eastAsia="zh-CN" w:bidi="ar"/>
              </w:rPr>
              <w:t>、新型多功能护理人实习模型（女性）</w:t>
            </w:r>
          </w:p>
        </w:tc>
        <w:tc>
          <w:tcPr>
            <w:tcW w:w="747" w:type="pct"/>
            <w:tcBorders>
              <w:top w:val="nil"/>
              <w:left w:val="nil"/>
              <w:bottom w:val="single" w:color="000000" w:sz="8" w:space="0"/>
              <w:right w:val="single" w:color="000000" w:sz="8" w:space="0"/>
            </w:tcBorders>
            <w:shd w:val="clear" w:color="auto" w:fill="auto"/>
            <w:noWrap/>
            <w:vAlign w:val="center"/>
          </w:tcPr>
          <w:p w14:paraId="1DA0F0B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460" w:type="pct"/>
            <w:tcBorders>
              <w:top w:val="nil"/>
              <w:left w:val="nil"/>
              <w:bottom w:val="single" w:color="000000" w:sz="8" w:space="0"/>
              <w:right w:val="single" w:color="000000" w:sz="8" w:space="0"/>
            </w:tcBorders>
            <w:shd w:val="clear" w:color="auto" w:fill="auto"/>
            <w:noWrap/>
            <w:vAlign w:val="center"/>
          </w:tcPr>
          <w:p w14:paraId="3A61614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r>
      <w:tr w14:paraId="31711D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92" w:type="pct"/>
            <w:tcBorders>
              <w:top w:val="nil"/>
              <w:left w:val="single" w:color="000000" w:sz="8" w:space="0"/>
              <w:bottom w:val="single" w:color="000000" w:sz="8" w:space="0"/>
              <w:right w:val="single" w:color="000000" w:sz="8" w:space="0"/>
            </w:tcBorders>
            <w:shd w:val="clear" w:color="auto" w:fill="auto"/>
            <w:vAlign w:val="center"/>
          </w:tcPr>
          <w:p w14:paraId="536AD00E">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r>
              <w:rPr>
                <w:rFonts w:hint="eastAsia" w:ascii="宋体" w:hAnsi="宋体" w:eastAsia="宋体" w:cs="宋体"/>
                <w:color w:val="000000"/>
                <w:sz w:val="24"/>
                <w:szCs w:val="24"/>
                <w:u w:val="none"/>
                <w:lang w:val="en-US" w:eastAsia="zh-CN" w:bidi="ar"/>
              </w:rPr>
              <w:t>、上肢脓肿切开仿真模型</w:t>
            </w:r>
          </w:p>
        </w:tc>
        <w:tc>
          <w:tcPr>
            <w:tcW w:w="747" w:type="pct"/>
            <w:tcBorders>
              <w:top w:val="nil"/>
              <w:left w:val="nil"/>
              <w:bottom w:val="single" w:color="000000" w:sz="8" w:space="0"/>
              <w:right w:val="single" w:color="000000" w:sz="8" w:space="0"/>
            </w:tcBorders>
            <w:shd w:val="clear" w:color="auto" w:fill="auto"/>
            <w:vAlign w:val="center"/>
          </w:tcPr>
          <w:p w14:paraId="02B8AC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460" w:type="pct"/>
            <w:tcBorders>
              <w:top w:val="nil"/>
              <w:left w:val="nil"/>
              <w:bottom w:val="single" w:color="000000" w:sz="8" w:space="0"/>
              <w:right w:val="single" w:color="000000" w:sz="8" w:space="0"/>
            </w:tcBorders>
            <w:shd w:val="clear" w:color="auto" w:fill="auto"/>
            <w:vAlign w:val="center"/>
          </w:tcPr>
          <w:p w14:paraId="2E86FB0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r>
      <w:tr w14:paraId="436119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792" w:type="pct"/>
            <w:tcBorders>
              <w:top w:val="nil"/>
              <w:left w:val="single" w:color="000000" w:sz="8" w:space="0"/>
              <w:bottom w:val="single" w:color="000000" w:sz="8" w:space="0"/>
              <w:right w:val="single" w:color="000000" w:sz="8" w:space="0"/>
            </w:tcBorders>
            <w:shd w:val="clear" w:color="auto" w:fill="auto"/>
            <w:vAlign w:val="center"/>
          </w:tcPr>
          <w:p w14:paraId="7EE97AD3">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r>
              <w:rPr>
                <w:rFonts w:hint="eastAsia" w:ascii="宋体" w:hAnsi="宋体" w:eastAsia="宋体" w:cs="宋体"/>
                <w:color w:val="000000"/>
                <w:sz w:val="24"/>
                <w:szCs w:val="24"/>
                <w:u w:val="none"/>
                <w:lang w:val="en-US" w:eastAsia="zh-CN" w:bidi="ar"/>
              </w:rPr>
              <w:t>、血管分离切断结扎训练模型</w:t>
            </w:r>
          </w:p>
        </w:tc>
        <w:tc>
          <w:tcPr>
            <w:tcW w:w="747" w:type="pct"/>
            <w:tcBorders>
              <w:top w:val="nil"/>
              <w:left w:val="nil"/>
              <w:bottom w:val="single" w:color="000000" w:sz="8" w:space="0"/>
              <w:right w:val="single" w:color="000000" w:sz="8" w:space="0"/>
            </w:tcBorders>
            <w:shd w:val="clear" w:color="auto" w:fill="auto"/>
            <w:vAlign w:val="center"/>
          </w:tcPr>
          <w:p w14:paraId="547BA0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1460" w:type="pct"/>
            <w:tcBorders>
              <w:top w:val="nil"/>
              <w:left w:val="nil"/>
              <w:bottom w:val="single" w:color="000000" w:sz="8" w:space="0"/>
              <w:right w:val="single" w:color="000000" w:sz="8" w:space="0"/>
            </w:tcBorders>
            <w:shd w:val="clear" w:color="auto" w:fill="auto"/>
            <w:vAlign w:val="center"/>
          </w:tcPr>
          <w:p w14:paraId="20558F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r>
      <w:tr w14:paraId="4ED9DB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792" w:type="pct"/>
            <w:tcBorders>
              <w:top w:val="nil"/>
              <w:left w:val="single" w:color="000000" w:sz="8" w:space="0"/>
              <w:bottom w:val="single" w:color="000000" w:sz="8" w:space="0"/>
              <w:right w:val="single" w:color="000000" w:sz="8" w:space="0"/>
            </w:tcBorders>
            <w:shd w:val="clear" w:color="auto" w:fill="auto"/>
            <w:vAlign w:val="center"/>
          </w:tcPr>
          <w:p w14:paraId="47C1778F">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r>
              <w:rPr>
                <w:rFonts w:hint="eastAsia" w:ascii="宋体" w:hAnsi="宋体" w:eastAsia="宋体" w:cs="宋体"/>
                <w:color w:val="000000"/>
                <w:sz w:val="24"/>
                <w:szCs w:val="24"/>
                <w:u w:val="none"/>
                <w:lang w:val="en-US" w:eastAsia="zh-CN" w:bidi="ar"/>
              </w:rPr>
              <w:t>、小腿骨折处理训练模型</w:t>
            </w:r>
          </w:p>
        </w:tc>
        <w:tc>
          <w:tcPr>
            <w:tcW w:w="747" w:type="pct"/>
            <w:tcBorders>
              <w:top w:val="nil"/>
              <w:left w:val="nil"/>
              <w:bottom w:val="single" w:color="000000" w:sz="8" w:space="0"/>
              <w:right w:val="single" w:color="000000" w:sz="8" w:space="0"/>
            </w:tcBorders>
            <w:shd w:val="clear" w:color="auto" w:fill="auto"/>
            <w:vAlign w:val="center"/>
          </w:tcPr>
          <w:p w14:paraId="0228DA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460" w:type="pct"/>
            <w:tcBorders>
              <w:top w:val="nil"/>
              <w:left w:val="nil"/>
              <w:bottom w:val="single" w:color="000000" w:sz="8" w:space="0"/>
              <w:right w:val="single" w:color="000000" w:sz="8" w:space="0"/>
            </w:tcBorders>
            <w:shd w:val="clear" w:color="auto" w:fill="auto"/>
            <w:vAlign w:val="center"/>
          </w:tcPr>
          <w:p w14:paraId="52D4BE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r>
    </w:tbl>
    <w:p w14:paraId="52F6C8B0">
      <w:pPr>
        <w:spacing w:line="360" w:lineRule="auto"/>
        <w:rPr>
          <w:rFonts w:ascii="宋体" w:hAnsi="宋体" w:eastAsia="宋体" w:cs="宋体"/>
          <w:b/>
          <w:bCs/>
          <w:szCs w:val="24"/>
          <w:highlight w:val="none"/>
        </w:rPr>
      </w:pPr>
    </w:p>
    <w:p w14:paraId="6B3006F1">
      <w:pPr>
        <w:spacing w:line="360" w:lineRule="auto"/>
        <w:rPr>
          <w:rFonts w:ascii="宋体" w:hAnsi="宋体" w:eastAsia="宋体" w:cs="宋体"/>
          <w:b/>
          <w:bCs/>
          <w:szCs w:val="24"/>
          <w:highlight w:val="none"/>
        </w:rPr>
      </w:pPr>
    </w:p>
    <w:p w14:paraId="6120D0A4">
      <w:pPr>
        <w:numPr>
          <w:ilvl w:val="0"/>
          <w:numId w:val="0"/>
        </w:numPr>
        <w:spacing w:line="360" w:lineRule="auto"/>
        <w:rPr>
          <w:rFonts w:hint="eastAsia" w:ascii="宋体" w:hAnsi="宋体" w:eastAsia="宋体" w:cs="宋体"/>
          <w:b/>
          <w:bCs/>
          <w:sz w:val="24"/>
          <w:szCs w:val="24"/>
          <w:highlight w:val="none"/>
        </w:rPr>
      </w:pPr>
      <w:r>
        <w:rPr>
          <w:rFonts w:hint="eastAsia" w:ascii="宋体" w:hAnsi="宋体" w:eastAsia="宋体" w:cs="宋体"/>
          <w:b/>
          <w:bCs/>
          <w:kern w:val="2"/>
          <w:sz w:val="24"/>
          <w:szCs w:val="24"/>
          <w:lang w:val="en-US" w:eastAsia="zh-CN" w:bidi="ar-SA"/>
        </w:rPr>
        <w:t>（一）</w:t>
      </w:r>
      <w:r>
        <w:rPr>
          <w:rFonts w:hint="eastAsia" w:ascii="宋体" w:hAnsi="宋体" w:eastAsia="宋体" w:cs="宋体"/>
          <w:b/>
          <w:bCs/>
          <w:sz w:val="24"/>
          <w:szCs w:val="24"/>
          <w:highlight w:val="none"/>
        </w:rPr>
        <w:t>前臂骨折处理训练</w:t>
      </w:r>
      <w:r>
        <w:rPr>
          <w:rFonts w:hint="eastAsia" w:ascii="宋体" w:hAnsi="宋体" w:eastAsia="宋体" w:cs="宋体"/>
          <w:b/>
          <w:bCs/>
          <w:sz w:val="24"/>
          <w:szCs w:val="24"/>
          <w:highlight w:val="none"/>
          <w:lang w:val="en-US" w:eastAsia="zh-CN"/>
        </w:rPr>
        <w:t>模型</w:t>
      </w:r>
    </w:p>
    <w:p w14:paraId="4C1E8FDA">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 成人上肢模型，具有仿真的皮肤、骨骼和肌肉等结构，触感真实，解剖结构准确。</w:t>
      </w:r>
    </w:p>
    <w:p w14:paraId="0E778E17">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 模型可定制尺骨或桡骨骨折，可见成角畸形，可产生骨擦音。</w:t>
      </w:r>
    </w:p>
    <w:p w14:paraId="25C6EC38">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3. 可用于手法复位及小夹板固定训练。</w:t>
      </w:r>
    </w:p>
    <w:p w14:paraId="35457C09">
      <w:pPr>
        <w:widowControl w:val="0"/>
        <w:numPr>
          <w:ilvl w:val="0"/>
          <w:numId w:val="0"/>
        </w:numPr>
        <w:spacing w:line="360" w:lineRule="auto"/>
        <w:jc w:val="both"/>
        <w:rPr>
          <w:rFonts w:hint="eastAsia" w:ascii="宋体" w:hAnsi="宋体" w:eastAsia="宋体" w:cs="宋体"/>
          <w:b/>
          <w:bCs/>
          <w:sz w:val="24"/>
          <w:szCs w:val="24"/>
          <w:highlight w:val="none"/>
        </w:rPr>
      </w:pPr>
    </w:p>
    <w:p w14:paraId="4CE25F13">
      <w:pPr>
        <w:numPr>
          <w:ilvl w:val="0"/>
          <w:numId w:val="0"/>
        </w:numPr>
        <w:spacing w:line="360" w:lineRule="auto"/>
        <w:ind w:left="0" w:leftChars="0" w:firstLine="0" w:firstLineChars="0"/>
        <w:rPr>
          <w:rFonts w:hint="eastAsia" w:ascii="宋体" w:hAnsi="宋体" w:eastAsia="宋体" w:cs="宋体"/>
          <w:b/>
          <w:bCs/>
          <w:sz w:val="24"/>
          <w:szCs w:val="24"/>
          <w:highlight w:val="none"/>
        </w:rPr>
      </w:pPr>
      <w:r>
        <w:rPr>
          <w:rFonts w:hint="eastAsia" w:ascii="宋体" w:hAnsi="宋体" w:eastAsia="宋体" w:cs="宋体"/>
          <w:b/>
          <w:bCs/>
          <w:kern w:val="2"/>
          <w:sz w:val="24"/>
          <w:szCs w:val="24"/>
          <w:lang w:val="en-US" w:eastAsia="zh-CN" w:bidi="ar-SA"/>
        </w:rPr>
        <w:t>（二）</w:t>
      </w:r>
      <w:r>
        <w:rPr>
          <w:rFonts w:hint="eastAsia" w:ascii="宋体" w:hAnsi="宋体" w:eastAsia="宋体" w:cs="宋体"/>
          <w:b/>
          <w:bCs/>
          <w:sz w:val="24"/>
          <w:szCs w:val="24"/>
          <w:highlight w:val="none"/>
        </w:rPr>
        <w:t>外科多技能训练器</w:t>
      </w:r>
    </w:p>
    <w:p w14:paraId="7089E90D">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 可进行肠管的钳夹、切断和吻合训练。</w:t>
      </w:r>
    </w:p>
    <w:p w14:paraId="3235B851">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 可进行血管的钳夹、切断、结扎训练。</w:t>
      </w:r>
    </w:p>
    <w:p w14:paraId="1D4A7C32">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3. 可进行狭小空间深部打结技术的训练。</w:t>
      </w:r>
    </w:p>
    <w:p w14:paraId="3BB5E795">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4. 可进行皮肤切开、缝合、打结、剪线、拆线等技术的训练。</w:t>
      </w:r>
    </w:p>
    <w:p w14:paraId="312D03D2">
      <w:pPr>
        <w:widowControl w:val="0"/>
        <w:numPr>
          <w:ilvl w:val="0"/>
          <w:numId w:val="0"/>
        </w:numPr>
        <w:spacing w:line="360" w:lineRule="auto"/>
        <w:jc w:val="both"/>
        <w:rPr>
          <w:rFonts w:hint="eastAsia" w:ascii="宋体" w:hAnsi="宋体" w:eastAsia="宋体" w:cs="宋体"/>
          <w:b/>
          <w:bCs/>
          <w:sz w:val="24"/>
          <w:szCs w:val="24"/>
          <w:highlight w:val="none"/>
        </w:rPr>
      </w:pPr>
    </w:p>
    <w:p w14:paraId="66AD964D">
      <w:pPr>
        <w:numPr>
          <w:ilvl w:val="0"/>
          <w:numId w:val="0"/>
        </w:numPr>
        <w:spacing w:line="360" w:lineRule="auto"/>
        <w:ind w:left="0" w:leftChars="0" w:firstLine="0" w:firstLineChars="0"/>
        <w:rPr>
          <w:rFonts w:hint="eastAsia" w:ascii="宋体" w:hAnsi="宋体" w:eastAsia="宋体" w:cs="宋体"/>
          <w:b/>
          <w:bCs/>
          <w:sz w:val="24"/>
          <w:szCs w:val="24"/>
          <w:highlight w:val="none"/>
        </w:rPr>
      </w:pPr>
      <w:r>
        <w:rPr>
          <w:rFonts w:hint="eastAsia" w:ascii="宋体" w:hAnsi="宋体" w:eastAsia="宋体" w:cs="宋体"/>
          <w:b/>
          <w:bCs/>
          <w:kern w:val="2"/>
          <w:sz w:val="24"/>
          <w:szCs w:val="24"/>
          <w:lang w:val="en-US" w:eastAsia="zh-CN" w:bidi="ar-SA"/>
        </w:rPr>
        <w:t>（三）</w:t>
      </w:r>
      <w:r>
        <w:rPr>
          <w:rFonts w:hint="eastAsia" w:ascii="宋体" w:hAnsi="宋体" w:eastAsia="宋体" w:cs="宋体"/>
          <w:b/>
          <w:bCs/>
          <w:sz w:val="24"/>
          <w:szCs w:val="24"/>
          <w:highlight w:val="none"/>
        </w:rPr>
        <w:t>环甲膜穿刺和切开训练仿真模型</w:t>
      </w:r>
    </w:p>
    <w:p w14:paraId="0B1C92CB">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1、仿真模型为成人男性，头仰，外观形象逼真。</w:t>
      </w:r>
    </w:p>
    <w:p w14:paraId="40621DE1">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2、准确的解剖结构：甲状软骨、环状软骨、环甲膜、气管，触感真实。</w:t>
      </w:r>
    </w:p>
    <w:p w14:paraId="37B3F1C2">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3、可进行经皮环甲膜穿刺训练、环甲膜切开训练、气管切开训练。</w:t>
      </w:r>
    </w:p>
    <w:p w14:paraId="33F314FF">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4、仿真模型颈部皮肤采用环形设计，方便将损坏的皮肤移开，延长使用寿命。</w:t>
      </w:r>
    </w:p>
    <w:p w14:paraId="63878C0F">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5、每套设备配≥12张皮肤切开模块</w:t>
      </w:r>
    </w:p>
    <w:p w14:paraId="2D313474">
      <w:pPr>
        <w:widowControl w:val="0"/>
        <w:numPr>
          <w:ilvl w:val="0"/>
          <w:numId w:val="0"/>
        </w:numPr>
        <w:spacing w:line="360" w:lineRule="auto"/>
        <w:jc w:val="both"/>
        <w:rPr>
          <w:rFonts w:hint="eastAsia" w:ascii="宋体" w:hAnsi="宋体" w:eastAsia="宋体" w:cs="宋体"/>
          <w:b/>
          <w:bCs/>
          <w:sz w:val="24"/>
          <w:szCs w:val="24"/>
          <w:highlight w:val="none"/>
        </w:rPr>
      </w:pPr>
    </w:p>
    <w:p w14:paraId="534CCCFD">
      <w:pPr>
        <w:numPr>
          <w:ilvl w:val="0"/>
          <w:numId w:val="0"/>
        </w:numPr>
        <w:spacing w:line="360" w:lineRule="auto"/>
        <w:ind w:left="0" w:leftChars="0" w:firstLine="0" w:firstLineChars="0"/>
        <w:rPr>
          <w:rFonts w:hint="eastAsia" w:ascii="宋体" w:hAnsi="宋体" w:eastAsia="宋体" w:cs="宋体"/>
          <w:b/>
          <w:bCs/>
          <w:sz w:val="24"/>
          <w:szCs w:val="24"/>
          <w:highlight w:val="none"/>
        </w:rPr>
      </w:pPr>
      <w:r>
        <w:rPr>
          <w:rFonts w:hint="eastAsia" w:ascii="宋体" w:hAnsi="宋体" w:eastAsia="宋体" w:cs="宋体"/>
          <w:b/>
          <w:bCs/>
          <w:kern w:val="2"/>
          <w:sz w:val="24"/>
          <w:szCs w:val="24"/>
          <w:lang w:val="en-US" w:eastAsia="zh-CN" w:bidi="ar-SA"/>
        </w:rPr>
        <w:t>（四）</w:t>
      </w:r>
      <w:r>
        <w:rPr>
          <w:rFonts w:hint="eastAsia" w:ascii="宋体" w:hAnsi="宋体" w:eastAsia="宋体" w:cs="宋体"/>
          <w:b/>
          <w:bCs/>
          <w:sz w:val="24"/>
          <w:szCs w:val="24"/>
          <w:highlight w:val="none"/>
        </w:rPr>
        <w:t>基础护理模型</w:t>
      </w:r>
    </w:p>
    <w:p w14:paraId="7ABE08F9">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1、具有高度灵活的关节，头部（前倾、后仰、开举下颌）；颈部（旋前、旋后、前屈、后伸）；躯干（旋前、旋后、前屈、后伸）；四肢（旋前、旋后、展收、屈伸、旋内、旋外；髋关节的内收、外展；腕关节和踝关节的屈伸、展收），可实现各种体位的摆放。 </w:t>
      </w:r>
    </w:p>
    <w:p w14:paraId="4F97A52C">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2、具有完全仿真的头颈部，面部材质柔软、手感真实；逼真的口腔（牙齿、舌、悬雍垂），逼真的气道（会厌、声门、喉、杓状软骨、声带、气管）和食道，连接胸腔内仿真的肺和胃。</w:t>
      </w:r>
    </w:p>
    <w:p w14:paraId="14AAC1A2">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3、可进行经口气管插管的操作；鼻胃管插管/洗胃、鼻饲法的操作；经口、鼻、气管造口吸痰法的操作；吸氧法的操作；气管切开术后护理。</w:t>
      </w:r>
    </w:p>
    <w:p w14:paraId="09521A68">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4、可进行脸部护理、头发护理、口腔护理、假牙清洁护理。</w:t>
      </w:r>
    </w:p>
    <w:p w14:paraId="7AA0F545">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5、模拟瞳孔一侧正常一侧散大的观察对比。</w:t>
      </w:r>
    </w:p>
    <w:p w14:paraId="32F86E36">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6、可进行胸、腹部引流术后护理；回肠造口术后护理、结肠造口术后护理；乳腺癌切除术后护理；乳房检查和乳房护理。</w:t>
      </w:r>
    </w:p>
    <w:p w14:paraId="4C3EB598">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7、具有质感高度逼真的（男/女）会阴，材质的拉伸率和抗撕裂强度极高，可进行（男/女）导尿术的操作、留置导尿及护理、灌肠术的操作、阴道护理，可使用阴道窥器。</w:t>
      </w:r>
    </w:p>
    <w:p w14:paraId="5CC44DF0">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8、可进行臀部肌肉注射、臀部压疮护理，配全套四个阶段压疮护理模块。</w:t>
      </w:r>
    </w:p>
    <w:p w14:paraId="509D86B9">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9、完整的上肢和下肢足部静脉血管系统，可进行静脉输液、采血和注射给药。</w:t>
      </w:r>
    </w:p>
    <w:p w14:paraId="6848FCDE">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10、配血液循环加压装置，可模拟静脉血管充盈，静脉穿刺有明显回血，静脉血循环流动，可逼真的完成静脉输液，输液滴数可控制，可使用输液泵或注射泵。</w:t>
      </w:r>
    </w:p>
    <w:p w14:paraId="3EE54663">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11、配有上臂肌肉注射模块，可进行上臂肌肉注射。</w:t>
      </w:r>
    </w:p>
    <w:p w14:paraId="09FBBD13">
      <w:pPr>
        <w:widowControl w:val="0"/>
        <w:numPr>
          <w:ilvl w:val="0"/>
          <w:numId w:val="0"/>
        </w:numPr>
        <w:spacing w:line="360" w:lineRule="auto"/>
        <w:jc w:val="both"/>
        <w:rPr>
          <w:rFonts w:hint="eastAsia" w:ascii="宋体" w:hAnsi="宋体" w:eastAsia="宋体" w:cs="宋体"/>
          <w:b/>
          <w:bCs/>
          <w:sz w:val="24"/>
          <w:szCs w:val="24"/>
          <w:highlight w:val="none"/>
        </w:rPr>
      </w:pPr>
    </w:p>
    <w:p w14:paraId="1D82DA02">
      <w:pPr>
        <w:numPr>
          <w:ilvl w:val="0"/>
          <w:numId w:val="0"/>
        </w:numPr>
        <w:spacing w:line="360" w:lineRule="auto"/>
        <w:ind w:left="0" w:leftChars="0" w:firstLine="0" w:firstLineChars="0"/>
        <w:rPr>
          <w:rFonts w:hint="eastAsia" w:ascii="宋体" w:hAnsi="宋体" w:eastAsia="宋体" w:cs="宋体"/>
          <w:b/>
          <w:bCs/>
          <w:sz w:val="24"/>
          <w:szCs w:val="24"/>
          <w:highlight w:val="none"/>
        </w:rPr>
      </w:pPr>
      <w:r>
        <w:rPr>
          <w:rFonts w:hint="eastAsia" w:ascii="宋体" w:hAnsi="宋体" w:eastAsia="宋体" w:cs="宋体"/>
          <w:b/>
          <w:bCs/>
          <w:kern w:val="2"/>
          <w:sz w:val="24"/>
          <w:szCs w:val="24"/>
          <w:lang w:val="en-US" w:eastAsia="zh-CN" w:bidi="ar-SA"/>
        </w:rPr>
        <w:t>（五）</w:t>
      </w:r>
      <w:r>
        <w:rPr>
          <w:rFonts w:hint="eastAsia" w:ascii="宋体" w:hAnsi="宋体" w:eastAsia="宋体" w:cs="宋体"/>
          <w:b/>
          <w:bCs/>
          <w:sz w:val="24"/>
          <w:szCs w:val="24"/>
          <w:highlight w:val="none"/>
        </w:rPr>
        <w:t>全功能护理仿真标准化病人模型</w:t>
      </w:r>
    </w:p>
    <w:p w14:paraId="3484C0AD">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1、具有高度灵活的关节，头部（前倾、后仰、开举下颌）；颈部（旋前、旋后、前屈、后伸）；躯干（旋前、旋后、前屈、后伸）；四肢（旋前、旋后、展收、屈伸、旋内、旋外；髋关节的内收、外展；腕关节和踝关节的屈伸、展收），可实现各种体位的摆放。 </w:t>
      </w:r>
    </w:p>
    <w:p w14:paraId="421BFE35">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2、具有完全仿真的头颈部，面部材质柔软、手感真实；逼真的口腔（牙齿、舌、悬雍垂），逼真的气道（会厌、声门、喉、杓状软骨、声带、气管）和食道，连接胸腔内仿真的肺和胃。</w:t>
      </w:r>
    </w:p>
    <w:p w14:paraId="64C8FC64">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3、可进行经口气管插管的操作；鼻胃管插管/洗胃、鼻饲法的操作；经口、鼻、气管造口吸痰法的操作；吸氧法的操作；气管切开术后护理。</w:t>
      </w:r>
    </w:p>
    <w:p w14:paraId="429D8C20">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4、可进行脸部护理、头发护理、口腔护理、假牙清洁护理。</w:t>
      </w:r>
    </w:p>
    <w:p w14:paraId="145C430F">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5、模拟瞳孔一侧正常一侧散大的观察对比。</w:t>
      </w:r>
    </w:p>
    <w:p w14:paraId="54542A7B">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6、可进行胸、腹部引流术后护理；回肠造口术后护理、结肠造口术后护理；乳腺癌切除术后护理；乳房检查和乳房护理。</w:t>
      </w:r>
    </w:p>
    <w:p w14:paraId="4D0F2001">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7、具有质感高度逼真的（男/女）会阴，材质的拉伸率和抗撕裂强度极高，可进行（男/女）导尿术的操作、留置导尿及护理、灌肠术的操作、阴道护理，可使用阴道窥器。</w:t>
      </w:r>
    </w:p>
    <w:p w14:paraId="35276498">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8、可进行臀部肌肉注射、臀部压疮护理，配全套四个阶段压疮护理模块。</w:t>
      </w:r>
    </w:p>
    <w:p w14:paraId="12AB8818">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9、完整的上肢和下肢足部静脉血管系统，可进行静脉输液、采血和注射给药。</w:t>
      </w:r>
    </w:p>
    <w:p w14:paraId="56DCBE90">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10、配血液循环加压装置，可模拟静脉血管充盈，静脉穿刺有明显回血，静脉血循环流动，可逼真的完成静脉输液，输液滴数可控制，可使用输液泵或注射泵。</w:t>
      </w:r>
    </w:p>
    <w:p w14:paraId="633F1B86">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11、配有上臂肌肉注射模块，可进行上臂肌肉注射。</w:t>
      </w:r>
    </w:p>
    <w:p w14:paraId="5B5C1812">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12、成人仿真手臂，用真实血压计进行无创血压的测量，具有korotkoff  Gap音。可预置、设定血压值，设定的血压值可精确到1毫米汞柱。脉搏频率和音量大小可控制。显示收缩压、舒张压、心率数值，并有模拟汞柱动态显示。</w:t>
      </w:r>
    </w:p>
    <w:p w14:paraId="0DEB7758">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13、可进行消毒、换药、包扎、止血等护理操作。护理模块套装包括：腹部切口缝合；腹部切口引流；腹部锐器伤口；暴露脏器的腹部伤口；带造瘘口的腹部；臀部压疮（套件）；小腿残肢；下肢静脉曲张；糖尿病足；大腿手术伤口；大腿外伤化脓；大腿锐器伤。</w:t>
      </w:r>
    </w:p>
    <w:p w14:paraId="7B88C5C4">
      <w:pPr>
        <w:widowControl w:val="0"/>
        <w:numPr>
          <w:ilvl w:val="0"/>
          <w:numId w:val="0"/>
        </w:numPr>
        <w:spacing w:line="360" w:lineRule="auto"/>
        <w:jc w:val="both"/>
        <w:rPr>
          <w:rFonts w:hint="eastAsia" w:ascii="宋体" w:hAnsi="宋体" w:eastAsia="宋体" w:cs="宋体"/>
          <w:b/>
          <w:bCs/>
          <w:sz w:val="24"/>
          <w:szCs w:val="24"/>
          <w:highlight w:val="none"/>
        </w:rPr>
      </w:pPr>
    </w:p>
    <w:p w14:paraId="11E18C19">
      <w:pPr>
        <w:numPr>
          <w:ilvl w:val="0"/>
          <w:numId w:val="0"/>
        </w:numPr>
        <w:spacing w:line="360" w:lineRule="auto"/>
        <w:ind w:left="0" w:leftChars="0" w:firstLine="0" w:firstLineChars="0"/>
        <w:rPr>
          <w:rFonts w:hint="eastAsia" w:ascii="宋体" w:hAnsi="宋体" w:eastAsia="宋体" w:cs="宋体"/>
          <w:b/>
          <w:bCs/>
          <w:sz w:val="24"/>
          <w:szCs w:val="24"/>
          <w:highlight w:val="none"/>
        </w:rPr>
      </w:pPr>
      <w:r>
        <w:rPr>
          <w:rFonts w:hint="eastAsia" w:ascii="宋体" w:hAnsi="宋体" w:eastAsia="宋体" w:cs="宋体"/>
          <w:b/>
          <w:bCs/>
          <w:kern w:val="2"/>
          <w:sz w:val="24"/>
          <w:szCs w:val="24"/>
          <w:lang w:val="en-US" w:eastAsia="zh-CN" w:bidi="ar-SA"/>
        </w:rPr>
        <w:t>（六）</w:t>
      </w:r>
      <w:r>
        <w:rPr>
          <w:rFonts w:hint="eastAsia" w:ascii="宋体" w:hAnsi="宋体" w:eastAsia="宋体" w:cs="宋体"/>
          <w:b/>
          <w:bCs/>
          <w:sz w:val="24"/>
          <w:szCs w:val="24"/>
          <w:highlight w:val="none"/>
        </w:rPr>
        <w:t>成人梗阻训练模型</w:t>
      </w:r>
    </w:p>
    <w:p w14:paraId="516AEE6E">
      <w:pPr>
        <w:keepNext w:val="0"/>
        <w:keepLines w:val="0"/>
        <w:widowControl w:val="0"/>
        <w:numPr>
          <w:ilvl w:val="0"/>
          <w:numId w:val="0"/>
        </w:numPr>
        <w:suppressLineNumbers w:val="0"/>
        <w:spacing w:before="0" w:beforeAutospacing="0" w:after="0" w:afterAutospacing="0" w:line="360" w:lineRule="auto"/>
        <w:ind w:left="440" w:right="0" w:hanging="440" w:firstLineChars="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w:t>
      </w:r>
      <w:r>
        <w:rPr>
          <w:rFonts w:hint="eastAsia" w:ascii="宋体" w:hAnsi="宋体" w:eastAsia="宋体" w:cs="宋体"/>
          <w:kern w:val="2"/>
          <w:sz w:val="24"/>
          <w:szCs w:val="24"/>
          <w:lang w:val="en-US" w:eastAsia="zh-CN" w:bidi="ar"/>
        </w:rPr>
        <w:t>该模型为半身男性模型，具有解剖学特征，主要模拟异物气道梗塞；</w:t>
      </w:r>
    </w:p>
    <w:p w14:paraId="2FEEDBE3">
      <w:pPr>
        <w:keepNext w:val="0"/>
        <w:keepLines w:val="0"/>
        <w:widowControl w:val="0"/>
        <w:numPr>
          <w:ilvl w:val="0"/>
          <w:numId w:val="0"/>
        </w:numPr>
        <w:suppressLineNumbers w:val="0"/>
        <w:spacing w:before="0" w:beforeAutospacing="0" w:after="0" w:afterAutospacing="0" w:line="360" w:lineRule="auto"/>
        <w:ind w:left="440" w:right="0" w:hanging="440" w:firstLineChars="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w:t>
      </w:r>
      <w:r>
        <w:rPr>
          <w:rFonts w:hint="eastAsia" w:ascii="宋体" w:hAnsi="宋体" w:eastAsia="宋体" w:cs="宋体"/>
          <w:kern w:val="2"/>
          <w:sz w:val="24"/>
          <w:szCs w:val="24"/>
          <w:lang w:val="en-US" w:eastAsia="zh-CN" w:bidi="ar"/>
        </w:rPr>
        <w:t>解剖学标记，包括肋骨和肚脐；</w:t>
      </w:r>
    </w:p>
    <w:p w14:paraId="5B959AB8">
      <w:pPr>
        <w:keepNext w:val="0"/>
        <w:keepLines w:val="0"/>
        <w:widowControl w:val="0"/>
        <w:numPr>
          <w:ilvl w:val="0"/>
          <w:numId w:val="0"/>
        </w:numPr>
        <w:suppressLineNumbers w:val="0"/>
        <w:spacing w:before="0" w:beforeAutospacing="0" w:after="0" w:afterAutospacing="0" w:line="360" w:lineRule="auto"/>
        <w:ind w:left="440" w:right="0" w:hanging="440" w:firstLineChars="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w:t>
      </w:r>
      <w:r>
        <w:rPr>
          <w:rFonts w:hint="eastAsia" w:ascii="宋体" w:hAnsi="宋体" w:eastAsia="宋体" w:cs="宋体"/>
          <w:kern w:val="2"/>
          <w:sz w:val="24"/>
          <w:szCs w:val="24"/>
          <w:lang w:val="en-US" w:eastAsia="zh-CN" w:bidi="ar"/>
        </w:rPr>
        <w:t>模拟有意识及无意识病人的处理过程。通过快速向上冲击腹部，产生压力将气道内的异物排出，适用于气道被食物或其他异物堵塞的紧急情况；</w:t>
      </w:r>
    </w:p>
    <w:p w14:paraId="7D5C62C5">
      <w:pPr>
        <w:keepNext w:val="0"/>
        <w:keepLines w:val="0"/>
        <w:widowControl w:val="0"/>
        <w:numPr>
          <w:ilvl w:val="0"/>
          <w:numId w:val="0"/>
        </w:numPr>
        <w:suppressLineNumbers w:val="0"/>
        <w:spacing w:before="0" w:beforeAutospacing="0" w:after="0" w:afterAutospacing="0" w:line="360" w:lineRule="auto"/>
        <w:ind w:left="440" w:right="0" w:hanging="440" w:firstLineChars="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w:t>
      </w:r>
      <w:r>
        <w:rPr>
          <w:rFonts w:hint="eastAsia" w:ascii="宋体" w:hAnsi="宋体" w:eastAsia="宋体" w:cs="宋体"/>
          <w:kern w:val="2"/>
          <w:sz w:val="24"/>
          <w:szCs w:val="24"/>
          <w:lang w:val="en-US" w:eastAsia="zh-CN" w:bidi="ar"/>
        </w:rPr>
        <w:t>配圆形块状物用于模拟异物，可放置模拟人口腔内，正确处理后，模拟异物可从嘴巴里</w:t>
      </w:r>
      <w:r>
        <w:rPr>
          <w:rFonts w:hint="eastAsia" w:ascii="宋体" w:hAnsi="宋体" w:eastAsia="宋体" w:cs="宋体"/>
          <w:kern w:val="2"/>
          <w:sz w:val="24"/>
          <w:szCs w:val="24"/>
          <w:lang w:val="en-US" w:eastAsia="zh-CN" w:bidi="ar-SA"/>
        </w:rPr>
        <w:t>弹出；</w:t>
      </w:r>
    </w:p>
    <w:p w14:paraId="29BC243A">
      <w:pPr>
        <w:keepNext w:val="0"/>
        <w:keepLines w:val="0"/>
        <w:widowControl w:val="0"/>
        <w:numPr>
          <w:ilvl w:val="0"/>
          <w:numId w:val="0"/>
        </w:numPr>
        <w:suppressLineNumbers w:val="0"/>
        <w:spacing w:before="0" w:beforeAutospacing="0" w:after="0" w:afterAutospacing="0" w:line="360" w:lineRule="auto"/>
        <w:ind w:left="440" w:right="0" w:hanging="440" w:firstLineChars="0"/>
        <w:jc w:val="left"/>
        <w:rPr>
          <w:rFonts w:hint="eastAsia" w:ascii="宋体" w:hAnsi="宋体" w:eastAsia="宋体" w:cs="宋体"/>
          <w:i/>
          <w:iCs w:val="0"/>
          <w:color w:val="FF0000"/>
          <w:kern w:val="2"/>
          <w:sz w:val="24"/>
          <w:szCs w:val="24"/>
          <w:lang w:val="en-US" w:eastAsia="zh-CN" w:bidi="ar-SA"/>
        </w:rPr>
      </w:pPr>
      <w:r>
        <w:rPr>
          <w:rFonts w:hint="eastAsia" w:ascii="宋体" w:hAnsi="宋体" w:eastAsia="宋体" w:cs="宋体"/>
          <w:i w:val="0"/>
          <w:iCs w:val="0"/>
          <w:kern w:val="2"/>
          <w:sz w:val="24"/>
          <w:szCs w:val="24"/>
          <w:lang w:val="en-US" w:eastAsia="zh-CN" w:bidi="ar-SA"/>
        </w:rPr>
        <w:t>5.</w:t>
      </w:r>
      <w:r>
        <w:rPr>
          <w:rFonts w:hint="eastAsia" w:ascii="宋体" w:hAnsi="宋体" w:eastAsia="宋体" w:cs="宋体"/>
          <w:kern w:val="2"/>
          <w:sz w:val="24"/>
          <w:szCs w:val="24"/>
          <w:lang w:val="en-US" w:eastAsia="zh-CN" w:bidi="ar-SA"/>
        </w:rPr>
        <w:t>配置要求：模拟异</w:t>
      </w:r>
      <w:r>
        <w:rPr>
          <w:rFonts w:hint="eastAsia" w:ascii="宋体" w:hAnsi="宋体" w:eastAsia="宋体" w:cs="宋体"/>
          <w:kern w:val="2"/>
          <w:sz w:val="24"/>
          <w:szCs w:val="24"/>
          <w:lang w:val="en-US" w:eastAsia="zh-CN" w:bidi="ar"/>
        </w:rPr>
        <w:t>物1包，模型1套，收纳袋1个。（标配，必须满足）</w:t>
      </w:r>
    </w:p>
    <w:p w14:paraId="0572D294">
      <w:pPr>
        <w:widowControl w:val="0"/>
        <w:numPr>
          <w:ilvl w:val="0"/>
          <w:numId w:val="0"/>
        </w:numPr>
        <w:spacing w:line="360" w:lineRule="auto"/>
        <w:jc w:val="both"/>
        <w:rPr>
          <w:rFonts w:hint="eastAsia" w:ascii="宋体" w:hAnsi="宋体" w:eastAsia="宋体" w:cs="宋体"/>
          <w:b/>
          <w:bCs/>
          <w:sz w:val="24"/>
          <w:szCs w:val="24"/>
          <w:highlight w:val="none"/>
        </w:rPr>
      </w:pPr>
    </w:p>
    <w:p w14:paraId="0E6F12A5">
      <w:pPr>
        <w:numPr>
          <w:ilvl w:val="0"/>
          <w:numId w:val="0"/>
        </w:numPr>
        <w:spacing w:line="360" w:lineRule="auto"/>
        <w:ind w:left="0" w:leftChars="0" w:firstLine="0" w:firstLineChars="0"/>
        <w:rPr>
          <w:rFonts w:hint="eastAsia" w:ascii="宋体" w:hAnsi="宋体" w:eastAsia="宋体" w:cs="宋体"/>
          <w:b/>
          <w:bCs/>
          <w:sz w:val="24"/>
          <w:szCs w:val="24"/>
          <w:highlight w:val="none"/>
        </w:rPr>
      </w:pPr>
      <w:r>
        <w:rPr>
          <w:rFonts w:hint="eastAsia" w:ascii="宋体" w:hAnsi="宋体" w:eastAsia="宋体" w:cs="宋体"/>
          <w:b/>
          <w:bCs/>
          <w:kern w:val="2"/>
          <w:sz w:val="24"/>
          <w:szCs w:val="24"/>
          <w:lang w:val="en-US" w:eastAsia="zh-CN" w:bidi="ar-SA"/>
        </w:rPr>
        <w:t>（七）</w:t>
      </w:r>
      <w:r>
        <w:rPr>
          <w:rFonts w:hint="eastAsia" w:ascii="宋体" w:hAnsi="宋体" w:eastAsia="宋体" w:cs="宋体"/>
          <w:b/>
          <w:bCs/>
          <w:sz w:val="24"/>
          <w:szCs w:val="24"/>
          <w:highlight w:val="none"/>
        </w:rPr>
        <w:t>腹腔穿刺模型</w:t>
      </w:r>
    </w:p>
    <w:p w14:paraId="5170F320">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 仿真模型采用优质材料制作，质地柔软，触感真实，外观形象逼真。</w:t>
      </w:r>
    </w:p>
    <w:p w14:paraId="2C122CA5">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 解剖位置准确：锁骨、胸锁乳突肌锁骨头、肋骨、胸骨上窝、锁骨中线、腋前线、腋中线、髂前上棘、髂嵴、脐可明显触及。</w:t>
      </w:r>
    </w:p>
    <w:p w14:paraId="5497C21B">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b/>
          <w:bCs/>
          <w:sz w:val="24"/>
          <w:szCs w:val="24"/>
          <w:highlight w:val="none"/>
        </w:rPr>
      </w:pPr>
      <w:r>
        <w:rPr>
          <w:rFonts w:hint="eastAsia" w:ascii="宋体" w:hAnsi="宋体" w:eastAsia="宋体" w:cs="宋体"/>
          <w:kern w:val="2"/>
          <w:sz w:val="24"/>
          <w:szCs w:val="24"/>
          <w:lang w:val="en-US" w:eastAsia="zh-CN" w:bidi="ar"/>
        </w:rPr>
        <w:t>3. 仿真模型可行腹部穿刺操作。实施腹部穿刺与骨髓穿刺训练时，应按临床实际操作规程进行。</w:t>
      </w:r>
    </w:p>
    <w:p w14:paraId="03332333">
      <w:pPr>
        <w:widowControl w:val="0"/>
        <w:numPr>
          <w:ilvl w:val="0"/>
          <w:numId w:val="0"/>
        </w:numPr>
        <w:spacing w:line="360" w:lineRule="auto"/>
        <w:jc w:val="both"/>
        <w:rPr>
          <w:rFonts w:hint="eastAsia" w:ascii="宋体" w:hAnsi="宋体" w:eastAsia="宋体" w:cs="宋体"/>
          <w:b/>
          <w:bCs/>
          <w:sz w:val="24"/>
          <w:szCs w:val="24"/>
          <w:highlight w:val="none"/>
        </w:rPr>
      </w:pPr>
    </w:p>
    <w:p w14:paraId="3FD2FF83">
      <w:pPr>
        <w:numPr>
          <w:ilvl w:val="0"/>
          <w:numId w:val="0"/>
        </w:numPr>
        <w:spacing w:line="360" w:lineRule="auto"/>
        <w:ind w:left="0" w:leftChars="0" w:firstLine="0" w:firstLineChars="0"/>
        <w:rPr>
          <w:rFonts w:hint="eastAsia" w:ascii="宋体" w:hAnsi="宋体" w:eastAsia="宋体" w:cs="宋体"/>
          <w:b/>
          <w:bCs/>
          <w:sz w:val="24"/>
          <w:szCs w:val="24"/>
          <w:highlight w:val="none"/>
        </w:rPr>
      </w:pPr>
      <w:r>
        <w:rPr>
          <w:rFonts w:hint="eastAsia" w:ascii="宋体" w:hAnsi="宋体" w:eastAsia="宋体" w:cs="宋体"/>
          <w:b/>
          <w:bCs/>
          <w:kern w:val="2"/>
          <w:sz w:val="24"/>
          <w:szCs w:val="24"/>
          <w:lang w:val="en-US" w:eastAsia="zh-CN" w:bidi="ar-SA"/>
        </w:rPr>
        <w:t>（八）</w:t>
      </w:r>
      <w:r>
        <w:rPr>
          <w:rFonts w:hint="eastAsia" w:ascii="宋体" w:hAnsi="宋体" w:eastAsia="宋体" w:cs="宋体"/>
          <w:b/>
          <w:bCs/>
          <w:sz w:val="24"/>
          <w:szCs w:val="24"/>
          <w:highlight w:val="none"/>
        </w:rPr>
        <w:t>AED训练器</w:t>
      </w:r>
    </w:p>
    <w:p w14:paraId="53105074">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1.通用AED训练器设计，让学员可适应任何品牌AED训练器。</w:t>
      </w:r>
    </w:p>
    <w:p w14:paraId="3FEB5482">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★2.预置≥6个病例，模拟真实的心脏骤停场景。。</w:t>
      </w:r>
    </w:p>
    <w:p w14:paraId="1BAC32C3">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3.病例参数可调节。</w:t>
      </w:r>
    </w:p>
    <w:p w14:paraId="13F1343D">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4.同时具备成人和儿童AED训练器功能，提示音可切换为儿童的模式。</w:t>
      </w:r>
    </w:p>
    <w:p w14:paraId="609AB2CA">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★5.可与心肺复苏模型配合使用，实现自主识别贴片位置的功能。</w:t>
      </w:r>
    </w:p>
    <w:p w14:paraId="6F314334">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6.可在应用商城免费下载心肺软件做为遥控设备，通过蓝牙连接，实现操作软件更新和访问。</w:t>
      </w:r>
    </w:p>
    <w:p w14:paraId="7C5CF4A7">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★7.心肺软件可同时控制≥6台AED训练器。可选择多个AED训练器同步进行设置，也可选择单个AED训练器分别进行设置。</w:t>
      </w:r>
    </w:p>
    <w:p w14:paraId="3154E004">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8.导师可手动选择贴片位置正确按按钮，以便快速进入下一步操作。</w:t>
      </w:r>
    </w:p>
    <w:p w14:paraId="2D58FBE0">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★9.可选择打开或关闭完全自动模式，模拟如何使用可自动电击的全自动AED训练器进行训练。</w:t>
      </w:r>
    </w:p>
    <w:p w14:paraId="30938FD1">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10.预置病例可通过心肺软件选择，也可通过AED侧面按钮切换。</w:t>
      </w:r>
    </w:p>
    <w:p w14:paraId="6CC86AA2">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11.AED训练器电量过低时可通过AED训练器本身的灯光提示，也可在App上显示。 </w:t>
      </w:r>
    </w:p>
    <w:p w14:paraId="51AC689C">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b/>
          <w:bCs/>
          <w:sz w:val="24"/>
          <w:szCs w:val="24"/>
          <w:highlight w:val="none"/>
        </w:rPr>
      </w:pPr>
      <w:r>
        <w:rPr>
          <w:rFonts w:hint="eastAsia" w:ascii="宋体" w:hAnsi="宋体" w:eastAsia="宋体" w:cs="宋体"/>
          <w:kern w:val="2"/>
          <w:sz w:val="24"/>
          <w:szCs w:val="24"/>
          <w:lang w:val="en-US" w:eastAsia="zh-CN" w:bidi="ar"/>
        </w:rPr>
        <w:t>12.可选择提示语言。</w:t>
      </w:r>
    </w:p>
    <w:p w14:paraId="4947A4C5">
      <w:pPr>
        <w:widowControl w:val="0"/>
        <w:numPr>
          <w:ilvl w:val="0"/>
          <w:numId w:val="0"/>
        </w:numPr>
        <w:spacing w:line="360" w:lineRule="auto"/>
        <w:jc w:val="both"/>
        <w:rPr>
          <w:rFonts w:hint="eastAsia" w:ascii="宋体" w:hAnsi="宋体" w:eastAsia="宋体" w:cs="宋体"/>
          <w:b/>
          <w:bCs/>
          <w:sz w:val="24"/>
          <w:szCs w:val="24"/>
          <w:highlight w:val="none"/>
        </w:rPr>
      </w:pPr>
    </w:p>
    <w:p w14:paraId="374C1718">
      <w:pPr>
        <w:numPr>
          <w:ilvl w:val="0"/>
          <w:numId w:val="0"/>
        </w:numPr>
        <w:spacing w:line="360" w:lineRule="auto"/>
        <w:ind w:left="0" w:leftChars="0" w:firstLine="0" w:firstLineChars="0"/>
        <w:rPr>
          <w:rFonts w:hint="eastAsia" w:ascii="宋体" w:hAnsi="宋体" w:eastAsia="宋体" w:cs="宋体"/>
          <w:b/>
          <w:bCs/>
          <w:sz w:val="24"/>
          <w:szCs w:val="24"/>
          <w:highlight w:val="none"/>
        </w:rPr>
      </w:pPr>
      <w:r>
        <w:rPr>
          <w:rFonts w:hint="eastAsia" w:ascii="宋体" w:hAnsi="宋体" w:eastAsia="宋体" w:cs="宋体"/>
          <w:b/>
          <w:bCs/>
          <w:kern w:val="2"/>
          <w:sz w:val="24"/>
          <w:szCs w:val="24"/>
          <w:lang w:val="en-US" w:eastAsia="zh-CN" w:bidi="ar-SA"/>
        </w:rPr>
        <w:t>（九）</w:t>
      </w:r>
      <w:r>
        <w:rPr>
          <w:rFonts w:hint="eastAsia" w:ascii="宋体" w:hAnsi="宋体" w:eastAsia="宋体" w:cs="宋体"/>
          <w:b/>
          <w:bCs/>
          <w:sz w:val="24"/>
          <w:szCs w:val="24"/>
          <w:highlight w:val="none"/>
        </w:rPr>
        <w:t>泪道冲洗模型</w:t>
      </w:r>
    </w:p>
    <w:p w14:paraId="0827EB0F">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1、模型为男性上半身模型，有正确的坐位操作体位, 形象逼真，仿真度高, 皮肤组织柔软和富有弹性。</w:t>
      </w:r>
    </w:p>
    <w:p w14:paraId="740321D9">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2、该模型具有正常泪道解剖解构，包括泪小管、泪道、鼻泪管。泪小管可按照操作中的实际需要，随进针的角度变化而改变。 </w:t>
      </w:r>
    </w:p>
    <w:p w14:paraId="2EC3630F">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b/>
          <w:bCs/>
          <w:sz w:val="24"/>
          <w:szCs w:val="24"/>
          <w:highlight w:val="none"/>
        </w:rPr>
      </w:pPr>
      <w:r>
        <w:rPr>
          <w:rFonts w:hint="eastAsia" w:ascii="宋体" w:hAnsi="宋体" w:eastAsia="宋体" w:cs="宋体"/>
          <w:kern w:val="2"/>
          <w:sz w:val="24"/>
          <w:szCs w:val="24"/>
          <w:lang w:val="en-US" w:eastAsia="zh-CN" w:bidi="ar"/>
        </w:rPr>
        <w:t>3、可模拟练习泪道冲洗操作，冲洗操作正确，液体从鼻腔或口腔流出。可根据训练和考核需要，在模拟的泪小管中加入模拟脓液，进行泪道阻塞后的冲洗操作训练。</w:t>
      </w:r>
    </w:p>
    <w:p w14:paraId="7C5F8112">
      <w:pPr>
        <w:widowControl w:val="0"/>
        <w:numPr>
          <w:ilvl w:val="0"/>
          <w:numId w:val="0"/>
        </w:numPr>
        <w:spacing w:line="360" w:lineRule="auto"/>
        <w:jc w:val="both"/>
        <w:rPr>
          <w:rFonts w:hint="eastAsia" w:ascii="宋体" w:hAnsi="宋体" w:eastAsia="宋体" w:cs="宋体"/>
          <w:b/>
          <w:bCs/>
          <w:sz w:val="24"/>
          <w:szCs w:val="24"/>
          <w:highlight w:val="none"/>
        </w:rPr>
      </w:pPr>
    </w:p>
    <w:p w14:paraId="46ADC31F">
      <w:pPr>
        <w:numPr>
          <w:ilvl w:val="0"/>
          <w:numId w:val="0"/>
        </w:numPr>
        <w:spacing w:line="360" w:lineRule="auto"/>
        <w:ind w:left="0" w:leftChars="0" w:firstLine="0" w:firstLineChars="0"/>
        <w:rPr>
          <w:rFonts w:hint="eastAsia" w:ascii="宋体" w:hAnsi="宋体" w:eastAsia="宋体" w:cs="宋体"/>
          <w:b/>
          <w:bCs/>
          <w:sz w:val="24"/>
          <w:szCs w:val="24"/>
          <w:highlight w:val="none"/>
        </w:rPr>
      </w:pPr>
      <w:r>
        <w:rPr>
          <w:rFonts w:hint="eastAsia" w:ascii="宋体" w:hAnsi="宋体" w:eastAsia="宋体" w:cs="宋体"/>
          <w:b/>
          <w:bCs/>
          <w:kern w:val="2"/>
          <w:sz w:val="24"/>
          <w:szCs w:val="24"/>
          <w:lang w:val="en-US" w:eastAsia="zh-CN" w:bidi="ar-SA"/>
        </w:rPr>
        <w:t>（十）</w:t>
      </w:r>
      <w:r>
        <w:rPr>
          <w:rFonts w:hint="eastAsia" w:ascii="宋体" w:hAnsi="宋体" w:eastAsia="宋体" w:cs="宋体"/>
          <w:b/>
          <w:bCs/>
          <w:sz w:val="24"/>
          <w:szCs w:val="24"/>
          <w:highlight w:val="none"/>
        </w:rPr>
        <w:t>高级眼内视网膜病变检查模型</w:t>
      </w:r>
    </w:p>
    <w:p w14:paraId="1FF721AD">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更换不同的眼底病变幻灯模拟临床常见的眼底病变，包括：</w:t>
      </w:r>
    </w:p>
    <w:p w14:paraId="29735A99">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1、正常视网膜</w:t>
      </w:r>
    </w:p>
    <w:p w14:paraId="2B856BA3">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2、老年性视网膜黄斑变性(左侧)</w:t>
      </w:r>
    </w:p>
    <w:p w14:paraId="7641A107">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3、视网膜中央静脉阻塞（闭塞）</w:t>
      </w:r>
    </w:p>
    <w:p w14:paraId="1B924302">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4、高血压性视网膜病变</w:t>
      </w:r>
    </w:p>
    <w:p w14:paraId="68534248">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5、视神经乳头水肿</w:t>
      </w:r>
    </w:p>
    <w:p w14:paraId="3C04CB6F">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6、视神经盘凹陷</w:t>
      </w:r>
    </w:p>
    <w:p w14:paraId="45947AAE">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7、视神经萎缩</w:t>
      </w:r>
    </w:p>
    <w:p w14:paraId="33148359">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8、轻度背景型糖尿病性视网膜病变</w:t>
      </w:r>
    </w:p>
    <w:p w14:paraId="371E2499">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9、背景型糖尿病性视网膜病变</w:t>
      </w:r>
    </w:p>
    <w:p w14:paraId="51A99566">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10、非增生性糖尿病性视网膜病变（1）</w:t>
      </w:r>
    </w:p>
    <w:p w14:paraId="73522587">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11、非增生性糖尿病性视网膜病变（2）</w:t>
      </w:r>
    </w:p>
    <w:p w14:paraId="2E2D448A">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12、增生性糖尿病性视网膜病变？</w:t>
      </w:r>
    </w:p>
    <w:p w14:paraId="052040EE">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13、糖尿病性视网膜病变</w:t>
      </w:r>
    </w:p>
    <w:p w14:paraId="1B15C9A7">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14、病变真实，更换简单易于操作</w:t>
      </w:r>
    </w:p>
    <w:p w14:paraId="461FE420">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15、有利于反复对比观察</w:t>
      </w:r>
    </w:p>
    <w:p w14:paraId="23AC6F5C">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16、提供≥13种视网膜病变配件</w:t>
      </w:r>
    </w:p>
    <w:p w14:paraId="68906D8B">
      <w:pPr>
        <w:widowControl w:val="0"/>
        <w:numPr>
          <w:ilvl w:val="0"/>
          <w:numId w:val="0"/>
        </w:numPr>
        <w:spacing w:line="360" w:lineRule="auto"/>
        <w:jc w:val="both"/>
        <w:rPr>
          <w:rFonts w:hint="eastAsia" w:ascii="宋体" w:hAnsi="宋体" w:eastAsia="宋体" w:cs="宋体"/>
          <w:b/>
          <w:bCs/>
          <w:sz w:val="24"/>
          <w:szCs w:val="24"/>
          <w:highlight w:val="none"/>
        </w:rPr>
      </w:pPr>
    </w:p>
    <w:p w14:paraId="0349351E">
      <w:pPr>
        <w:numPr>
          <w:ilvl w:val="0"/>
          <w:numId w:val="0"/>
        </w:numPr>
        <w:spacing w:line="360" w:lineRule="auto"/>
        <w:ind w:left="0" w:leftChars="0" w:firstLine="0" w:firstLineChars="0"/>
        <w:rPr>
          <w:rFonts w:hint="eastAsia" w:ascii="宋体" w:hAnsi="宋体" w:eastAsia="宋体" w:cs="宋体"/>
          <w:b/>
          <w:bCs/>
          <w:sz w:val="24"/>
          <w:szCs w:val="24"/>
          <w:highlight w:val="none"/>
        </w:rPr>
      </w:pPr>
      <w:r>
        <w:rPr>
          <w:rFonts w:hint="eastAsia" w:ascii="宋体" w:hAnsi="宋体" w:eastAsia="宋体" w:cs="宋体"/>
          <w:b/>
          <w:bCs/>
          <w:kern w:val="2"/>
          <w:sz w:val="24"/>
          <w:szCs w:val="24"/>
          <w:lang w:val="en-US" w:eastAsia="zh-CN" w:bidi="ar-SA"/>
        </w:rPr>
        <w:t>（十一）</w:t>
      </w:r>
      <w:r>
        <w:rPr>
          <w:rFonts w:hint="eastAsia" w:ascii="宋体" w:hAnsi="宋体" w:eastAsia="宋体" w:cs="宋体"/>
          <w:b/>
          <w:bCs/>
          <w:sz w:val="24"/>
          <w:szCs w:val="24"/>
          <w:highlight w:val="none"/>
        </w:rPr>
        <w:t>心肺听诊训练模型（背心式）</w:t>
      </w:r>
    </w:p>
    <w:p w14:paraId="0C4D2C4A">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1、本模型集中了临床上常见的多种正常心肺音及病理性心肺音</w:t>
      </w:r>
    </w:p>
    <w:p w14:paraId="49ABAF9C">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2、≥42种心音、24种呼吸音、10个听诊区 </w:t>
      </w:r>
    </w:p>
    <w:p w14:paraId="53C2AB45">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3、本模型可佩戴式设计，可穿戴在模型人或学员身上</w:t>
      </w:r>
    </w:p>
    <w:p w14:paraId="17F73B15">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4、教师可通过听诊遥控器任意选择不同的心肺音，让学生通过比较做出诊断</w:t>
      </w:r>
    </w:p>
    <w:p w14:paraId="5D109F85">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5、通过遥控器可选择多种不同的心音和不同的肺音，进行听诊练习</w:t>
      </w:r>
    </w:p>
    <w:p w14:paraId="38211DAC">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6、音量调节：模拟电子听诊器有音量调节盒，旋动滑轮可调节音量大小；亦可通过听诊控制器调节音量大小。</w:t>
      </w:r>
    </w:p>
    <w:p w14:paraId="4BCA7976">
      <w:pPr>
        <w:widowControl w:val="0"/>
        <w:numPr>
          <w:ilvl w:val="0"/>
          <w:numId w:val="0"/>
        </w:numPr>
        <w:spacing w:line="360" w:lineRule="auto"/>
        <w:jc w:val="both"/>
        <w:rPr>
          <w:rFonts w:hint="eastAsia" w:ascii="宋体" w:hAnsi="宋体" w:eastAsia="宋体" w:cs="宋体"/>
          <w:b/>
          <w:bCs/>
          <w:sz w:val="24"/>
          <w:szCs w:val="24"/>
          <w:highlight w:val="none"/>
        </w:rPr>
      </w:pPr>
    </w:p>
    <w:p w14:paraId="2FFF72A0">
      <w:pPr>
        <w:numPr>
          <w:ilvl w:val="0"/>
          <w:numId w:val="0"/>
        </w:numPr>
        <w:spacing w:line="360" w:lineRule="auto"/>
        <w:ind w:left="0" w:leftChars="0" w:firstLine="0" w:firstLineChars="0"/>
        <w:rPr>
          <w:rFonts w:hint="eastAsia" w:ascii="宋体" w:hAnsi="宋体" w:eastAsia="宋体" w:cs="宋体"/>
          <w:b/>
          <w:bCs/>
          <w:sz w:val="24"/>
          <w:szCs w:val="24"/>
          <w:highlight w:val="none"/>
        </w:rPr>
      </w:pPr>
      <w:r>
        <w:rPr>
          <w:rFonts w:hint="eastAsia" w:ascii="宋体" w:hAnsi="宋体" w:eastAsia="宋体" w:cs="宋体"/>
          <w:b/>
          <w:bCs/>
          <w:kern w:val="2"/>
          <w:sz w:val="24"/>
          <w:szCs w:val="24"/>
          <w:lang w:val="en-US" w:eastAsia="zh-CN" w:bidi="ar-SA"/>
        </w:rPr>
        <w:t>（十二）</w:t>
      </w:r>
      <w:r>
        <w:rPr>
          <w:rFonts w:hint="eastAsia" w:ascii="宋体" w:hAnsi="宋体" w:eastAsia="宋体" w:cs="宋体"/>
          <w:b/>
          <w:bCs/>
          <w:sz w:val="24"/>
          <w:szCs w:val="24"/>
          <w:highlight w:val="none"/>
        </w:rPr>
        <w:t>新型多功能护理人实习模型（男性）</w:t>
      </w:r>
    </w:p>
    <w:p w14:paraId="2341488A">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具有以下功能：</w:t>
      </w:r>
    </w:p>
    <w:p w14:paraId="7A291ABC">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1、洗头、洗脸</w:t>
      </w:r>
    </w:p>
    <w:p w14:paraId="7C6734AE">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2、眼耳清洗、滴药</w:t>
      </w:r>
    </w:p>
    <w:p w14:paraId="38C2836B">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3、口腔护理、假牙护理</w:t>
      </w:r>
    </w:p>
    <w:p w14:paraId="488A980E">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4、口鼻气管插管</w:t>
      </w:r>
    </w:p>
    <w:p w14:paraId="31102FCF">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5、气管切开护理</w:t>
      </w:r>
    </w:p>
    <w:p w14:paraId="65161E31">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6、吸痰法</w:t>
      </w:r>
    </w:p>
    <w:p w14:paraId="0BE6CDE6">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7、氧气吸入法</w:t>
      </w:r>
    </w:p>
    <w:p w14:paraId="28E7AAF0">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8、口鼻饲食法</w:t>
      </w:r>
    </w:p>
    <w:p w14:paraId="4C1BD882">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9、洗胃法</w:t>
      </w:r>
    </w:p>
    <w:p w14:paraId="1795EBF3">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10、胸腔解剖重要器官结构</w:t>
      </w:r>
    </w:p>
    <w:p w14:paraId="3D43934B">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11、手臂静脉穿刺、注射、输液（血）</w:t>
      </w:r>
    </w:p>
    <w:p w14:paraId="276CF0A9">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12、三角肌皮下注射</w:t>
      </w:r>
    </w:p>
    <w:p w14:paraId="440B9063">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13、股外侧肌内注射</w:t>
      </w:r>
    </w:p>
    <w:p w14:paraId="41610EFD">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14、胸腔、肝脏、骨髓、腰椎穿刺</w:t>
      </w:r>
    </w:p>
    <w:p w14:paraId="3CFFC252">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15、灌肠法</w:t>
      </w:r>
    </w:p>
    <w:p w14:paraId="307FC86B">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16、女性导尿术</w:t>
      </w:r>
    </w:p>
    <w:p w14:paraId="06297622">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17、男性导尿术</w:t>
      </w:r>
    </w:p>
    <w:p w14:paraId="5C3D9A9D">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18、女性膀胱冲洗</w:t>
      </w:r>
    </w:p>
    <w:p w14:paraId="6CADD940">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19、男性膀胱冲洗</w:t>
      </w:r>
    </w:p>
    <w:p w14:paraId="2EF65599">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20、造瘘引流术</w:t>
      </w:r>
    </w:p>
    <w:p w14:paraId="3B9ED9EF">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21、臀部肌肉注射</w:t>
      </w:r>
    </w:p>
    <w:p w14:paraId="052B7591">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22、腹腔解剖重要器官结构</w:t>
      </w:r>
    </w:p>
    <w:p w14:paraId="4F274BAA">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23、整体护理：擦浴、穿换衣裤</w:t>
      </w:r>
    </w:p>
    <w:p w14:paraId="27586F07">
      <w:pPr>
        <w:widowControl w:val="0"/>
        <w:numPr>
          <w:ilvl w:val="0"/>
          <w:numId w:val="0"/>
        </w:numPr>
        <w:spacing w:line="360" w:lineRule="auto"/>
        <w:jc w:val="both"/>
        <w:rPr>
          <w:rFonts w:hint="eastAsia" w:ascii="宋体" w:hAnsi="宋体" w:eastAsia="宋体" w:cs="宋体"/>
          <w:b/>
          <w:bCs/>
          <w:sz w:val="24"/>
          <w:szCs w:val="24"/>
          <w:highlight w:val="none"/>
        </w:rPr>
      </w:pPr>
    </w:p>
    <w:p w14:paraId="2937CE77">
      <w:pPr>
        <w:numPr>
          <w:ilvl w:val="0"/>
          <w:numId w:val="0"/>
        </w:numPr>
        <w:spacing w:line="360" w:lineRule="auto"/>
        <w:ind w:left="0" w:leftChars="0" w:firstLine="0" w:firstLineChars="0"/>
        <w:rPr>
          <w:rFonts w:hint="eastAsia" w:ascii="宋体" w:hAnsi="宋体" w:eastAsia="宋体" w:cs="宋体"/>
          <w:b/>
          <w:bCs/>
          <w:sz w:val="24"/>
          <w:szCs w:val="24"/>
          <w:highlight w:val="none"/>
        </w:rPr>
      </w:pPr>
      <w:r>
        <w:rPr>
          <w:rFonts w:hint="eastAsia" w:ascii="宋体" w:hAnsi="宋体" w:eastAsia="宋体" w:cs="宋体"/>
          <w:b/>
          <w:bCs/>
          <w:kern w:val="2"/>
          <w:sz w:val="24"/>
          <w:szCs w:val="24"/>
          <w:lang w:val="en-US" w:eastAsia="zh-CN" w:bidi="ar-SA"/>
        </w:rPr>
        <w:t>（十三）</w:t>
      </w:r>
      <w:r>
        <w:rPr>
          <w:rFonts w:hint="eastAsia" w:ascii="宋体" w:hAnsi="宋体" w:eastAsia="宋体" w:cs="宋体"/>
          <w:b/>
          <w:bCs/>
          <w:sz w:val="24"/>
          <w:szCs w:val="24"/>
          <w:highlight w:val="none"/>
        </w:rPr>
        <w:t>新型多功能护理人实习模型（女性）</w:t>
      </w:r>
    </w:p>
    <w:p w14:paraId="1E92F5E0">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具有以下功能：</w:t>
      </w:r>
    </w:p>
    <w:p w14:paraId="61705F17">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1、洗脸、洗头和床上擦浴； </w:t>
      </w:r>
    </w:p>
    <w:p w14:paraId="10AAAC1A">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2、口腔护理； </w:t>
      </w:r>
    </w:p>
    <w:p w14:paraId="60A53B4E">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3、气管切开护理； </w:t>
      </w:r>
    </w:p>
    <w:p w14:paraId="4CE32EAB">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4、氧气吸入疗法； </w:t>
      </w:r>
    </w:p>
    <w:p w14:paraId="38D8708E">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5、鼻饲法； </w:t>
      </w:r>
    </w:p>
    <w:p w14:paraId="2B850D56">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6、洗胃法；</w:t>
      </w:r>
    </w:p>
    <w:p w14:paraId="3DBB01E2">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7、乳房护理；</w:t>
      </w:r>
    </w:p>
    <w:p w14:paraId="16188DFD">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8、胸腔穿刺；</w:t>
      </w:r>
    </w:p>
    <w:p w14:paraId="4C3DD434">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9、肝脏穿刺；</w:t>
      </w:r>
    </w:p>
    <w:p w14:paraId="25C3242C">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10、骨髓穿刺；</w:t>
      </w:r>
    </w:p>
    <w:p w14:paraId="4AB0C200">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11、腰椎穿刺；</w:t>
      </w:r>
    </w:p>
    <w:p w14:paraId="4873A88D">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12、三角肌注射；</w:t>
      </w:r>
    </w:p>
    <w:p w14:paraId="5394B2A8">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13、静脉注射、穿刺、输液、输血；</w:t>
      </w:r>
    </w:p>
    <w:p w14:paraId="5BF70E43">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14、女性导尿；</w:t>
      </w:r>
    </w:p>
    <w:p w14:paraId="574B01F3">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15、女性灌肠；</w:t>
      </w:r>
    </w:p>
    <w:p w14:paraId="7B800238">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16、女性膀胱冲洗；</w:t>
      </w:r>
    </w:p>
    <w:p w14:paraId="61184A7B">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b/>
          <w:bCs/>
          <w:sz w:val="24"/>
          <w:szCs w:val="24"/>
          <w:highlight w:val="none"/>
        </w:rPr>
      </w:pPr>
      <w:r>
        <w:rPr>
          <w:rFonts w:hint="eastAsia" w:ascii="宋体" w:hAnsi="宋体" w:eastAsia="宋体" w:cs="宋体"/>
          <w:kern w:val="2"/>
          <w:sz w:val="24"/>
          <w:szCs w:val="24"/>
          <w:lang w:val="en-US" w:eastAsia="zh-CN" w:bidi="ar"/>
        </w:rPr>
        <w:t>17、臀部肌内注射；</w:t>
      </w:r>
    </w:p>
    <w:p w14:paraId="47331833">
      <w:pPr>
        <w:widowControl w:val="0"/>
        <w:numPr>
          <w:ilvl w:val="0"/>
          <w:numId w:val="0"/>
        </w:numPr>
        <w:spacing w:line="360" w:lineRule="auto"/>
        <w:jc w:val="both"/>
        <w:rPr>
          <w:rFonts w:hint="eastAsia" w:ascii="宋体" w:hAnsi="宋体" w:eastAsia="宋体" w:cs="宋体"/>
          <w:b/>
          <w:bCs/>
          <w:sz w:val="24"/>
          <w:szCs w:val="24"/>
          <w:highlight w:val="none"/>
        </w:rPr>
      </w:pPr>
    </w:p>
    <w:p w14:paraId="7E1B9D22">
      <w:pPr>
        <w:numPr>
          <w:ilvl w:val="0"/>
          <w:numId w:val="0"/>
        </w:numPr>
        <w:spacing w:line="360" w:lineRule="auto"/>
        <w:ind w:left="0" w:leftChars="0" w:firstLine="0" w:firstLineChars="0"/>
        <w:rPr>
          <w:rFonts w:hint="eastAsia" w:ascii="宋体" w:hAnsi="宋体" w:eastAsia="宋体" w:cs="宋体"/>
          <w:b/>
          <w:bCs/>
          <w:sz w:val="24"/>
          <w:szCs w:val="24"/>
          <w:highlight w:val="none"/>
        </w:rPr>
      </w:pPr>
      <w:r>
        <w:rPr>
          <w:rFonts w:hint="eastAsia" w:ascii="宋体" w:hAnsi="宋体" w:eastAsia="宋体" w:cs="宋体"/>
          <w:b/>
          <w:bCs/>
          <w:kern w:val="2"/>
          <w:sz w:val="24"/>
          <w:szCs w:val="24"/>
          <w:lang w:val="en-US" w:eastAsia="zh-CN" w:bidi="ar-SA"/>
        </w:rPr>
        <w:t>（十四）</w:t>
      </w:r>
      <w:r>
        <w:rPr>
          <w:rFonts w:hint="eastAsia" w:ascii="宋体" w:hAnsi="宋体" w:eastAsia="宋体" w:cs="宋体"/>
          <w:b/>
          <w:bCs/>
          <w:sz w:val="24"/>
          <w:szCs w:val="24"/>
          <w:highlight w:val="none"/>
        </w:rPr>
        <w:t>上肢脓肿切开仿真模型</w:t>
      </w:r>
    </w:p>
    <w:p w14:paraId="32F18179">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 上肢脓肿切开模型采用先进高分子材料制作，脓肿处可见局部皮肤隆起。</w:t>
      </w:r>
    </w:p>
    <w:p w14:paraId="564F23B7">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 其周围有一潜行小脓肿（实质是分房脓肿），用于训练脓肿切开训练。</w:t>
      </w:r>
    </w:p>
    <w:p w14:paraId="3A2821FE">
      <w:pPr>
        <w:widowControl w:val="0"/>
        <w:numPr>
          <w:ilvl w:val="0"/>
          <w:numId w:val="0"/>
        </w:numPr>
        <w:spacing w:line="360" w:lineRule="auto"/>
        <w:jc w:val="both"/>
        <w:rPr>
          <w:rFonts w:hint="eastAsia" w:ascii="宋体" w:hAnsi="宋体" w:eastAsia="宋体" w:cs="宋体"/>
          <w:b/>
          <w:bCs/>
          <w:sz w:val="24"/>
          <w:szCs w:val="24"/>
          <w:highlight w:val="none"/>
        </w:rPr>
      </w:pPr>
    </w:p>
    <w:p w14:paraId="5F731C24">
      <w:pPr>
        <w:numPr>
          <w:ilvl w:val="0"/>
          <w:numId w:val="0"/>
        </w:numPr>
        <w:spacing w:line="360" w:lineRule="auto"/>
        <w:ind w:left="0" w:leftChars="0" w:firstLine="0" w:firstLineChars="0"/>
        <w:rPr>
          <w:rFonts w:hint="eastAsia" w:ascii="宋体" w:hAnsi="宋体" w:eastAsia="宋体" w:cs="宋体"/>
          <w:b/>
          <w:bCs/>
          <w:sz w:val="24"/>
          <w:szCs w:val="24"/>
          <w:highlight w:val="none"/>
        </w:rPr>
      </w:pPr>
      <w:r>
        <w:rPr>
          <w:rFonts w:hint="eastAsia" w:ascii="宋体" w:hAnsi="宋体" w:eastAsia="宋体" w:cs="宋体"/>
          <w:b/>
          <w:bCs/>
          <w:kern w:val="2"/>
          <w:sz w:val="24"/>
          <w:szCs w:val="24"/>
          <w:lang w:val="en-US" w:eastAsia="zh-CN" w:bidi="ar-SA"/>
        </w:rPr>
        <w:t>（十五）</w:t>
      </w:r>
      <w:r>
        <w:rPr>
          <w:rFonts w:hint="eastAsia" w:ascii="宋体" w:hAnsi="宋体" w:eastAsia="宋体" w:cs="宋体"/>
          <w:b/>
          <w:bCs/>
          <w:sz w:val="24"/>
          <w:szCs w:val="24"/>
          <w:highlight w:val="none"/>
        </w:rPr>
        <w:t>血管分离切断结扎训练模型</w:t>
      </w:r>
    </w:p>
    <w:p w14:paraId="059523AA">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 模型皮肤柔韧有弹性，手感逼真，皮肤分层清晰，模拟真实皮肤张力，易清洗。</w:t>
      </w:r>
    </w:p>
    <w:p w14:paraId="72737024">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 含有血液的血管具有真实弹力。</w:t>
      </w:r>
    </w:p>
    <w:p w14:paraId="64730B5A">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3. 可模拟出血场景，根据训练要求随意调节血流的速度，考核学生结扎止血的速度与质量。</w:t>
      </w:r>
    </w:p>
    <w:p w14:paraId="05DC65F6">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4. 可进行外科皮肤切开、血管分离、切断、冲洗残端管腔、打结、结扎、止血、剪线、周围组织缝合、拆线等外科操作训练。</w:t>
      </w:r>
    </w:p>
    <w:p w14:paraId="72E4324E">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5. 模型上带有不同内径的多条血管可根据训练要求或难易程度进行练习。</w:t>
      </w:r>
    </w:p>
    <w:p w14:paraId="3D8454A7">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b/>
          <w:bCs/>
          <w:sz w:val="24"/>
          <w:szCs w:val="24"/>
          <w:highlight w:val="none"/>
        </w:rPr>
      </w:pPr>
      <w:r>
        <w:rPr>
          <w:rFonts w:hint="eastAsia" w:ascii="宋体" w:hAnsi="宋体" w:eastAsia="宋体" w:cs="宋体"/>
          <w:kern w:val="2"/>
          <w:sz w:val="24"/>
          <w:szCs w:val="24"/>
          <w:lang w:val="en-US" w:eastAsia="zh-CN" w:bidi="ar"/>
        </w:rPr>
        <w:t>6. 模拟血液可进行添加。</w:t>
      </w:r>
    </w:p>
    <w:p w14:paraId="035E430B">
      <w:pPr>
        <w:widowControl w:val="0"/>
        <w:numPr>
          <w:ilvl w:val="0"/>
          <w:numId w:val="0"/>
        </w:numPr>
        <w:spacing w:line="360" w:lineRule="auto"/>
        <w:jc w:val="both"/>
        <w:rPr>
          <w:rFonts w:hint="eastAsia" w:ascii="宋体" w:hAnsi="宋体" w:eastAsia="宋体" w:cs="宋体"/>
          <w:b/>
          <w:bCs/>
          <w:sz w:val="24"/>
          <w:szCs w:val="24"/>
          <w:highlight w:val="none"/>
        </w:rPr>
      </w:pPr>
    </w:p>
    <w:p w14:paraId="10F9E8BF">
      <w:pPr>
        <w:numPr>
          <w:ilvl w:val="0"/>
          <w:numId w:val="0"/>
        </w:numPr>
        <w:spacing w:line="360" w:lineRule="auto"/>
        <w:ind w:left="0" w:leftChars="0" w:firstLine="0" w:firstLineChars="0"/>
        <w:rPr>
          <w:rFonts w:hint="eastAsia" w:ascii="宋体" w:hAnsi="宋体" w:eastAsia="宋体" w:cs="宋体"/>
          <w:b/>
          <w:bCs/>
          <w:sz w:val="24"/>
          <w:szCs w:val="24"/>
          <w:highlight w:val="none"/>
        </w:rPr>
      </w:pPr>
      <w:r>
        <w:rPr>
          <w:rFonts w:hint="eastAsia" w:ascii="宋体" w:hAnsi="宋体" w:eastAsia="宋体" w:cs="宋体"/>
          <w:b/>
          <w:bCs/>
          <w:kern w:val="2"/>
          <w:sz w:val="24"/>
          <w:szCs w:val="24"/>
          <w:lang w:val="en-US" w:eastAsia="zh-CN" w:bidi="ar-SA"/>
        </w:rPr>
        <w:t>（十六）</w:t>
      </w:r>
      <w:r>
        <w:rPr>
          <w:rFonts w:hint="eastAsia" w:ascii="宋体" w:hAnsi="宋体" w:eastAsia="宋体" w:cs="宋体"/>
          <w:b/>
          <w:bCs/>
          <w:sz w:val="24"/>
          <w:szCs w:val="24"/>
          <w:highlight w:val="none"/>
        </w:rPr>
        <w:t>小腿骨折处理训练模型</w:t>
      </w:r>
    </w:p>
    <w:p w14:paraId="00543D34">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 产品为成人下肢模型，具有仿真的皮肤、骨骼和肌肉等结构，触感真实，解剖结构准确。</w:t>
      </w:r>
    </w:p>
    <w:p w14:paraId="2D2A20AD">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 模型可定制骨折类型，包括胫腓骨干双骨折、单纯胫骨干骨折及单纯腓骨骨折，可见成角畸形，可产生骨擦音。</w:t>
      </w:r>
    </w:p>
    <w:p w14:paraId="47F17599">
      <w:pPr>
        <w:keepNext w:val="0"/>
        <w:keepLines w:val="0"/>
        <w:widowControl w:val="0"/>
        <w:suppressLineNumbers w:val="0"/>
        <w:spacing w:before="0" w:beforeAutospacing="0" w:after="0" w:afterAutospacing="0" w:line="360" w:lineRule="auto"/>
        <w:ind w:left="0" w:right="0"/>
        <w:jc w:val="left"/>
        <w:rPr>
          <w:rFonts w:ascii="宋体" w:hAnsi="宋体" w:eastAsia="宋体" w:cs="Times New Roman"/>
          <w:szCs w:val="21"/>
          <w:highlight w:val="none"/>
        </w:rPr>
      </w:pPr>
      <w:r>
        <w:rPr>
          <w:rFonts w:hint="eastAsia" w:ascii="宋体" w:hAnsi="宋体" w:eastAsia="宋体" w:cs="宋体"/>
          <w:kern w:val="2"/>
          <w:sz w:val="24"/>
          <w:szCs w:val="24"/>
          <w:lang w:val="en-US" w:eastAsia="zh-CN" w:bidi="ar"/>
        </w:rPr>
        <w:t>3. 可用于手法复位及小夹板固定训练。</w:t>
      </w:r>
    </w:p>
    <w:p w14:paraId="72A8ABF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0B3C03"/>
    <w:rsid w:val="3E0B3C03"/>
    <w:rsid w:val="7F5530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Ascii" w:hAnsiTheme="minorAscii" w:eastAsiaTheme="minorEastAsia" w:cstheme="minorBidi"/>
      <w:kern w:val="2"/>
      <w:sz w:val="24"/>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2026-07-10T08:47:00Z</dcterms:created>
  <dc:creator>微信用户</dc:creator>
  <cp:lastModifiedBy>微信用户</cp:lastModifiedBy>
  <dcterms:modified xsi:type="dcterms:W3CDTF">2026-07-10T08:48:17Z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21B6A19CE5AE415DB851F5EBC18EE423_11</vt:lpwstr>
  </property>
  <property fmtid="{D5CDD505-2E9C-101B-9397-08002B2CF9AE}" pid="4" name="KSOTemplateDocerSaveRecord">
    <vt:lpwstr>eyJoZGlkIjoiYjhmYjc4NzNiNjI5ZTFlOGFlYWUzNjY5OWExOWI2MmUiLCJ1c2VySWQiOiIxMjU5MzgxMDI3In0=</vt:lpwstr>
  </property>
</Properties>
</file>