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3E06E3">
      <w:pPr>
        <w:numPr>
          <w:ilvl w:val="0"/>
          <w:numId w:val="0"/>
        </w:numPr>
        <w:spacing w:line="360" w:lineRule="auto"/>
        <w:ind w:left="2693" w:leftChars="0" w:hanging="1275" w:firstLineChars="0"/>
        <w:jc w:val="center"/>
        <w:outlineLvl w:val="0"/>
        <w:rPr>
          <w:rFonts w:hint="eastAsia"/>
          <w:b/>
          <w:sz w:val="32"/>
          <w:szCs w:val="32"/>
        </w:rPr>
      </w:pPr>
      <w:bookmarkStart w:id="1" w:name="_GoBack"/>
      <w:bookmarkEnd w:id="1"/>
      <w:bookmarkStart w:id="0" w:name="_Toc32076"/>
      <w:r>
        <w:rPr>
          <w:rFonts w:hint="eastAsia"/>
          <w:b/>
          <w:sz w:val="32"/>
          <w:szCs w:val="32"/>
        </w:rPr>
        <w:t>采购需求</w:t>
      </w:r>
      <w:bookmarkEnd w:id="0"/>
    </w:p>
    <w:p w14:paraId="358FC595">
      <w:pPr>
        <w:spacing w:line="360" w:lineRule="auto"/>
        <w:rPr>
          <w:rFonts w:hint="eastAsia" w:ascii="宋体" w:hAnsi="宋体" w:cs="宋体"/>
          <w:b/>
          <w:color w:val="FF0000"/>
          <w:sz w:val="21"/>
          <w:szCs w:val="21"/>
        </w:rPr>
      </w:pPr>
      <w:r>
        <w:rPr>
          <w:rFonts w:hint="eastAsia" w:ascii="宋体" w:hAnsi="宋体" w:cs="宋体"/>
          <w:b/>
          <w:sz w:val="21"/>
          <w:szCs w:val="21"/>
        </w:rPr>
        <w:t>一、</w:t>
      </w:r>
      <w:r>
        <w:rPr>
          <w:rFonts w:hint="eastAsia" w:ascii="宋体" w:hAnsi="宋体" w:cs="宋体"/>
          <w:b/>
          <w:color w:val="FF0000"/>
          <w:sz w:val="21"/>
          <w:szCs w:val="21"/>
        </w:rPr>
        <w:t>要求：以下条款如参选人参与参选，视为参选人自动响应。</w:t>
      </w:r>
    </w:p>
    <w:p w14:paraId="45D497F7">
      <w:pPr>
        <w:spacing w:line="360" w:lineRule="auto"/>
        <w:ind w:firstLine="413" w:firstLineChars="196"/>
        <w:rPr>
          <w:rFonts w:ascii="宋体" w:hAnsi="宋体" w:cs="宋体"/>
          <w:b/>
          <w:sz w:val="21"/>
          <w:szCs w:val="21"/>
          <w:highlight w:val="none"/>
        </w:rPr>
      </w:pPr>
      <w:r>
        <w:rPr>
          <w:rFonts w:hint="eastAsia" w:ascii="宋体" w:hAnsi="宋体" w:cs="宋体"/>
          <w:b/>
          <w:sz w:val="21"/>
          <w:szCs w:val="21"/>
          <w:highlight w:val="none"/>
        </w:rPr>
        <w:t>1、按照参选方案提供配置清单，标明品牌、型号、产地、数量等并分项报价；</w:t>
      </w:r>
    </w:p>
    <w:p w14:paraId="170C224B">
      <w:pPr>
        <w:spacing w:line="360" w:lineRule="auto"/>
        <w:ind w:firstLine="413" w:firstLineChars="196"/>
        <w:rPr>
          <w:rFonts w:ascii="宋体" w:hAnsi="宋体" w:cs="宋体"/>
          <w:b/>
          <w:sz w:val="21"/>
          <w:szCs w:val="21"/>
          <w:highlight w:val="none"/>
        </w:rPr>
      </w:pPr>
      <w:r>
        <w:rPr>
          <w:rFonts w:hint="eastAsia" w:ascii="宋体" w:hAnsi="宋体" w:cs="宋体"/>
          <w:b/>
          <w:sz w:val="21"/>
          <w:szCs w:val="21"/>
          <w:highlight w:val="none"/>
        </w:rPr>
        <w:t>2、提供产品日常使用的所有配套专用耗材清单，确保产品正常使用。须标明品牌、型号、产地、规格、最小供货单位等并分项报价，报价不计入参选总价。在成交后如发现有漏报、瞒报的配套专用耗材，一律视为已包含在成交总价内，不得以赠送形式向采购人提供产品及服务。耗材供应期按照医院相关耗材管理规定执行；</w:t>
      </w:r>
    </w:p>
    <w:p w14:paraId="240167AF">
      <w:pPr>
        <w:spacing w:line="360" w:lineRule="auto"/>
        <w:ind w:firstLine="413" w:firstLineChars="196"/>
        <w:rPr>
          <w:rFonts w:ascii="宋体" w:hAnsi="宋体" w:cs="宋体"/>
          <w:b/>
          <w:sz w:val="21"/>
          <w:szCs w:val="21"/>
          <w:highlight w:val="none"/>
        </w:rPr>
      </w:pPr>
      <w:r>
        <w:rPr>
          <w:rFonts w:hint="eastAsia" w:ascii="宋体" w:hAnsi="宋体" w:cs="宋体"/>
          <w:b/>
          <w:sz w:val="21"/>
          <w:szCs w:val="21"/>
          <w:highlight w:val="none"/>
        </w:rPr>
        <w:t>3、说明是否需要其他设备配套使用，请列出配套设备名称、数量等，如未说明一律视为已包含在参选总价内；</w:t>
      </w:r>
    </w:p>
    <w:p w14:paraId="39292DEB">
      <w:pPr>
        <w:spacing w:line="360" w:lineRule="auto"/>
        <w:ind w:firstLine="413" w:firstLineChars="196"/>
        <w:rPr>
          <w:rFonts w:ascii="宋体" w:hAnsi="宋体" w:cs="宋体"/>
          <w:b/>
          <w:sz w:val="21"/>
          <w:szCs w:val="21"/>
          <w:highlight w:val="none"/>
        </w:rPr>
      </w:pPr>
      <w:r>
        <w:rPr>
          <w:rFonts w:ascii="宋体" w:hAnsi="宋体" w:cs="宋体"/>
          <w:b/>
          <w:sz w:val="21"/>
          <w:szCs w:val="21"/>
          <w:highlight w:val="none"/>
        </w:rPr>
        <w:t>4</w:t>
      </w:r>
      <w:r>
        <w:rPr>
          <w:rFonts w:hint="eastAsia" w:ascii="宋体" w:hAnsi="宋体" w:cs="宋体"/>
          <w:b/>
          <w:sz w:val="21"/>
          <w:szCs w:val="21"/>
          <w:highlight w:val="none"/>
        </w:rPr>
        <w:t>、参选公司及产品须资质、证照齐全且在有效期内，如确无注册证的产品，须提供官方说明材料；</w:t>
      </w:r>
    </w:p>
    <w:p w14:paraId="46F9E255">
      <w:pPr>
        <w:spacing w:line="360" w:lineRule="auto"/>
        <w:ind w:firstLine="413" w:firstLineChars="196"/>
        <w:rPr>
          <w:rFonts w:ascii="宋体" w:hAnsi="宋体" w:cs="宋体"/>
          <w:b/>
          <w:sz w:val="21"/>
          <w:szCs w:val="21"/>
          <w:highlight w:val="none"/>
        </w:rPr>
      </w:pPr>
      <w:r>
        <w:rPr>
          <w:rFonts w:ascii="宋体" w:hAnsi="宋体" w:cs="宋体"/>
          <w:b/>
          <w:sz w:val="21"/>
          <w:szCs w:val="21"/>
          <w:highlight w:val="none"/>
        </w:rPr>
        <w:t>5</w:t>
      </w:r>
      <w:r>
        <w:rPr>
          <w:rFonts w:hint="eastAsia" w:ascii="宋体" w:hAnsi="宋体" w:cs="宋体"/>
          <w:b/>
          <w:sz w:val="21"/>
          <w:szCs w:val="21"/>
          <w:highlight w:val="none"/>
        </w:rPr>
        <w:t>、若属安徽省医用耗材政策管理范围内产品，需满足相关要求（如“集采”、“两票制”等）；若为集采管理范围内产品，需在集采目录中，同类产品原则上选择限价产品，同类无替代选择备案产品；</w:t>
      </w:r>
    </w:p>
    <w:p w14:paraId="62F9E366">
      <w:pPr>
        <w:spacing w:line="360" w:lineRule="auto"/>
        <w:ind w:firstLine="413" w:firstLineChars="196"/>
        <w:rPr>
          <w:rFonts w:ascii="宋体" w:hAnsi="宋体" w:cs="宋体"/>
          <w:b/>
          <w:sz w:val="21"/>
          <w:szCs w:val="21"/>
          <w:highlight w:val="none"/>
        </w:rPr>
      </w:pPr>
      <w:r>
        <w:rPr>
          <w:rFonts w:ascii="宋体" w:hAnsi="宋体" w:cs="宋体"/>
          <w:b/>
          <w:sz w:val="21"/>
          <w:szCs w:val="21"/>
          <w:highlight w:val="none"/>
        </w:rPr>
        <w:t>6</w:t>
      </w:r>
      <w:r>
        <w:rPr>
          <w:rFonts w:hint="eastAsia" w:ascii="宋体" w:hAnsi="宋体" w:cs="宋体"/>
          <w:b/>
          <w:sz w:val="21"/>
          <w:szCs w:val="21"/>
          <w:highlight w:val="none"/>
        </w:rPr>
        <w:t>、</w:t>
      </w:r>
      <w:r>
        <w:rPr>
          <w:rFonts w:hint="eastAsia" w:ascii="宋体" w:hAnsi="宋体" w:cs="宋体"/>
          <w:b/>
          <w:bCs/>
          <w:sz w:val="21"/>
          <w:szCs w:val="21"/>
          <w:highlight w:val="none"/>
        </w:rPr>
        <w:t>成交人须将供应的医用物资包括但不限于医用耗材、检验试剂、后勤物资等，纳入采购人医用物资SPD智慧物流管理模式进行一元化管理，与采购人SPD服务商签订服务协议并承担相关的服务费。其中医用耗材、试剂的具体服务费率由成交人与SPD服务商协商，服务费率不高于医院与SPD服务商约定的收费标准（现行服务费率为供货金额的1%；如后期采购人与SPD服务商约定的服务费率发生变动，以采购人与SPD服务商签订合同约定的服务费率为准）；后勤物资等其他物资，成交人无需承担服务费。如成交人不予配合，采购人有权终止与成交人的医用物资供应关系或选择备选医用物资成交人</w:t>
      </w:r>
      <w:r>
        <w:rPr>
          <w:rFonts w:hint="eastAsia" w:ascii="宋体" w:hAnsi="宋体" w:cs="宋体"/>
          <w:b/>
          <w:sz w:val="21"/>
          <w:szCs w:val="21"/>
          <w:highlight w:val="none"/>
        </w:rPr>
        <w:t>；</w:t>
      </w:r>
    </w:p>
    <w:p w14:paraId="4FA2DAA1">
      <w:pPr>
        <w:spacing w:line="360" w:lineRule="auto"/>
        <w:ind w:firstLine="413" w:firstLineChars="196"/>
        <w:rPr>
          <w:rFonts w:ascii="宋体" w:hAnsi="宋体" w:cs="宋体"/>
          <w:b/>
          <w:sz w:val="21"/>
          <w:szCs w:val="21"/>
          <w:highlight w:val="none"/>
        </w:rPr>
      </w:pPr>
      <w:r>
        <w:rPr>
          <w:rFonts w:ascii="宋体" w:hAnsi="宋体" w:cs="宋体"/>
          <w:b/>
          <w:sz w:val="21"/>
          <w:szCs w:val="21"/>
          <w:highlight w:val="none"/>
        </w:rPr>
        <w:t>7</w:t>
      </w:r>
      <w:r>
        <w:rPr>
          <w:rFonts w:hint="eastAsia" w:ascii="宋体" w:hAnsi="宋体" w:cs="宋体"/>
          <w:b/>
          <w:sz w:val="21"/>
          <w:szCs w:val="21"/>
          <w:highlight w:val="none"/>
        </w:rPr>
        <w:t>、根据医保政策，可单独收费医用耗材请提供安徽医保局下发的27位医保编码，并按编码进行报价；</w:t>
      </w:r>
    </w:p>
    <w:p w14:paraId="08B0D0A3">
      <w:pPr>
        <w:wordWrap w:val="0"/>
        <w:spacing w:line="360" w:lineRule="auto"/>
        <w:ind w:firstLine="422" w:firstLineChars="200"/>
        <w:jc w:val="left"/>
        <w:rPr>
          <w:rFonts w:ascii="宋体" w:hAnsi="宋体" w:cs="宋体"/>
          <w:b/>
          <w:sz w:val="21"/>
          <w:szCs w:val="21"/>
          <w:highlight w:val="none"/>
        </w:rPr>
      </w:pPr>
      <w:r>
        <w:rPr>
          <w:rFonts w:ascii="宋体" w:hAnsi="宋体" w:cs="宋体"/>
          <w:b/>
          <w:sz w:val="21"/>
          <w:szCs w:val="21"/>
          <w:highlight w:val="none"/>
        </w:rPr>
        <w:t>8</w:t>
      </w:r>
      <w:r>
        <w:rPr>
          <w:rFonts w:hint="eastAsia" w:ascii="宋体" w:hAnsi="宋体" w:cs="宋体"/>
          <w:b/>
          <w:sz w:val="21"/>
          <w:szCs w:val="21"/>
          <w:highlight w:val="none"/>
        </w:rPr>
        <w:t>、需长期供应的医用耗材及试剂产品，成交后合同期内不得变更配送公司，否则取消该品牌成交资格。参选时生产厂家须出具长期授权函，并提供合同期内不变更配送公司的承诺函，如不提供的评审委员会有权按无效参选处理。</w:t>
      </w:r>
    </w:p>
    <w:p w14:paraId="4BF9D766">
      <w:pPr>
        <w:wordWrap w:val="0"/>
        <w:spacing w:line="360" w:lineRule="auto"/>
        <w:ind w:firstLine="422" w:firstLineChars="200"/>
        <w:jc w:val="left"/>
        <w:rPr>
          <w:rFonts w:ascii="宋体" w:hAnsi="宋体" w:cs="宋体"/>
          <w:b/>
          <w:sz w:val="21"/>
          <w:szCs w:val="21"/>
          <w:highlight w:val="none"/>
        </w:rPr>
      </w:pPr>
      <w:r>
        <w:rPr>
          <w:rFonts w:ascii="宋体" w:hAnsi="宋体" w:cs="宋体"/>
          <w:b/>
          <w:sz w:val="21"/>
          <w:szCs w:val="21"/>
          <w:highlight w:val="none"/>
        </w:rPr>
        <w:t>9</w:t>
      </w:r>
      <w:r>
        <w:rPr>
          <w:rFonts w:hint="eastAsia" w:ascii="宋体" w:hAnsi="宋体" w:cs="宋体"/>
          <w:b/>
          <w:sz w:val="21"/>
          <w:szCs w:val="21"/>
          <w:highlight w:val="none"/>
        </w:rPr>
        <w:t>、医用耗材及配套使用的工具按医院规定需要消毒的，其相关费用由参选人自行承担。</w:t>
      </w:r>
    </w:p>
    <w:p w14:paraId="4ECE3757">
      <w:pPr>
        <w:wordWrap w:val="0"/>
        <w:spacing w:line="360" w:lineRule="auto"/>
        <w:ind w:firstLine="422" w:firstLineChars="200"/>
        <w:jc w:val="left"/>
        <w:rPr>
          <w:rFonts w:ascii="宋体" w:hAnsi="宋体" w:cs="宋体"/>
          <w:b/>
          <w:sz w:val="21"/>
          <w:szCs w:val="21"/>
          <w:highlight w:val="none"/>
        </w:rPr>
      </w:pPr>
      <w:r>
        <w:rPr>
          <w:rFonts w:ascii="宋体" w:hAnsi="宋体" w:cs="宋体"/>
          <w:b/>
          <w:sz w:val="21"/>
          <w:szCs w:val="21"/>
          <w:highlight w:val="none"/>
        </w:rPr>
        <w:t>10</w:t>
      </w:r>
      <w:r>
        <w:rPr>
          <w:rFonts w:hint="eastAsia" w:ascii="宋体" w:hAnsi="宋体" w:cs="宋体"/>
          <w:b/>
          <w:sz w:val="21"/>
          <w:szCs w:val="21"/>
          <w:highlight w:val="none"/>
        </w:rPr>
        <w:t>、检验试剂项目和需配套检验试剂使用的检验设备项目，均须免费提供同品牌或第三方符合溯源要求的质控品。</w:t>
      </w:r>
    </w:p>
    <w:p w14:paraId="24E28F22">
      <w:pPr>
        <w:wordWrap w:val="0"/>
        <w:spacing w:line="360" w:lineRule="auto"/>
        <w:ind w:firstLine="422" w:firstLineChars="200"/>
        <w:jc w:val="left"/>
        <w:rPr>
          <w:rFonts w:ascii="宋体" w:hAnsi="宋体" w:cs="宋体"/>
          <w:b/>
          <w:sz w:val="21"/>
          <w:szCs w:val="21"/>
          <w:highlight w:val="none"/>
        </w:rPr>
      </w:pPr>
      <w:r>
        <w:rPr>
          <w:rFonts w:ascii="宋体" w:hAnsi="宋体" w:cs="宋体"/>
          <w:b/>
          <w:sz w:val="21"/>
          <w:szCs w:val="21"/>
          <w:highlight w:val="none"/>
        </w:rPr>
        <w:t>11</w:t>
      </w:r>
      <w:r>
        <w:rPr>
          <w:rFonts w:hint="eastAsia" w:ascii="宋体" w:hAnsi="宋体" w:cs="宋体"/>
          <w:b/>
          <w:sz w:val="21"/>
          <w:szCs w:val="21"/>
          <w:highlight w:val="none"/>
        </w:rPr>
        <w:t>、参选人需无条件接受因国家及安徽省相关政策（如医用耗材带量采购等）对比选结果带来的变动，参选人不得提出异议。</w:t>
      </w:r>
    </w:p>
    <w:p w14:paraId="23005B09">
      <w:pPr>
        <w:wordWrap w:val="0"/>
        <w:spacing w:line="360" w:lineRule="auto"/>
        <w:ind w:firstLine="422" w:firstLineChars="200"/>
        <w:jc w:val="left"/>
        <w:rPr>
          <w:rFonts w:ascii="宋体" w:hAnsi="宋体" w:cs="宋体"/>
          <w:b/>
          <w:sz w:val="21"/>
          <w:szCs w:val="21"/>
          <w:highlight w:val="none"/>
        </w:rPr>
      </w:pPr>
      <w:r>
        <w:rPr>
          <w:rFonts w:ascii="宋体" w:hAnsi="宋体" w:cs="宋体"/>
          <w:b/>
          <w:sz w:val="21"/>
          <w:szCs w:val="21"/>
          <w:highlight w:val="none"/>
        </w:rPr>
        <w:t>12</w:t>
      </w:r>
      <w:r>
        <w:rPr>
          <w:rFonts w:hint="eastAsia" w:ascii="宋体" w:hAnsi="宋体" w:cs="宋体"/>
          <w:b/>
          <w:sz w:val="21"/>
          <w:szCs w:val="21"/>
          <w:highlight w:val="none"/>
        </w:rPr>
        <w:t>、参选人须保证此次参选产品，参选价格不得高于安徽省医药集中采购平台交易目录最高限价；后期安徽省医药集中采购平台交易目录最高限价如有降价，成交产品的成交人应于7个工作日内书面通知采购人启动协商程序。</w:t>
      </w:r>
    </w:p>
    <w:p w14:paraId="03DF6216">
      <w:pPr>
        <w:wordWrap w:val="0"/>
        <w:spacing w:line="360" w:lineRule="auto"/>
        <w:ind w:firstLine="422" w:firstLineChars="200"/>
        <w:jc w:val="left"/>
        <w:rPr>
          <w:rFonts w:ascii="宋体" w:hAnsi="宋体" w:cs="宋体"/>
          <w:b/>
          <w:sz w:val="21"/>
          <w:szCs w:val="21"/>
          <w:highlight w:val="none"/>
        </w:rPr>
      </w:pPr>
      <w:r>
        <w:rPr>
          <w:rFonts w:hint="eastAsia" w:ascii="宋体" w:hAnsi="宋体" w:cs="宋体"/>
          <w:b/>
          <w:sz w:val="21"/>
          <w:szCs w:val="21"/>
          <w:highlight w:val="none"/>
        </w:rPr>
        <w:t>1</w:t>
      </w:r>
      <w:r>
        <w:rPr>
          <w:rFonts w:ascii="宋体" w:hAnsi="宋体" w:cs="宋体"/>
          <w:b/>
          <w:sz w:val="21"/>
          <w:szCs w:val="21"/>
          <w:highlight w:val="none"/>
        </w:rPr>
        <w:t>3</w:t>
      </w:r>
      <w:r>
        <w:rPr>
          <w:rFonts w:hint="eastAsia" w:ascii="宋体" w:hAnsi="宋体" w:cs="宋体"/>
          <w:b/>
          <w:sz w:val="21"/>
          <w:szCs w:val="21"/>
          <w:highlight w:val="none"/>
        </w:rPr>
        <w:t>、按收费价格费率投标的检验项目，如后期收费价格下调，试剂供货价格须按中标费率同比例下浮。</w:t>
      </w:r>
    </w:p>
    <w:p w14:paraId="1D0B4C04">
      <w:pPr>
        <w:spacing w:line="360" w:lineRule="auto"/>
        <w:ind w:firstLine="411" w:firstLineChars="196"/>
        <w:rPr>
          <w:rFonts w:hint="eastAsia" w:ascii="宋体" w:hAnsi="宋体"/>
          <w:b/>
          <w:sz w:val="21"/>
          <w:szCs w:val="21"/>
        </w:rPr>
      </w:pPr>
      <w:r>
        <w:rPr>
          <w:rFonts w:hint="eastAsia" w:ascii="宋体" w:hAnsi="宋体" w:cs="宋体"/>
          <w:sz w:val="21"/>
          <w:szCs w:val="21"/>
        </w:rPr>
        <w:t>备注：请列出易损件，耗材及其他相关产品清单，并注明编码报价；耗材类产品必须带样品到开标/比选现场。</w:t>
      </w:r>
    </w:p>
    <w:p w14:paraId="71D6757A">
      <w:pPr>
        <w:wordWrap w:val="0"/>
        <w:spacing w:line="360" w:lineRule="auto"/>
        <w:jc w:val="left"/>
        <w:rPr>
          <w:rFonts w:hint="eastAsia" w:ascii="宋体" w:hAnsi="宋体"/>
          <w:b/>
          <w:szCs w:val="24"/>
        </w:rPr>
      </w:pPr>
      <w:r>
        <w:rPr>
          <w:rFonts w:hint="eastAsia" w:ascii="宋体" w:hAnsi="宋体"/>
          <w:b/>
          <w:szCs w:val="24"/>
        </w:rPr>
        <w:t>二、不满足技术要求中“★”参数（如有）的,属于重大偏离，会对最终评审产生较大影响。</w:t>
      </w:r>
    </w:p>
    <w:p w14:paraId="0B641BDC">
      <w:pPr>
        <w:wordWrap w:val="0"/>
        <w:spacing w:line="360" w:lineRule="auto"/>
        <w:jc w:val="left"/>
        <w:rPr>
          <w:rFonts w:hint="eastAsia" w:ascii="宋体" w:hAnsi="宋体"/>
          <w:szCs w:val="21"/>
        </w:rPr>
      </w:pPr>
      <w:r>
        <w:rPr>
          <w:rFonts w:hint="eastAsia" w:ascii="宋体" w:hAnsi="宋体"/>
          <w:b/>
          <w:szCs w:val="24"/>
        </w:rPr>
        <w:t>三、主要技术参数：</w:t>
      </w:r>
    </w:p>
    <w:p w14:paraId="0690923E">
      <w:pPr>
        <w:spacing w:line="360" w:lineRule="auto"/>
        <w:ind w:firstLine="480" w:firstLineChars="200"/>
        <w:rPr>
          <w:rFonts w:hint="eastAsia" w:ascii="宋体" w:hAnsi="宋体"/>
          <w:szCs w:val="21"/>
        </w:rPr>
      </w:pPr>
    </w:p>
    <w:p w14:paraId="27F729E9">
      <w:pPr>
        <w:spacing w:line="360" w:lineRule="auto"/>
        <w:rPr>
          <w:rFonts w:hint="eastAsia" w:ascii="宋体" w:hAnsi="宋体"/>
          <w:szCs w:val="21"/>
        </w:rPr>
      </w:pPr>
      <w:r>
        <w:rPr>
          <w:rFonts w:hint="eastAsia" w:ascii="宋体" w:hAnsi="宋体"/>
          <w:b/>
          <w:szCs w:val="24"/>
        </w:rPr>
        <w:t>★</w:t>
      </w:r>
      <w:r>
        <w:rPr>
          <w:rFonts w:hint="eastAsia" w:ascii="宋体" w:hAnsi="宋体"/>
          <w:szCs w:val="21"/>
        </w:rPr>
        <w:t>1.屏幕尺寸≥27英寸，分辨率≥3840×2160 ，像素大小≤0.1554 mm，对比度≥1000:1 ，视角≥178°，响应时间≤16ms</w:t>
      </w:r>
    </w:p>
    <w:p w14:paraId="444B9FB5">
      <w:pPr>
        <w:spacing w:line="360" w:lineRule="auto"/>
        <w:rPr>
          <w:rFonts w:hint="eastAsia" w:ascii="宋体" w:hAnsi="宋体"/>
          <w:szCs w:val="21"/>
        </w:rPr>
      </w:pPr>
      <w:r>
        <w:rPr>
          <w:rFonts w:hint="eastAsia" w:ascii="宋体" w:hAnsi="宋体"/>
          <w:szCs w:val="21"/>
        </w:rPr>
        <w:t>2.支持色彩≥10.7亿</w:t>
      </w:r>
    </w:p>
    <w:p w14:paraId="191EDEC4">
      <w:pPr>
        <w:spacing w:line="360" w:lineRule="auto"/>
        <w:rPr>
          <w:rFonts w:hint="eastAsia" w:ascii="宋体" w:hAnsi="宋体"/>
          <w:szCs w:val="21"/>
        </w:rPr>
      </w:pPr>
      <w:r>
        <w:rPr>
          <w:rFonts w:hint="eastAsia" w:ascii="宋体" w:hAnsi="宋体"/>
          <w:b/>
          <w:szCs w:val="24"/>
        </w:rPr>
        <w:t>★</w:t>
      </w:r>
      <w:r>
        <w:rPr>
          <w:rFonts w:hint="eastAsia" w:ascii="宋体" w:hAnsi="宋体"/>
          <w:szCs w:val="21"/>
        </w:rPr>
        <w:t>3.亮度≥650 cd/m</w:t>
      </w:r>
      <w:r>
        <w:rPr>
          <w:rFonts w:hint="eastAsia" w:ascii="宋体" w:hAnsi="宋体"/>
          <w:szCs w:val="21"/>
          <w:vertAlign w:val="superscript"/>
        </w:rPr>
        <w:t>2</w:t>
      </w:r>
    </w:p>
    <w:p w14:paraId="4ECBE7D3">
      <w:pPr>
        <w:spacing w:line="360" w:lineRule="auto"/>
        <w:rPr>
          <w:rFonts w:hint="eastAsia" w:ascii="宋体" w:hAnsi="宋体"/>
          <w:szCs w:val="21"/>
        </w:rPr>
      </w:pPr>
      <w:r>
        <w:rPr>
          <w:rFonts w:hint="eastAsia" w:ascii="宋体" w:hAnsi="宋体"/>
          <w:szCs w:val="21"/>
        </w:rPr>
        <w:t>4.医疗影像标准：显示器完全符合DICOM3.14标准，采用CQAS技术可以对显示系统持续自动进行质量检测</w:t>
      </w:r>
    </w:p>
    <w:p w14:paraId="3DB28A9C">
      <w:pPr>
        <w:spacing w:line="360" w:lineRule="auto"/>
        <w:rPr>
          <w:rFonts w:hint="eastAsia" w:ascii="宋体" w:hAnsi="宋体"/>
          <w:szCs w:val="21"/>
        </w:rPr>
      </w:pPr>
      <w:r>
        <w:rPr>
          <w:rFonts w:hint="eastAsia" w:ascii="宋体" w:hAnsi="宋体"/>
          <w:szCs w:val="21"/>
        </w:rPr>
        <w:t>5.医疗设备曲线：内置OFF, 1.8, 2.0, 2.2, CIE,User1, User2, DICOM300,DICOM350, DICOM400,DICOM450, DICOM500,DICOM550, DICOM+0.5,</w:t>
      </w:r>
    </w:p>
    <w:p w14:paraId="3CBA0E87">
      <w:pPr>
        <w:spacing w:line="360" w:lineRule="auto"/>
        <w:rPr>
          <w:rFonts w:hint="eastAsia" w:ascii="宋体" w:hAnsi="宋体"/>
          <w:szCs w:val="21"/>
        </w:rPr>
      </w:pPr>
      <w:r>
        <w:rPr>
          <w:rFonts w:hint="eastAsia" w:ascii="宋体" w:hAnsi="宋体"/>
          <w:szCs w:val="21"/>
        </w:rPr>
        <w:t>6.DICOM+1.3曲线</w:t>
      </w:r>
    </w:p>
    <w:p w14:paraId="43DF6114">
      <w:pPr>
        <w:spacing w:line="360" w:lineRule="auto"/>
        <w:rPr>
          <w:rFonts w:hint="eastAsia" w:ascii="宋体" w:hAnsi="宋体"/>
          <w:szCs w:val="21"/>
        </w:rPr>
      </w:pPr>
      <w:r>
        <w:rPr>
          <w:rFonts w:hint="eastAsia" w:ascii="宋体" w:hAnsi="宋体"/>
          <w:szCs w:val="21"/>
        </w:rPr>
        <w:t>7.操作按键：隐藏式触控按键</w:t>
      </w:r>
    </w:p>
    <w:p w14:paraId="3D0267AF">
      <w:pPr>
        <w:spacing w:line="360" w:lineRule="auto"/>
        <w:rPr>
          <w:rFonts w:hint="eastAsia" w:ascii="宋体" w:hAnsi="宋体"/>
          <w:szCs w:val="21"/>
        </w:rPr>
      </w:pPr>
      <w:r>
        <w:rPr>
          <w:rFonts w:hint="eastAsia" w:ascii="宋体" w:hAnsi="宋体"/>
          <w:szCs w:val="21"/>
        </w:rPr>
        <w:t>8.曲线切换：支持一键快捷切换Gamma2.2与Dicom切换</w:t>
      </w:r>
    </w:p>
    <w:p w14:paraId="43140F7B">
      <w:pPr>
        <w:spacing w:line="360" w:lineRule="auto"/>
        <w:rPr>
          <w:rFonts w:hint="eastAsia" w:ascii="宋体" w:hAnsi="宋体"/>
          <w:szCs w:val="21"/>
        </w:rPr>
      </w:pPr>
      <w:r>
        <w:rPr>
          <w:rFonts w:hint="eastAsia" w:ascii="宋体" w:hAnsi="宋体"/>
          <w:szCs w:val="21"/>
        </w:rPr>
        <w:t>9.彩色单色切换：支持一键打开单色彩色切换功能</w:t>
      </w:r>
    </w:p>
    <w:p w14:paraId="3724204F">
      <w:pPr>
        <w:spacing w:line="360" w:lineRule="auto"/>
        <w:rPr>
          <w:rFonts w:hint="eastAsia" w:ascii="宋体" w:hAnsi="宋体"/>
          <w:szCs w:val="21"/>
        </w:rPr>
      </w:pPr>
      <w:r>
        <w:rPr>
          <w:rFonts w:hint="eastAsia" w:ascii="宋体" w:hAnsi="宋体"/>
          <w:szCs w:val="21"/>
        </w:rPr>
        <w:t>10.局部增亮：具备一键打开局部增亮功能</w:t>
      </w:r>
    </w:p>
    <w:p w14:paraId="36023F1D">
      <w:pPr>
        <w:spacing w:line="360" w:lineRule="auto"/>
        <w:rPr>
          <w:rFonts w:hint="eastAsia" w:ascii="宋体" w:hAnsi="宋体"/>
          <w:szCs w:val="21"/>
        </w:rPr>
      </w:pPr>
      <w:r>
        <w:rPr>
          <w:rFonts w:hint="eastAsia" w:ascii="宋体" w:hAnsi="宋体"/>
          <w:szCs w:val="21"/>
        </w:rPr>
        <w:t>11.灯箱功能：显示器一键控制开启显示器灯箱功能并支持一键开启灯箱显示区域控制菜单（全屏显示或者左右半屏显示）</w:t>
      </w:r>
    </w:p>
    <w:p w14:paraId="5FF87EA1">
      <w:pPr>
        <w:spacing w:line="360" w:lineRule="auto"/>
        <w:rPr>
          <w:rFonts w:hint="eastAsia" w:ascii="宋体" w:hAnsi="宋体"/>
          <w:szCs w:val="21"/>
        </w:rPr>
      </w:pPr>
      <w:r>
        <w:rPr>
          <w:rFonts w:hint="eastAsia" w:ascii="宋体" w:hAnsi="宋体"/>
          <w:szCs w:val="21"/>
        </w:rPr>
        <w:t>12.信号切换：支持一键打开信号通道切换功能</w:t>
      </w:r>
    </w:p>
    <w:p w14:paraId="680CE3B3">
      <w:pPr>
        <w:spacing w:line="360" w:lineRule="auto"/>
        <w:rPr>
          <w:rFonts w:hint="eastAsia" w:ascii="宋体" w:hAnsi="宋体"/>
          <w:szCs w:val="21"/>
        </w:rPr>
      </w:pPr>
      <w:r>
        <w:rPr>
          <w:rFonts w:hint="eastAsia" w:ascii="宋体" w:hAnsi="宋体"/>
          <w:szCs w:val="21"/>
        </w:rPr>
        <w:t>13.输入信号Display port ×2：最新一代数字视频接口</w:t>
      </w:r>
    </w:p>
    <w:p w14:paraId="32C21721">
      <w:pPr>
        <w:spacing w:line="360" w:lineRule="auto"/>
        <w:rPr>
          <w:rFonts w:hint="eastAsia" w:ascii="宋体" w:hAnsi="宋体"/>
          <w:szCs w:val="21"/>
        </w:rPr>
      </w:pPr>
      <w:r>
        <w:rPr>
          <w:rFonts w:hint="eastAsia" w:ascii="宋体" w:hAnsi="宋体"/>
          <w:szCs w:val="21"/>
        </w:rPr>
        <w:t>14.DVI-D ×2：计算机数字视频接口</w:t>
      </w:r>
    </w:p>
    <w:p w14:paraId="347BCBE7">
      <w:pPr>
        <w:spacing w:line="360" w:lineRule="auto"/>
        <w:rPr>
          <w:rFonts w:hint="eastAsia" w:ascii="宋体" w:hAnsi="宋体"/>
          <w:szCs w:val="21"/>
        </w:rPr>
      </w:pPr>
      <w:r>
        <w:rPr>
          <w:rFonts w:hint="eastAsia" w:ascii="宋体" w:hAnsi="宋体"/>
          <w:szCs w:val="21"/>
        </w:rPr>
        <w:t>15.电源开关：具备船型电源开关，可完全断开显示器供电</w:t>
      </w:r>
    </w:p>
    <w:p w14:paraId="141D6B8B">
      <w:pPr>
        <w:spacing w:line="360" w:lineRule="auto"/>
        <w:rPr>
          <w:rFonts w:hint="eastAsia" w:ascii="宋体" w:hAnsi="宋体"/>
          <w:szCs w:val="21"/>
        </w:rPr>
      </w:pPr>
      <w:r>
        <w:rPr>
          <w:rFonts w:hint="eastAsia" w:ascii="宋体" w:hAnsi="宋体"/>
          <w:szCs w:val="21"/>
        </w:rPr>
        <w:t>16.双屏显示：两路信号可分别输入，在一个屏上实现双竖屏显示，满足对比诊断要求，支持一键切换单屏双屏模式</w:t>
      </w:r>
    </w:p>
    <w:p w14:paraId="43CA5602">
      <w:pPr>
        <w:spacing w:line="360" w:lineRule="auto"/>
        <w:rPr>
          <w:rFonts w:hint="eastAsia" w:ascii="宋体" w:hAnsi="宋体"/>
          <w:szCs w:val="21"/>
        </w:rPr>
      </w:pPr>
      <w:r>
        <w:rPr>
          <w:rFonts w:hint="eastAsia" w:ascii="宋体" w:hAnsi="宋体"/>
          <w:szCs w:val="21"/>
        </w:rPr>
        <w:t>17.双屏效果调节：双屏模式下支持对左右屏幕效果进行独立调节，满足多种应用模式</w:t>
      </w:r>
    </w:p>
    <w:p w14:paraId="1AC7545B">
      <w:pPr>
        <w:spacing w:line="360" w:lineRule="auto"/>
        <w:rPr>
          <w:rFonts w:hint="eastAsia" w:ascii="宋体" w:hAnsi="宋体"/>
          <w:szCs w:val="21"/>
          <w:highlight w:val="none"/>
        </w:rPr>
      </w:pPr>
      <w:r>
        <w:rPr>
          <w:rFonts w:hint="eastAsia" w:ascii="宋体" w:hAnsi="宋体"/>
          <w:szCs w:val="21"/>
        </w:rPr>
        <w:t>18.亮度恒定技术：内置背光传感器监测</w:t>
      </w:r>
      <w:r>
        <w:rPr>
          <w:rFonts w:hint="eastAsia" w:ascii="宋体" w:hAnsi="宋体"/>
          <w:szCs w:val="21"/>
          <w:highlight w:val="none"/>
        </w:rPr>
        <w:t>背光亮度保证背光稳定</w:t>
      </w:r>
    </w:p>
    <w:p w14:paraId="6B80A3AA">
      <w:pPr>
        <w:spacing w:line="360" w:lineRule="auto"/>
        <w:rPr>
          <w:rFonts w:hint="eastAsia" w:ascii="宋体" w:hAnsi="宋体"/>
          <w:szCs w:val="21"/>
          <w:highlight w:val="none"/>
        </w:rPr>
      </w:pPr>
      <w:r>
        <w:rPr>
          <w:rFonts w:hint="eastAsia" w:ascii="宋体" w:hAnsi="宋体"/>
          <w:szCs w:val="21"/>
          <w:highlight w:val="none"/>
        </w:rPr>
        <w:t>19.网络管理及校正技术：可利用软件集中管理和监控全院所有本品牌医用显示器状态，进行检验，校准，支持查看记录</w:t>
      </w:r>
    </w:p>
    <w:p w14:paraId="6D5065B8">
      <w:pPr>
        <w:spacing w:line="360" w:lineRule="auto"/>
        <w:rPr>
          <w:rFonts w:hint="eastAsia" w:ascii="宋体" w:hAnsi="宋体"/>
          <w:szCs w:val="21"/>
        </w:rPr>
      </w:pPr>
      <w:r>
        <w:rPr>
          <w:rFonts w:hint="eastAsia" w:ascii="宋体" w:hAnsi="宋体"/>
          <w:szCs w:val="21"/>
          <w:highlight w:val="none"/>
        </w:rPr>
        <w:t>20.显卡：专业显卡，DP信号输出≥3路，显存≥</w:t>
      </w:r>
      <w:r>
        <w:rPr>
          <w:rFonts w:hint="eastAsia" w:ascii="宋体" w:hAnsi="宋体"/>
          <w:szCs w:val="21"/>
        </w:rPr>
        <w:t>2G</w:t>
      </w:r>
    </w:p>
    <w:p w14:paraId="63FEBD30">
      <w:pPr>
        <w:spacing w:line="360" w:lineRule="auto"/>
        <w:rPr>
          <w:rFonts w:hint="eastAsia" w:ascii="宋体" w:hAnsi="宋体"/>
          <w:szCs w:val="21"/>
        </w:rPr>
      </w:pPr>
      <w:r>
        <w:rPr>
          <w:rFonts w:hint="eastAsia" w:ascii="宋体" w:hAnsi="宋体"/>
          <w:szCs w:val="21"/>
        </w:rPr>
        <w:t>21.底座：支持90°旋转，仰角≥30°，俯角≥5°，升降≥120mm</w:t>
      </w:r>
    </w:p>
    <w:p w14:paraId="1CF816CA">
      <w:pPr>
        <w:spacing w:line="360" w:lineRule="auto"/>
        <w:rPr>
          <w:rFonts w:hint="eastAsia" w:ascii="宋体" w:hAnsi="宋体"/>
          <w:szCs w:val="21"/>
        </w:rPr>
      </w:pPr>
    </w:p>
    <w:p w14:paraId="078BE8C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265035"/>
    <w:rsid w:val="352650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2026-07-27T01:20:00Z</dcterms:created>
  <dc:creator>青鸟</dc:creator>
  <cp:lastModifiedBy>青鸟</cp:lastModifiedBy>
  <dcterms:modified xsi:type="dcterms:W3CDTF">2026-07-27T01:20:54Z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5E3570C25D7F402A8B60CFC7E57BF91B_11</vt:lpwstr>
  </property>
  <property fmtid="{D5CDD505-2E9C-101B-9397-08002B2CF9AE}" pid="4" name="KSOTemplateDocerSaveRecord">
    <vt:lpwstr>eyJoZGlkIjoiMWE4OWNmYjFhYzFiMzA2YTU1MGY4ZDI0NjFhZTMxZGQiLCJ1c2VySWQiOiI0NjEyMTI0ODEifQ==</vt:lpwstr>
  </property>
</Properties>
</file>