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65D33">
      <w:pPr>
        <w:spacing w:line="360" w:lineRule="auto"/>
        <w:jc w:val="center"/>
        <w:outlineLvl w:val="0"/>
        <w:rPr>
          <w:rFonts w:hint="eastAsia" w:asciiTheme="minorEastAsia" w:hAnsiTheme="minorEastAsia" w:eastAsiaTheme="minorEastAsia"/>
          <w:b/>
          <w:sz w:val="28"/>
        </w:rPr>
      </w:pPr>
      <w:r>
        <w:rPr>
          <w:rFonts w:hint="eastAsia" w:asciiTheme="minorEastAsia" w:hAnsiTheme="minorEastAsia" w:eastAsiaTheme="minorEastAsia"/>
          <w:b/>
          <w:sz w:val="28"/>
        </w:rPr>
        <w:t>采购需求</w:t>
      </w:r>
    </w:p>
    <w:p w14:paraId="67C459E5">
      <w:pPr>
        <w:spacing w:line="360" w:lineRule="auto"/>
        <w:rPr>
          <w:rFonts w:hint="eastAsia" w:asciiTheme="minorEastAsia" w:hAnsiTheme="minorEastAsia" w:eastAsiaTheme="minorEastAsia"/>
          <w:b/>
          <w:sz w:val="24"/>
          <w:szCs w:val="24"/>
        </w:rPr>
      </w:pPr>
      <w:bookmarkStart w:id="0" w:name="_Hlk16461016"/>
      <w:r>
        <w:rPr>
          <w:rFonts w:hint="eastAsia" w:asciiTheme="minorEastAsia" w:hAnsiTheme="minorEastAsia" w:eastAsiaTheme="minorEastAsia"/>
          <w:b/>
          <w:sz w:val="24"/>
          <w:szCs w:val="24"/>
        </w:rPr>
        <w:t>前注：</w:t>
      </w:r>
    </w:p>
    <w:p w14:paraId="1A3561C9">
      <w:pPr>
        <w:spacing w:line="360" w:lineRule="auto"/>
        <w:rPr>
          <w:rFonts w:hint="eastAsia" w:ascii="宋体" w:hAnsi="宋体" w:eastAsia="宋体" w:cs="宋体"/>
          <w:b/>
          <w:color w:val="FF0000"/>
          <w:sz w:val="24"/>
          <w:szCs w:val="24"/>
        </w:rPr>
      </w:pPr>
      <w:bookmarkStart w:id="1" w:name="_Toc26330"/>
      <w:bookmarkStart w:id="2" w:name="_Toc9765"/>
      <w:r>
        <w:rPr>
          <w:rFonts w:hint="eastAsia" w:ascii="宋体" w:hAnsi="宋体" w:eastAsia="宋体" w:cs="宋体"/>
          <w:b/>
          <w:color w:val="FF0000"/>
          <w:sz w:val="24"/>
          <w:szCs w:val="24"/>
          <w:lang w:bidi="ar"/>
        </w:rPr>
        <w:t>要求：以下条款如供应商参与响应，视为供应商自动响应。</w:t>
      </w:r>
    </w:p>
    <w:p w14:paraId="482728AB">
      <w:pPr>
        <w:spacing w:line="360" w:lineRule="auto"/>
        <w:ind w:firstLine="472" w:firstLineChars="196"/>
        <w:rPr>
          <w:rFonts w:hint="eastAsia" w:ascii="宋体" w:hAnsi="宋体" w:eastAsia="宋体" w:cs="宋体"/>
          <w:b/>
          <w:sz w:val="24"/>
          <w:szCs w:val="24"/>
        </w:rPr>
      </w:pPr>
      <w:r>
        <w:rPr>
          <w:rFonts w:hint="eastAsia" w:ascii="宋体" w:hAnsi="宋体" w:eastAsia="宋体" w:cs="宋体"/>
          <w:b/>
          <w:sz w:val="24"/>
          <w:szCs w:val="24"/>
          <w:lang w:bidi="ar"/>
        </w:rPr>
        <w:t>1.按照响应方案提供配置清单，标明品牌、型号、产地、数量等并分项报价；</w:t>
      </w:r>
    </w:p>
    <w:p w14:paraId="42E2D2CC">
      <w:pPr>
        <w:spacing w:line="360" w:lineRule="auto"/>
        <w:ind w:firstLine="472" w:firstLineChars="196"/>
        <w:rPr>
          <w:rFonts w:hint="eastAsia" w:ascii="宋体" w:hAnsi="宋体" w:eastAsia="宋体" w:cs="宋体"/>
          <w:b/>
          <w:sz w:val="24"/>
          <w:szCs w:val="24"/>
        </w:rPr>
      </w:pPr>
      <w:r>
        <w:rPr>
          <w:rFonts w:hint="eastAsia" w:ascii="宋体" w:hAnsi="宋体" w:eastAsia="宋体" w:cs="宋体"/>
          <w:b/>
          <w:sz w:val="24"/>
          <w:szCs w:val="24"/>
          <w:lang w:bidi="ar"/>
        </w:rPr>
        <w:t>2.提供产品日常使用的所有配套专用耗材清单，确保产品正常使用。须标明品牌、型号、产地、规格、最小供货单位等并分项报价，报价不计入响应总价。在成交后如发现有漏报、瞒报的配套专用耗材，一律视为已包含在成交总价内，不得以赠送形式向采购人提供产品及服务。耗材供应期按照医院相关耗材管理规定执行；</w:t>
      </w:r>
    </w:p>
    <w:p w14:paraId="72383F08">
      <w:pPr>
        <w:spacing w:line="360" w:lineRule="auto"/>
        <w:ind w:firstLine="472" w:firstLineChars="196"/>
        <w:rPr>
          <w:rFonts w:hint="eastAsia" w:ascii="宋体" w:hAnsi="宋体" w:eastAsia="宋体" w:cs="宋体"/>
          <w:b/>
          <w:sz w:val="24"/>
          <w:szCs w:val="24"/>
        </w:rPr>
      </w:pPr>
      <w:r>
        <w:rPr>
          <w:rFonts w:hint="eastAsia" w:ascii="宋体" w:hAnsi="宋体" w:eastAsia="宋体" w:cs="宋体"/>
          <w:b/>
          <w:sz w:val="24"/>
          <w:szCs w:val="24"/>
          <w:lang w:bidi="ar"/>
        </w:rPr>
        <w:t>3.说明是否需要其他设备配套使用，请列出配套设备名称、数量等，如未说明一律视为已包含在响应总价内；</w:t>
      </w:r>
    </w:p>
    <w:p w14:paraId="72E16474">
      <w:pPr>
        <w:spacing w:line="360" w:lineRule="auto"/>
        <w:ind w:firstLine="472" w:firstLineChars="196"/>
        <w:rPr>
          <w:rFonts w:hint="eastAsia" w:ascii="宋体" w:hAnsi="宋体" w:eastAsia="宋体" w:cs="宋体"/>
          <w:b/>
          <w:sz w:val="24"/>
          <w:szCs w:val="24"/>
        </w:rPr>
      </w:pPr>
      <w:r>
        <w:rPr>
          <w:rFonts w:hint="eastAsia" w:ascii="宋体" w:hAnsi="宋体" w:eastAsia="宋体" w:cs="宋体"/>
          <w:b/>
          <w:sz w:val="24"/>
          <w:szCs w:val="24"/>
          <w:lang w:bidi="ar"/>
        </w:rPr>
        <w:t>4.供应商及产品须资质、证照齐全且在有效期内，如确无注册证的产品，须提供官方说明材料；</w:t>
      </w:r>
    </w:p>
    <w:p w14:paraId="0CB456D9">
      <w:pPr>
        <w:spacing w:line="360" w:lineRule="auto"/>
        <w:ind w:firstLine="472" w:firstLineChars="196"/>
        <w:rPr>
          <w:rFonts w:hint="eastAsia" w:ascii="宋体" w:hAnsi="宋体" w:eastAsia="宋体" w:cs="宋体"/>
          <w:b/>
          <w:sz w:val="24"/>
          <w:szCs w:val="24"/>
        </w:rPr>
      </w:pPr>
      <w:r>
        <w:rPr>
          <w:rFonts w:hint="eastAsia" w:ascii="宋体" w:hAnsi="宋体" w:eastAsia="宋体" w:cs="宋体"/>
          <w:b/>
          <w:sz w:val="24"/>
          <w:szCs w:val="24"/>
          <w:lang w:bidi="ar"/>
        </w:rPr>
        <w:t>5.若属安徽省医用耗材政策管理范围内产品，需满足相关要求（如“集采”、“两票制”等）；若为集采管理范围内产品，需在集采目录中，同类产品原则上选择限价产品，同类无替代选择备案产品；</w:t>
      </w:r>
    </w:p>
    <w:p w14:paraId="675EF87D">
      <w:pPr>
        <w:spacing w:line="360" w:lineRule="auto"/>
        <w:ind w:firstLine="472" w:firstLineChars="196"/>
        <w:rPr>
          <w:rFonts w:hint="eastAsia" w:ascii="宋体" w:hAnsi="宋体" w:eastAsia="宋体" w:cs="宋体"/>
          <w:b/>
          <w:sz w:val="24"/>
          <w:szCs w:val="24"/>
        </w:rPr>
      </w:pPr>
      <w:r>
        <w:rPr>
          <w:rFonts w:hint="eastAsia" w:ascii="宋体" w:hAnsi="宋体" w:eastAsia="宋体" w:cs="宋体"/>
          <w:b/>
          <w:sz w:val="24"/>
          <w:szCs w:val="24"/>
          <w:lang w:bidi="ar"/>
        </w:rPr>
        <w:t>6.</w:t>
      </w:r>
      <w:r>
        <w:rPr>
          <w:rFonts w:hint="eastAsia" w:ascii="宋体" w:hAnsi="宋体" w:eastAsia="宋体" w:cs="宋体"/>
          <w:b/>
          <w:bCs/>
          <w:sz w:val="24"/>
          <w:szCs w:val="24"/>
          <w:lang w:bidi="ar"/>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eastAsia="宋体" w:cs="宋体"/>
          <w:b/>
          <w:sz w:val="24"/>
          <w:szCs w:val="24"/>
          <w:lang w:bidi="ar"/>
        </w:rPr>
        <w:t>；</w:t>
      </w:r>
    </w:p>
    <w:p w14:paraId="69511916">
      <w:pPr>
        <w:spacing w:line="360" w:lineRule="auto"/>
        <w:ind w:firstLine="472" w:firstLineChars="196"/>
        <w:rPr>
          <w:rFonts w:hint="eastAsia" w:ascii="宋体" w:hAnsi="宋体" w:eastAsia="宋体" w:cs="宋体"/>
          <w:b/>
          <w:sz w:val="24"/>
          <w:szCs w:val="24"/>
        </w:rPr>
      </w:pPr>
      <w:r>
        <w:rPr>
          <w:rFonts w:hint="eastAsia" w:ascii="宋体" w:hAnsi="宋体" w:eastAsia="宋体" w:cs="宋体"/>
          <w:b/>
          <w:sz w:val="24"/>
          <w:szCs w:val="24"/>
          <w:lang w:bidi="ar"/>
        </w:rPr>
        <w:t>7.根据医保政策，可单独收费医用耗材请提供安徽医保局下发的27位医保编码，并按编码进行报价；</w:t>
      </w:r>
    </w:p>
    <w:p w14:paraId="0E0E04F1">
      <w:pPr>
        <w:wordWrap w:val="0"/>
        <w:spacing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lang w:bidi="ar"/>
        </w:rPr>
        <w:t>8.需长期供应的医用耗材及试剂产品，成交后合同期内不得变更配送公司，否则取消该品牌成交资格。参选时生产厂家须出具长期授权函，并提供合同期内不变更配送公司的承诺函，如不提供的评审小组有权按无效响应处理。</w:t>
      </w:r>
    </w:p>
    <w:p w14:paraId="60521744">
      <w:pPr>
        <w:wordWrap w:val="0"/>
        <w:spacing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lang w:bidi="ar"/>
        </w:rPr>
        <w:t>9.医用耗材及配套使用的工具按医院规定需要消毒的，其相关费用由供应商自行承担。</w:t>
      </w:r>
    </w:p>
    <w:p w14:paraId="1CA2D488">
      <w:pPr>
        <w:wordWrap w:val="0"/>
        <w:spacing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lang w:bidi="ar"/>
        </w:rPr>
        <w:t>10.检验试剂项目和需配套检验试剂使用的检验设备项目，均须免费提供同品牌或第三方符合溯源要求的质控品。</w:t>
      </w:r>
    </w:p>
    <w:p w14:paraId="107933D4">
      <w:pPr>
        <w:wordWrap w:val="0"/>
        <w:spacing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lang w:bidi="ar"/>
        </w:rPr>
        <w:t>11.供应商需无条件接受因国家及安徽省相关政策（如医用耗材带量采购等）对比选结果带来的变动，供应商不得提出异议。</w:t>
      </w:r>
    </w:p>
    <w:p w14:paraId="3B490EA1">
      <w:pPr>
        <w:wordWrap w:val="0"/>
        <w:spacing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lang w:bidi="ar"/>
        </w:rPr>
        <w:t>12.供应商须保证此次供应产品，响应价格不得高于安徽省医药集中采购平台交易目录最高限价；后期安徽省医药集中采购平台交易目录最高限价如有降价，成交产品的成交人应于7个工作日内书面通知采购人启动协商程序。</w:t>
      </w:r>
    </w:p>
    <w:p w14:paraId="75706C3A">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lang w:bidi="ar"/>
        </w:rPr>
        <w:t>13.按收费价格费率投标</w:t>
      </w:r>
      <w:r>
        <w:rPr>
          <w:rFonts w:hint="eastAsia" w:ascii="宋体" w:hAnsi="宋体" w:eastAsia="宋体" w:cs="宋体"/>
          <w:b/>
          <w:sz w:val="24"/>
          <w:szCs w:val="24"/>
          <w:highlight w:val="none"/>
          <w:lang w:bidi="ar"/>
        </w:rPr>
        <w:t>的检验项目，如后期收费价格下调，试剂供货价格须按成交费率同比例下浮。</w:t>
      </w:r>
    </w:p>
    <w:p w14:paraId="496C4099">
      <w:pPr>
        <w:spacing w:line="360" w:lineRule="auto"/>
        <w:ind w:firstLine="470" w:firstLineChars="196"/>
        <w:rPr>
          <w:rFonts w:hint="eastAsia" w:ascii="宋体" w:hAnsi="宋体" w:eastAsia="宋体" w:cs="宋体"/>
          <w:b/>
          <w:sz w:val="24"/>
          <w:szCs w:val="24"/>
          <w:highlight w:val="none"/>
        </w:rPr>
      </w:pPr>
      <w:r>
        <w:rPr>
          <w:rFonts w:hint="eastAsia" w:ascii="宋体" w:hAnsi="宋体" w:eastAsia="宋体" w:cs="宋体"/>
          <w:sz w:val="24"/>
          <w:szCs w:val="24"/>
          <w:highlight w:val="none"/>
          <w:lang w:bidi="ar"/>
        </w:rPr>
        <w:t>备注：请列出易损件，耗材及其他相关产品清单，并注明编码报价。</w:t>
      </w:r>
    </w:p>
    <w:p w14:paraId="7DA3B6E3">
      <w:pPr>
        <w:spacing w:line="360" w:lineRule="auto"/>
        <w:ind w:firstLine="437"/>
        <w:outlineLvl w:val="1"/>
        <w:rPr>
          <w:rFonts w:hint="eastAsia" w:ascii="宋体" w:hAnsi="宋体" w:eastAsia="宋体"/>
          <w:b/>
          <w:sz w:val="24"/>
          <w:szCs w:val="18"/>
          <w:highlight w:val="none"/>
        </w:rPr>
      </w:pPr>
      <w:r>
        <w:rPr>
          <w:rFonts w:hint="eastAsia" w:ascii="宋体" w:hAnsi="宋体" w:eastAsia="宋体"/>
          <w:b/>
          <w:sz w:val="24"/>
          <w:szCs w:val="18"/>
          <w:highlight w:val="none"/>
        </w:rPr>
        <w:t>一、采购需求前附表</w:t>
      </w:r>
      <w:bookmarkEnd w:id="1"/>
      <w:bookmarkEnd w:id="2"/>
      <w:r>
        <w:rPr>
          <w:rFonts w:hint="eastAsia" w:ascii="宋体" w:hAnsi="宋体" w:eastAsia="宋体"/>
          <w:b/>
          <w:color w:val="FF0000"/>
          <w:sz w:val="24"/>
          <w:szCs w:val="18"/>
          <w:highlight w:val="none"/>
        </w:rPr>
        <w:t>（以下内容必须响应，否则视为无效响应）</w:t>
      </w:r>
    </w:p>
    <w:tbl>
      <w:tblPr>
        <w:tblStyle w:val="3"/>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191"/>
        <w:gridCol w:w="5191"/>
      </w:tblGrid>
      <w:tr w14:paraId="56E3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6042438">
            <w:pPr>
              <w:pStyle w:val="5"/>
              <w:pBdr>
                <w:bottom w:val="none" w:color="auto" w:sz="0" w:space="0"/>
              </w:pBdr>
              <w:tabs>
                <w:tab w:val="clear" w:pos="4153"/>
                <w:tab w:val="clear" w:pos="8306"/>
              </w:tabs>
              <w:adjustRightInd/>
              <w:spacing w:line="240" w:lineRule="auto"/>
              <w:textAlignment w:val="auto"/>
              <w:rPr>
                <w:rFonts w:hint="eastAsia" w:ascii="宋体" w:hAnsi="宋体" w:eastAsia="宋体"/>
                <w:b/>
                <w:kern w:val="2"/>
                <w:highlight w:val="none"/>
              </w:rPr>
            </w:pPr>
            <w:r>
              <w:rPr>
                <w:rFonts w:hint="eastAsia" w:ascii="宋体" w:hAnsi="宋体" w:eastAsia="宋体"/>
                <w:b/>
                <w:kern w:val="2"/>
                <w:highlight w:val="none"/>
              </w:rPr>
              <w:t>序号</w:t>
            </w:r>
          </w:p>
        </w:tc>
        <w:tc>
          <w:tcPr>
            <w:tcW w:w="2191" w:type="dxa"/>
            <w:vAlign w:val="center"/>
          </w:tcPr>
          <w:p w14:paraId="7E8B51D2">
            <w:pPr>
              <w:pStyle w:val="6"/>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条款名称</w:t>
            </w:r>
          </w:p>
        </w:tc>
        <w:tc>
          <w:tcPr>
            <w:tcW w:w="5191" w:type="dxa"/>
            <w:vAlign w:val="center"/>
          </w:tcPr>
          <w:p w14:paraId="54EE450F">
            <w:pPr>
              <w:pStyle w:val="6"/>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内容、说明与要求</w:t>
            </w:r>
          </w:p>
        </w:tc>
      </w:tr>
      <w:tr w14:paraId="7DA5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5C4EEB4D">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w:t>
            </w:r>
          </w:p>
        </w:tc>
        <w:tc>
          <w:tcPr>
            <w:tcW w:w="2191" w:type="dxa"/>
            <w:vAlign w:val="center"/>
          </w:tcPr>
          <w:p w14:paraId="79F9A803">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付款方式</w:t>
            </w:r>
          </w:p>
        </w:tc>
        <w:tc>
          <w:tcPr>
            <w:tcW w:w="5191" w:type="dxa"/>
            <w:vAlign w:val="center"/>
          </w:tcPr>
          <w:p w14:paraId="12D79F44">
            <w:pPr>
              <w:pStyle w:val="6"/>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（1）货到安装验收合格，提供产品的使用、操作及维修人员的培训，并能独立操作且使用部门签字确认后，一次性付清。</w:t>
            </w:r>
          </w:p>
          <w:p w14:paraId="2FA96F10">
            <w:pPr>
              <w:pStyle w:val="6"/>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 xml:space="preserve">（2）若采购人提前支付，成交人须提供与支付金额相等的不可撤销独立保函。 </w:t>
            </w:r>
          </w:p>
        </w:tc>
      </w:tr>
      <w:tr w14:paraId="19E4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614EB883">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w:t>
            </w:r>
          </w:p>
        </w:tc>
        <w:tc>
          <w:tcPr>
            <w:tcW w:w="2191" w:type="dxa"/>
            <w:vAlign w:val="center"/>
          </w:tcPr>
          <w:p w14:paraId="7C47183E">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供货及安装地点</w:t>
            </w:r>
          </w:p>
        </w:tc>
        <w:tc>
          <w:tcPr>
            <w:tcW w:w="5191" w:type="dxa"/>
            <w:vAlign w:val="center"/>
          </w:tcPr>
          <w:p w14:paraId="21CD4212">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lang w:eastAsia="zh-CN"/>
              </w:rPr>
              <w:t>上海市第六人民医院安徽医院</w:t>
            </w:r>
            <w:r>
              <w:rPr>
                <w:rFonts w:hint="eastAsia" w:ascii="宋体" w:hAnsi="宋体" w:eastAsia="宋体"/>
                <w:b w:val="0"/>
                <w:sz w:val="24"/>
                <w:highlight w:val="none"/>
                <w:u w:val="single"/>
              </w:rPr>
              <w:t>，采购人指定地点</w:t>
            </w:r>
          </w:p>
        </w:tc>
      </w:tr>
      <w:tr w14:paraId="7E8F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CBA33BF">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3</w:t>
            </w:r>
          </w:p>
        </w:tc>
        <w:tc>
          <w:tcPr>
            <w:tcW w:w="2191" w:type="dxa"/>
            <w:vAlign w:val="center"/>
          </w:tcPr>
          <w:p w14:paraId="631C958D">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供货及安装期限</w:t>
            </w:r>
          </w:p>
        </w:tc>
        <w:tc>
          <w:tcPr>
            <w:tcW w:w="5191" w:type="dxa"/>
            <w:vAlign w:val="center"/>
          </w:tcPr>
          <w:p w14:paraId="553AD3B8">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r w14:paraId="68E0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2F3E4128">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4</w:t>
            </w:r>
          </w:p>
        </w:tc>
        <w:tc>
          <w:tcPr>
            <w:tcW w:w="2191" w:type="dxa"/>
            <w:vAlign w:val="center"/>
          </w:tcPr>
          <w:p w14:paraId="3B033300">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免费质保期</w:t>
            </w:r>
          </w:p>
        </w:tc>
        <w:tc>
          <w:tcPr>
            <w:tcW w:w="5191" w:type="dxa"/>
            <w:vAlign w:val="center"/>
          </w:tcPr>
          <w:p w14:paraId="1E6985C1">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bl>
    <w:p w14:paraId="0EDEBF5B">
      <w:pPr>
        <w:spacing w:line="360" w:lineRule="auto"/>
        <w:ind w:firstLine="437"/>
        <w:outlineLvl w:val="1"/>
        <w:rPr>
          <w:rFonts w:hint="eastAsia" w:ascii="宋体" w:hAnsi="宋体" w:eastAsia="宋体"/>
          <w:b/>
          <w:bCs/>
          <w:sz w:val="24"/>
          <w:szCs w:val="18"/>
          <w:highlight w:val="none"/>
        </w:rPr>
      </w:pPr>
      <w:r>
        <w:rPr>
          <w:rFonts w:hint="eastAsia" w:ascii="宋体" w:hAnsi="宋体" w:eastAsia="宋体"/>
          <w:b/>
          <w:bCs/>
          <w:sz w:val="24"/>
          <w:szCs w:val="18"/>
          <w:highlight w:val="none"/>
        </w:rPr>
        <w:t>二、</w:t>
      </w:r>
      <w:r>
        <w:rPr>
          <w:rFonts w:hint="eastAsia" w:ascii="宋体" w:hAnsi="宋体" w:eastAsia="宋体"/>
          <w:b/>
          <w:sz w:val="24"/>
          <w:szCs w:val="18"/>
          <w:highlight w:val="none"/>
        </w:rPr>
        <w:t>货物</w:t>
      </w:r>
      <w:r>
        <w:rPr>
          <w:rFonts w:hint="eastAsia" w:ascii="宋体" w:hAnsi="宋体" w:eastAsia="宋体"/>
          <w:b/>
          <w:bCs/>
          <w:sz w:val="24"/>
          <w:szCs w:val="18"/>
          <w:highlight w:val="none"/>
        </w:rPr>
        <w:t>需求</w:t>
      </w:r>
    </w:p>
    <w:p w14:paraId="53C6DE50">
      <w:pPr>
        <w:widowControl/>
        <w:ind w:firstLine="482" w:firstLineChars="200"/>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（一）标识符号</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0FCF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66496B31">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标识类型</w:t>
            </w:r>
          </w:p>
        </w:tc>
        <w:tc>
          <w:tcPr>
            <w:tcW w:w="1365" w:type="dxa"/>
            <w:vAlign w:val="center"/>
          </w:tcPr>
          <w:p w14:paraId="7180F163">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w:t>
            </w:r>
          </w:p>
        </w:tc>
        <w:tc>
          <w:tcPr>
            <w:tcW w:w="5363" w:type="dxa"/>
            <w:vAlign w:val="center"/>
          </w:tcPr>
          <w:p w14:paraId="4D15BB18">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标识符号含义</w:t>
            </w:r>
          </w:p>
        </w:tc>
      </w:tr>
      <w:tr w14:paraId="197B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3DE2FCE5">
            <w:pPr>
              <w:spacing w:line="30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重要指标项（如有）</w:t>
            </w:r>
          </w:p>
        </w:tc>
        <w:tc>
          <w:tcPr>
            <w:tcW w:w="1365" w:type="dxa"/>
            <w:vAlign w:val="center"/>
          </w:tcPr>
          <w:p w14:paraId="6CD66D9C">
            <w:pPr>
              <w:wordWrap w:val="0"/>
              <w:adjustRightInd w:val="0"/>
              <w:snapToGrid w:val="0"/>
              <w:spacing w:line="300" w:lineRule="auto"/>
              <w:jc w:val="center"/>
              <w:rPr>
                <w:rFonts w:hint="eastAsia" w:ascii="宋体" w:hAnsi="宋体" w:eastAsia="宋体" w:cs="宋体"/>
                <w:bCs/>
                <w:color w:val="000000"/>
                <w:sz w:val="24"/>
                <w:szCs w:val="24"/>
              </w:rPr>
            </w:pPr>
            <w:r>
              <w:rPr>
                <w:rFonts w:hint="eastAsia" w:ascii="宋体" w:hAnsi="宋体" w:eastAsia="宋体" w:cs="宋体"/>
                <w:color w:val="000000"/>
                <w:sz w:val="24"/>
                <w:szCs w:val="24"/>
              </w:rPr>
              <w:t>★</w:t>
            </w:r>
          </w:p>
        </w:tc>
        <w:tc>
          <w:tcPr>
            <w:tcW w:w="5363" w:type="dxa"/>
            <w:vAlign w:val="center"/>
          </w:tcPr>
          <w:p w14:paraId="5D4068F8">
            <w:pPr>
              <w:wordWrap w:val="0"/>
              <w:adjustRightInd w:val="0"/>
              <w:snapToGrid w:val="0"/>
              <w:spacing w:line="300" w:lineRule="auto"/>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不满足技术要求中“★”参数（如有）的,属于重大偏离，会对最终评审产生较大影响。</w:t>
            </w:r>
          </w:p>
        </w:tc>
      </w:tr>
      <w:tr w14:paraId="1EA4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7B48C025">
            <w:pPr>
              <w:spacing w:line="30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注：</w:t>
            </w:r>
          </w:p>
          <w:p w14:paraId="38ACF8A3">
            <w:pPr>
              <w:spacing w:line="30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如某项标识中包含多条技术参数或要求，则该项标识所含内容均需满足或优于比选文件要求，否则不予认可。</w:t>
            </w:r>
          </w:p>
        </w:tc>
      </w:tr>
    </w:tbl>
    <w:p w14:paraId="43D300E6">
      <w:pPr>
        <w:widowControl/>
        <w:snapToGrid w:val="0"/>
        <w:spacing w:line="360" w:lineRule="auto"/>
        <w:ind w:firstLine="482" w:firstLineChars="200"/>
        <w:outlineLvl w:val="2"/>
        <w:rPr>
          <w:rFonts w:hint="eastAsia" w:ascii="宋体" w:hAnsi="宋体" w:eastAsia="宋体" w:cs="宋体"/>
          <w:b/>
          <w:bCs/>
          <w:sz w:val="24"/>
          <w:szCs w:val="24"/>
        </w:rPr>
      </w:pPr>
    </w:p>
    <w:p w14:paraId="1D82C565">
      <w:pPr>
        <w:widowControl/>
        <w:snapToGrid w:val="0"/>
        <w:spacing w:line="360" w:lineRule="auto"/>
        <w:ind w:firstLine="482" w:firstLineChars="200"/>
        <w:outlineLvl w:val="2"/>
        <w:rPr>
          <w:rFonts w:hint="eastAsia" w:ascii="宋体" w:hAnsi="宋体" w:eastAsia="宋体"/>
          <w:b/>
          <w:bCs/>
          <w:sz w:val="24"/>
          <w:szCs w:val="18"/>
        </w:rPr>
      </w:pPr>
      <w:r>
        <w:rPr>
          <w:rFonts w:hint="eastAsia" w:ascii="宋体" w:hAnsi="宋体" w:eastAsia="宋体" w:cs="宋体"/>
          <w:b/>
          <w:bCs/>
          <w:sz w:val="24"/>
          <w:szCs w:val="24"/>
        </w:rPr>
        <w:t>（二）技术参数</w:t>
      </w:r>
    </w:p>
    <w:bookmarkEnd w:id="0"/>
    <w:p w14:paraId="7F24027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1、人体抬升（仰卧、俯卧）悬浮功能：具备自动悬托抬升功能，抬升高度≥30cm；通过增大受力面积减轻骨凸位置压力，以预防压疮。</w:t>
      </w:r>
    </w:p>
    <w:p w14:paraId="1F3D7C5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2、具备电动辅助悬浮翻身功能。</w:t>
      </w:r>
    </w:p>
    <w:p w14:paraId="09E468D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3、站立功能：具备站立功能，站立角度≥75°，悬浮站立角度：0-30°，用于预防长期卧床引起的并发症，并辅助临床康复训练。</w:t>
      </w:r>
    </w:p>
    <w:p w14:paraId="18018CF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4、床机转型座椅功能：可实现由床型向座椅形态的转变，转型后腿部自然屈膝角度≤90°、起背角度≥66°、座位抬升高度≥30cm。</w:t>
      </w:r>
    </w:p>
    <w:p w14:paraId="53AD049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5、坐起的过程中，撕开臀部魔术贴，置入污水盆。</w:t>
      </w:r>
    </w:p>
    <w:p w14:paraId="556555C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6、床头板拆卸功能：为便于紧急气管插管、清创换药等操作，床头板应可拆卸。</w:t>
      </w:r>
    </w:p>
    <w:p w14:paraId="1D62B19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7、床上卧床X光检查功能：支持患者在床上进行X光检查。</w:t>
      </w:r>
    </w:p>
    <w:p w14:paraId="3F2A045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8、床上康复训练功能：可加装牵引架，以进行牵引及康复锻炼。</w:t>
      </w:r>
    </w:p>
    <w:p w14:paraId="412A171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9、大小便床上管理功能：床垫臀部区域应设计为可拆卸结构。</w:t>
      </w:r>
    </w:p>
    <w:p w14:paraId="423716D1">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10、床上淋浴浸浴功能：床单可拆卸并可更换为拉链式浴盆，以支持浸润治疗及患者皮肤清洁。</w:t>
      </w:r>
    </w:p>
    <w:p w14:paraId="4571916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11、起背坐起功能：具备电动一键坐起功能。</w:t>
      </w:r>
    </w:p>
    <w:p w14:paraId="782D937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12、阅读位功能：提供便于阅读的体位调节功能。</w:t>
      </w:r>
    </w:p>
    <w:p w14:paraId="7C8419A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13、抬腿功能：抬腿角度≥35°。</w:t>
      </w:r>
    </w:p>
    <w:p w14:paraId="37EB100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14、MAX检查位功能：具备特定的MAX检查体位调节功能。</w:t>
      </w:r>
    </w:p>
    <w:p w14:paraId="7D00292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15、电动自动循环定时站立功能：可设定站立位与卧位之间的小角度循环变换，循环时间在一定范围内可设定，以减轻局部压力并改善通气治疗舒适度。</w:t>
      </w:r>
    </w:p>
    <w:p w14:paraId="090C861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16、电动一键CPR功能：具备一键快速放平床体至CPR（心肺复苏）位的功能。</w:t>
      </w:r>
    </w:p>
    <w:p w14:paraId="251DC801">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17、电源：220V/50Hz。</w:t>
      </w:r>
    </w:p>
    <w:p w14:paraId="414CDD9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18、电池容量：≥1.2AH。</w:t>
      </w:r>
    </w:p>
    <w:p w14:paraId="1F0ADEB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19、控制器：应配备带线触屏遥控器。</w:t>
      </w:r>
    </w:p>
    <w:p w14:paraId="06C4325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20、整体外形尺寸：长≥2180mm，宽≥1040mm，高≥1020mm。</w:t>
      </w:r>
    </w:p>
    <w:p w14:paraId="3E89474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21、床面尺寸：长≥1850mm，宽≥750mm。</w:t>
      </w:r>
    </w:p>
    <w:p w14:paraId="54695C9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22、抬架床面尺寸：长≥1940mm，宽≥900mm。</w:t>
      </w:r>
    </w:p>
    <w:p w14:paraId="440F119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★23、左右悬浮翻身角度：0-23°可调。</w:t>
      </w:r>
    </w:p>
    <w:p w14:paraId="6B21150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24、左右不同体位定时自动循环悬浮翻身维持时间设定范围：0-99min可设定。</w:t>
      </w:r>
    </w:p>
    <w:p w14:paraId="63A18FE9">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lang w:val="en-US" w:eastAsia="zh-CN" w:bidi="ar"/>
        </w:rPr>
        <w:t>★25、台架悬浮抬升行程：≥300mm。</w:t>
      </w:r>
    </w:p>
    <w:p w14:paraId="3CAFB7E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u w:val="none"/>
        </w:rPr>
      </w:pPr>
      <w:r>
        <w:rPr>
          <w:rFonts w:hint="eastAsia" w:ascii="宋体" w:hAnsi="宋体" w:eastAsia="宋体" w:cs="宋体"/>
          <w:bCs/>
          <w:color w:val="000000"/>
          <w:kern w:val="2"/>
          <w:sz w:val="24"/>
          <w:szCs w:val="24"/>
          <w:lang w:val="en-US" w:eastAsia="zh-CN" w:bidi="ar"/>
        </w:rPr>
        <w:t>26、抬腿</w:t>
      </w:r>
      <w:r>
        <w:rPr>
          <w:rFonts w:hint="eastAsia" w:ascii="宋体" w:hAnsi="宋体" w:eastAsia="宋体" w:cs="宋体"/>
          <w:bCs/>
          <w:color w:val="000000"/>
          <w:kern w:val="2"/>
          <w:sz w:val="24"/>
          <w:szCs w:val="24"/>
          <w:u w:val="none"/>
          <w:lang w:val="en-US" w:eastAsia="zh-CN" w:bidi="ar"/>
        </w:rPr>
        <w:t>角度：大腿≥35°，小腿≥20°。</w:t>
      </w:r>
    </w:p>
    <w:p w14:paraId="71AAFCF8">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u w:val="none"/>
        </w:rPr>
      </w:pPr>
      <w:r>
        <w:rPr>
          <w:rFonts w:hint="eastAsia" w:ascii="宋体" w:hAnsi="宋体" w:eastAsia="宋体" w:cs="宋体"/>
          <w:bCs/>
          <w:color w:val="000000"/>
          <w:kern w:val="2"/>
          <w:sz w:val="24"/>
          <w:szCs w:val="24"/>
          <w:u w:val="none"/>
          <w:lang w:val="en-US" w:eastAsia="zh-CN" w:bidi="ar"/>
        </w:rPr>
        <w:t>27、站立角度：≥75°。</w:t>
      </w:r>
    </w:p>
    <w:p w14:paraId="0D0DF81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u w:val="none"/>
        </w:rPr>
      </w:pPr>
      <w:r>
        <w:rPr>
          <w:rFonts w:hint="eastAsia" w:ascii="宋体" w:hAnsi="宋体" w:eastAsia="宋体" w:cs="宋体"/>
          <w:bCs/>
          <w:color w:val="000000"/>
          <w:kern w:val="2"/>
          <w:sz w:val="24"/>
          <w:szCs w:val="24"/>
          <w:u w:val="none"/>
          <w:lang w:val="en-US" w:eastAsia="zh-CN" w:bidi="ar"/>
        </w:rPr>
        <w:t>★28、悬浮站立角度：≥30°。</w:t>
      </w:r>
    </w:p>
    <w:p w14:paraId="07E52DE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u w:val="none"/>
        </w:rPr>
      </w:pPr>
      <w:r>
        <w:rPr>
          <w:rFonts w:hint="eastAsia" w:ascii="宋体" w:hAnsi="宋体" w:eastAsia="宋体" w:cs="宋体"/>
          <w:bCs/>
          <w:color w:val="000000"/>
          <w:kern w:val="2"/>
          <w:sz w:val="24"/>
          <w:szCs w:val="24"/>
          <w:u w:val="none"/>
          <w:lang w:val="en-US" w:eastAsia="zh-CN" w:bidi="ar"/>
        </w:rPr>
        <w:t>29、自动循环悬浮站立角度不同体位时间设定范围：5-995min可设定。</w:t>
      </w:r>
    </w:p>
    <w:p w14:paraId="7BFC850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u w:val="none"/>
        </w:rPr>
      </w:pPr>
      <w:r>
        <w:rPr>
          <w:rFonts w:hint="eastAsia" w:ascii="宋体" w:hAnsi="宋体" w:eastAsia="宋体" w:cs="宋体"/>
          <w:bCs/>
          <w:color w:val="000000"/>
          <w:kern w:val="2"/>
          <w:sz w:val="24"/>
          <w:szCs w:val="24"/>
          <w:u w:val="none"/>
          <w:lang w:val="en-US" w:eastAsia="zh-CN" w:bidi="ar"/>
        </w:rPr>
        <w:t>30、脚踏旋转角度：≥25°。</w:t>
      </w:r>
    </w:p>
    <w:p w14:paraId="17E7842B">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u w:val="none"/>
        </w:rPr>
      </w:pPr>
      <w:r>
        <w:rPr>
          <w:rFonts w:hint="eastAsia" w:ascii="宋体" w:hAnsi="宋体" w:eastAsia="宋体" w:cs="宋体"/>
          <w:bCs/>
          <w:color w:val="000000"/>
          <w:kern w:val="2"/>
          <w:sz w:val="24"/>
          <w:szCs w:val="24"/>
          <w:u w:val="none"/>
          <w:lang w:val="en-US" w:eastAsia="zh-CN" w:bidi="ar"/>
        </w:rPr>
        <w:t>31、台架复合双层床体配套拉链床单/魔术贴床单尺寸：长≥1870mm，宽≥670mm。</w:t>
      </w:r>
    </w:p>
    <w:p w14:paraId="6589362B">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u w:val="none"/>
        </w:rPr>
      </w:pPr>
      <w:r>
        <w:rPr>
          <w:rFonts w:hint="eastAsia" w:ascii="宋体" w:hAnsi="宋体" w:eastAsia="宋体" w:cs="宋体"/>
          <w:bCs/>
          <w:color w:val="000000"/>
          <w:kern w:val="2"/>
          <w:sz w:val="24"/>
          <w:szCs w:val="24"/>
          <w:u w:val="none"/>
          <w:lang w:val="en-US" w:eastAsia="zh-CN" w:bidi="ar"/>
        </w:rPr>
        <w:t>32、乳胶海绵床垫尺寸：长≥1850mm，宽≥740mm，高≥70mm。</w:t>
      </w:r>
    </w:p>
    <w:p w14:paraId="4471F10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u w:val="none"/>
        </w:rPr>
      </w:pPr>
      <w:r>
        <w:rPr>
          <w:rFonts w:hint="eastAsia" w:ascii="宋体" w:hAnsi="宋体" w:eastAsia="宋体" w:cs="宋体"/>
          <w:bCs/>
          <w:color w:val="000000"/>
          <w:kern w:val="2"/>
          <w:sz w:val="24"/>
          <w:szCs w:val="24"/>
          <w:u w:val="none"/>
          <w:lang w:val="en-US" w:eastAsia="zh-CN" w:bidi="ar"/>
        </w:rPr>
        <w:t>33、浴盆尺寸：长≥1900mm，宽≥900mm，高≥170mm。</w:t>
      </w:r>
    </w:p>
    <w:p w14:paraId="5367E498">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u w:val="none"/>
        </w:rPr>
      </w:pPr>
      <w:r>
        <w:rPr>
          <w:rFonts w:hint="eastAsia" w:ascii="宋体" w:hAnsi="宋体" w:eastAsia="宋体" w:cs="宋体"/>
          <w:bCs/>
          <w:color w:val="000000"/>
          <w:kern w:val="2"/>
          <w:sz w:val="24"/>
          <w:szCs w:val="24"/>
          <w:u w:val="none"/>
          <w:lang w:val="en-US" w:eastAsia="zh-CN" w:bidi="ar"/>
        </w:rPr>
        <w:t>34、起背角度：≥65°。</w:t>
      </w:r>
    </w:p>
    <w:p w14:paraId="255B8CE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u w:val="none"/>
        </w:rPr>
      </w:pPr>
      <w:r>
        <w:rPr>
          <w:rFonts w:hint="eastAsia" w:ascii="宋体" w:hAnsi="宋体" w:eastAsia="宋体" w:cs="宋体"/>
          <w:bCs/>
          <w:color w:val="000000"/>
          <w:kern w:val="2"/>
          <w:sz w:val="24"/>
          <w:szCs w:val="24"/>
          <w:u w:val="none"/>
          <w:lang w:val="en-US" w:eastAsia="zh-CN" w:bidi="ar"/>
        </w:rPr>
        <w:t>35、床体安全载荷：≥2200N。</w:t>
      </w:r>
    </w:p>
    <w:p w14:paraId="7B3BD2A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color w:val="000000"/>
          <w:kern w:val="2"/>
          <w:sz w:val="24"/>
          <w:szCs w:val="24"/>
          <w:u w:val="none"/>
        </w:rPr>
      </w:pPr>
      <w:r>
        <w:rPr>
          <w:rFonts w:hint="eastAsia" w:ascii="宋体" w:hAnsi="宋体" w:eastAsia="宋体" w:cs="宋体"/>
          <w:bCs/>
          <w:color w:val="000000"/>
          <w:kern w:val="2"/>
          <w:sz w:val="24"/>
          <w:szCs w:val="24"/>
          <w:u w:val="none"/>
          <w:lang w:val="en-US" w:eastAsia="zh-CN" w:bidi="ar"/>
        </w:rPr>
        <w:t>36、最大患者体重：≥170kg。</w:t>
      </w:r>
    </w:p>
    <w:p w14:paraId="6050020E">
      <w:r>
        <w:rPr>
          <w:rFonts w:hint="eastAsia" w:ascii="宋体" w:hAnsi="宋体" w:eastAsia="宋体" w:cs="宋体"/>
          <w:bCs/>
          <w:color w:val="000000"/>
          <w:kern w:val="2"/>
          <w:sz w:val="24"/>
          <w:szCs w:val="24"/>
          <w:u w:val="none"/>
          <w:lang w:val="en-US" w:eastAsia="zh-CN" w:bidi="ar"/>
        </w:rPr>
        <w:t>37、配置要求</w:t>
      </w:r>
      <w:r>
        <w:rPr>
          <w:rFonts w:hint="eastAsia" w:ascii="宋体" w:hAnsi="宋体" w:eastAsia="宋体" w:cs="宋体"/>
          <w:b/>
          <w:bCs w:val="0"/>
          <w:color w:val="000000"/>
          <w:kern w:val="2"/>
          <w:sz w:val="24"/>
          <w:szCs w:val="24"/>
          <w:u w:val="none"/>
          <w:lang w:val="en-US" w:eastAsia="zh-CN" w:bidi="ar"/>
        </w:rPr>
        <w:t>（实质性响应条款，必须满足）</w:t>
      </w:r>
      <w:r>
        <w:rPr>
          <w:rFonts w:hint="eastAsia" w:ascii="宋体" w:hAnsi="宋体" w:eastAsia="宋体" w:cs="宋体"/>
          <w:bCs/>
          <w:color w:val="000000"/>
          <w:kern w:val="2"/>
          <w:sz w:val="24"/>
          <w:szCs w:val="24"/>
          <w:u w:val="none"/>
          <w:lang w:val="en-US" w:eastAsia="zh-CN" w:bidi="ar"/>
        </w:rPr>
        <w:t>：主机1台，遥控器1个，床垫1套，松紧棉布床单2套，魔术贴床单（斜面，187×67cm）1套，魔术贴床单（平面，187×78cm）1套，电子安全带1套，输液架1个，餐板1个，桌板1个，病床枕头1套，腿垫A 1个，防侧滑背垫1个，松紧皮革床单1套。</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FA2F06"/>
    <w:rsid w:val="3FFA2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5">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2026-07-31T09:39:00Z</dcterms:created>
  <dc:creator>w</dc:creator>
  <cp:lastModifiedBy>w</cp:lastModifiedBy>
  <dcterms:modified xsi:type="dcterms:W3CDTF">2026-07-31T09:39:48Z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D54CD7F4A7C3441D8039D518C96172AB_11</vt:lpwstr>
  </property>
  <property fmtid="{D5CDD505-2E9C-101B-9397-08002B2CF9AE}" pid="4" name="KSOTemplateDocerSaveRecord">
    <vt:lpwstr>eyJoZGlkIjoiZWUyOTQ1NDM2Zjc0YjU0MjZhMWI3YTAyMzgxNTM2MDQiLCJ1c2VySWQiOiI0NjEyMTI0ODEifQ==</vt:lpwstr>
  </property>
</Properties>
</file>