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65D33">
      <w:pPr>
        <w:spacing w:line="360" w:lineRule="auto"/>
        <w:jc w:val="center"/>
        <w:outlineLvl w:val="0"/>
        <w:rPr>
          <w:rFonts w:hint="eastAsia" w:asciiTheme="minorEastAsia" w:hAnsiTheme="minorEastAsia" w:eastAsiaTheme="minorEastAsia"/>
          <w:b/>
          <w:sz w:val="28"/>
          <w:highlight w:val="none"/>
        </w:rPr>
      </w:pPr>
      <w:r>
        <w:rPr>
          <w:rFonts w:hint="eastAsia" w:asciiTheme="minorEastAsia" w:hAnsiTheme="minorEastAsia" w:eastAsiaTheme="minorEastAsia"/>
          <w:b/>
          <w:sz w:val="28"/>
        </w:rPr>
        <w:t xml:space="preserve"> </w:t>
      </w:r>
      <w:r>
        <w:rPr>
          <w:rFonts w:hint="eastAsia" w:asciiTheme="minorEastAsia" w:hAnsiTheme="minorEastAsia" w:eastAsiaTheme="minorEastAsia"/>
          <w:b/>
          <w:sz w:val="28"/>
          <w:highlight w:val="none"/>
        </w:rPr>
        <w:t>采购需求</w:t>
      </w:r>
    </w:p>
    <w:p w14:paraId="67C459E5">
      <w:pPr>
        <w:spacing w:line="360" w:lineRule="auto"/>
        <w:rPr>
          <w:rFonts w:hint="eastAsia" w:asciiTheme="minorEastAsia" w:hAnsiTheme="minorEastAsia" w:eastAsiaTheme="minorEastAsia"/>
          <w:b/>
          <w:sz w:val="24"/>
          <w:szCs w:val="24"/>
          <w:highlight w:val="none"/>
        </w:rPr>
      </w:pPr>
      <w:bookmarkStart w:id="0" w:name="_Hlk16461016"/>
      <w:r>
        <w:rPr>
          <w:rFonts w:hint="eastAsia" w:asciiTheme="minorEastAsia" w:hAnsiTheme="minorEastAsia" w:eastAsiaTheme="minorEastAsia"/>
          <w:b/>
          <w:sz w:val="24"/>
          <w:szCs w:val="24"/>
          <w:highlight w:val="none"/>
        </w:rPr>
        <w:t>前注：</w:t>
      </w:r>
    </w:p>
    <w:p w14:paraId="1A3561C9">
      <w:pPr>
        <w:spacing w:line="360" w:lineRule="auto"/>
        <w:rPr>
          <w:rFonts w:hint="eastAsia" w:ascii="宋体" w:hAnsi="宋体" w:eastAsia="宋体" w:cs="宋体"/>
          <w:b/>
          <w:color w:val="FF0000"/>
          <w:sz w:val="24"/>
          <w:szCs w:val="24"/>
          <w:highlight w:val="none"/>
        </w:rPr>
      </w:pPr>
      <w:bookmarkStart w:id="1" w:name="_Toc9765"/>
      <w:bookmarkStart w:id="2" w:name="_Toc26330"/>
      <w:r>
        <w:rPr>
          <w:rFonts w:hint="eastAsia" w:ascii="宋体" w:hAnsi="宋体" w:eastAsia="宋体" w:cs="宋体"/>
          <w:b/>
          <w:color w:val="FF0000"/>
          <w:sz w:val="24"/>
          <w:szCs w:val="24"/>
          <w:highlight w:val="none"/>
          <w:lang w:bidi="ar"/>
        </w:rPr>
        <w:t>要求：以下条款如供应商参与响应，视为供应商自动响应。</w:t>
      </w:r>
    </w:p>
    <w:p w14:paraId="482728AB">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1.按照响应方案提供配置清单，标明品牌、型号、产地、数量等并分项报价；</w:t>
      </w:r>
    </w:p>
    <w:p w14:paraId="42E2D2CC">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2.提供产品日常使用的所有配套专用耗材清单，确保产品正常使用。须标明品牌、型号、产地、规格、最小供货单位等并分项报价，报价不计入响应总价。在成交后如发现有漏报、瞒报的配套专用耗材，一律视为已包含在成交总价内，不得以赠送形式向采购人提供产品及服务。耗材供应期按照医院相关耗材管理规定执行；</w:t>
      </w:r>
    </w:p>
    <w:p w14:paraId="72383F08">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3.说明是否需要其他设备配套使用，请列出配套设备名称、数量等，如未说明一律视为已包含在响应总价内；</w:t>
      </w:r>
    </w:p>
    <w:p w14:paraId="72E16474">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4.供应商及产品须资质、证照齐全且在有效期内，如确无注册证的产品，须提供官方说明材料；</w:t>
      </w:r>
    </w:p>
    <w:p w14:paraId="0CB456D9">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5.若属安徽省医用耗材政策管理范围内产品，需满足相关要求（如“集采”、“两票制”等）；若为集采管理范围内产品，需在集采目录中，同类产品原则上选择限价产品，同类无替代选择备案产品；</w:t>
      </w:r>
    </w:p>
    <w:p w14:paraId="675EF87D">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6.</w:t>
      </w:r>
      <w:r>
        <w:rPr>
          <w:rFonts w:hint="eastAsia" w:ascii="宋体" w:hAnsi="宋体" w:eastAsia="宋体" w:cs="宋体"/>
          <w:b/>
          <w:bCs/>
          <w:sz w:val="24"/>
          <w:szCs w:val="24"/>
          <w:highlight w:val="none"/>
          <w:lang w:bidi="ar"/>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4"/>
          <w:szCs w:val="24"/>
          <w:highlight w:val="none"/>
          <w:lang w:bidi="ar"/>
        </w:rPr>
        <w:t>；</w:t>
      </w:r>
    </w:p>
    <w:p w14:paraId="69511916">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7.根据医保政策，可单独收费医用耗材请提供安徽医保局下发的27位医保编码，并按编码进行报价；</w:t>
      </w:r>
    </w:p>
    <w:p w14:paraId="0E0E04F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8.需长期供应的医用耗材及试剂产品，成交后合同期内不得变更配送公司，否则取消该品牌成交资格。参选时生产厂家须出具长期授权函，并提供合同期内不变更配送公司的承诺函，如不提供的评审小组有权按无效响应处理。</w:t>
      </w:r>
    </w:p>
    <w:p w14:paraId="6052174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9.医用耗材及配套使用的工具按医院规定需要消毒的，其相关费用由供应商自行承担。</w:t>
      </w:r>
    </w:p>
    <w:p w14:paraId="1CA2D488">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10.检验试剂项目和需配套检验试剂使用的检验设备项目，均须免费提供同品牌或第三方符合溯源要求的质控品。</w:t>
      </w:r>
    </w:p>
    <w:p w14:paraId="107933D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11.供应商需无条件接受因国家及安徽省相关政策（如医用耗材带量采购等）对比选结果带来的变动，供应商不得提出异议。</w:t>
      </w:r>
    </w:p>
    <w:p w14:paraId="3B490EA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12.供应商须保证此次供应产品，响应价格不得高于安徽省医药集中采购平台交易目录最高限价；后期安徽省医药集中采购平台交易目录最高限价如有降价，成交产品的成交人应于7个工作日内书面通知采购人启动协商程序。</w:t>
      </w:r>
    </w:p>
    <w:p w14:paraId="75706C3A">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13.按收费价格费率投标的检验项目，如后期收费价格下调，试剂供货价格须按成交费率同比例下浮。</w:t>
      </w:r>
    </w:p>
    <w:p w14:paraId="496C4099">
      <w:pPr>
        <w:spacing w:line="360" w:lineRule="auto"/>
        <w:ind w:firstLine="470" w:firstLineChars="196"/>
        <w:rPr>
          <w:rFonts w:hint="eastAsia" w:ascii="宋体" w:hAnsi="宋体" w:eastAsia="宋体" w:cs="宋体"/>
          <w:b/>
          <w:sz w:val="24"/>
          <w:szCs w:val="24"/>
          <w:highlight w:val="none"/>
        </w:rPr>
      </w:pPr>
      <w:r>
        <w:rPr>
          <w:rFonts w:hint="eastAsia" w:ascii="宋体" w:hAnsi="宋体" w:eastAsia="宋体" w:cs="宋体"/>
          <w:sz w:val="24"/>
          <w:szCs w:val="24"/>
          <w:highlight w:val="none"/>
          <w:lang w:bidi="ar"/>
        </w:rPr>
        <w:t>备注：请列出易损件，耗材及其他相关产品清单，并注明编码报价。</w:t>
      </w:r>
    </w:p>
    <w:p w14:paraId="7DA3B6E3">
      <w:pPr>
        <w:spacing w:line="360" w:lineRule="auto"/>
        <w:ind w:firstLine="437"/>
        <w:outlineLvl w:val="1"/>
        <w:rPr>
          <w:rFonts w:hint="eastAsia" w:ascii="宋体" w:hAnsi="宋体" w:eastAsia="宋体"/>
          <w:b/>
          <w:sz w:val="24"/>
          <w:szCs w:val="18"/>
          <w:highlight w:val="none"/>
        </w:rPr>
      </w:pPr>
      <w:r>
        <w:rPr>
          <w:rFonts w:hint="eastAsia" w:ascii="宋体" w:hAnsi="宋体" w:eastAsia="宋体"/>
          <w:b/>
          <w:sz w:val="24"/>
          <w:szCs w:val="18"/>
          <w:highlight w:val="none"/>
        </w:rPr>
        <w:t>一、采购需求前附表</w:t>
      </w:r>
      <w:bookmarkEnd w:id="1"/>
      <w:bookmarkEnd w:id="2"/>
      <w:r>
        <w:rPr>
          <w:rFonts w:hint="eastAsia" w:ascii="宋体" w:hAnsi="宋体" w:eastAsia="宋体"/>
          <w:b/>
          <w:color w:val="FF0000"/>
          <w:sz w:val="24"/>
          <w:szCs w:val="18"/>
          <w:highlight w:val="none"/>
        </w:rPr>
        <w:t>（以下内容必须响应，否则视为无效响应）</w:t>
      </w:r>
    </w:p>
    <w:tbl>
      <w:tblPr>
        <w:tblStyle w:val="3"/>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191"/>
      </w:tblGrid>
      <w:tr w14:paraId="56E3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6042438">
            <w:pPr>
              <w:pStyle w:val="5"/>
              <w:pBdr>
                <w:bottom w:val="none" w:color="auto" w:sz="0" w:space="0"/>
              </w:pBdr>
              <w:tabs>
                <w:tab w:val="clear" w:pos="4153"/>
                <w:tab w:val="clear" w:pos="8306"/>
              </w:tabs>
              <w:adjustRightInd/>
              <w:spacing w:line="240" w:lineRule="auto"/>
              <w:textAlignment w:val="auto"/>
              <w:rPr>
                <w:rFonts w:hint="eastAsia" w:ascii="宋体" w:hAnsi="宋体" w:eastAsia="宋体"/>
                <w:b/>
                <w:kern w:val="2"/>
                <w:highlight w:val="none"/>
              </w:rPr>
            </w:pPr>
            <w:r>
              <w:rPr>
                <w:rFonts w:hint="eastAsia" w:ascii="宋体" w:hAnsi="宋体" w:eastAsia="宋体"/>
                <w:b/>
                <w:kern w:val="2"/>
                <w:highlight w:val="none"/>
              </w:rPr>
              <w:t>序号</w:t>
            </w:r>
          </w:p>
        </w:tc>
        <w:tc>
          <w:tcPr>
            <w:tcW w:w="2191" w:type="dxa"/>
            <w:vAlign w:val="center"/>
          </w:tcPr>
          <w:p w14:paraId="7E8B51D2">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条款名称</w:t>
            </w:r>
          </w:p>
        </w:tc>
        <w:tc>
          <w:tcPr>
            <w:tcW w:w="5191" w:type="dxa"/>
            <w:vAlign w:val="center"/>
          </w:tcPr>
          <w:p w14:paraId="54EE450F">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内容、说明与要求</w:t>
            </w:r>
          </w:p>
        </w:tc>
      </w:tr>
      <w:tr w14:paraId="7DA5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5C4EEB4D">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w:t>
            </w:r>
          </w:p>
        </w:tc>
        <w:tc>
          <w:tcPr>
            <w:tcW w:w="2191" w:type="dxa"/>
            <w:vAlign w:val="center"/>
          </w:tcPr>
          <w:p w14:paraId="79F9A803">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付款方式</w:t>
            </w:r>
          </w:p>
        </w:tc>
        <w:tc>
          <w:tcPr>
            <w:tcW w:w="5191" w:type="dxa"/>
            <w:vAlign w:val="center"/>
          </w:tcPr>
          <w:p w14:paraId="12D79F44">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（1）货到安装验收合格，提供产品的使用、操作及维修人员的培训，并能独立操作且使用部门签字确认后，一次性付清。</w:t>
            </w:r>
          </w:p>
          <w:p w14:paraId="2FA96F10">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 xml:space="preserve">（2）若采购人提前支付，成交人须提供与支付金额相等的不可撤销独立保函。 </w:t>
            </w:r>
          </w:p>
        </w:tc>
      </w:tr>
      <w:tr w14:paraId="19E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614EB883">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w:t>
            </w:r>
          </w:p>
        </w:tc>
        <w:tc>
          <w:tcPr>
            <w:tcW w:w="2191" w:type="dxa"/>
            <w:vAlign w:val="center"/>
          </w:tcPr>
          <w:p w14:paraId="7C47183E">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供货及安装地点</w:t>
            </w:r>
          </w:p>
        </w:tc>
        <w:tc>
          <w:tcPr>
            <w:tcW w:w="5191" w:type="dxa"/>
            <w:vAlign w:val="center"/>
          </w:tcPr>
          <w:p w14:paraId="21CD4212">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lang w:eastAsia="zh-CN"/>
              </w:rPr>
              <w:t>上海市第六人民医院安徽医院</w:t>
            </w:r>
            <w:r>
              <w:rPr>
                <w:rFonts w:hint="eastAsia" w:ascii="宋体" w:hAnsi="宋体" w:eastAsia="宋体"/>
                <w:b w:val="0"/>
                <w:sz w:val="24"/>
                <w:highlight w:val="none"/>
                <w:u w:val="single"/>
              </w:rPr>
              <w:t>，采购人指定地点</w:t>
            </w:r>
          </w:p>
        </w:tc>
      </w:tr>
      <w:tr w14:paraId="7E8F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CBA33BF">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w:t>
            </w:r>
          </w:p>
        </w:tc>
        <w:tc>
          <w:tcPr>
            <w:tcW w:w="2191" w:type="dxa"/>
            <w:vAlign w:val="center"/>
          </w:tcPr>
          <w:p w14:paraId="631C958D">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供货及安装期限</w:t>
            </w:r>
          </w:p>
        </w:tc>
        <w:tc>
          <w:tcPr>
            <w:tcW w:w="5191" w:type="dxa"/>
            <w:vAlign w:val="center"/>
          </w:tcPr>
          <w:p w14:paraId="553AD3B8">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r w14:paraId="68E0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F3E4128">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4</w:t>
            </w:r>
          </w:p>
        </w:tc>
        <w:tc>
          <w:tcPr>
            <w:tcW w:w="2191" w:type="dxa"/>
            <w:vAlign w:val="center"/>
          </w:tcPr>
          <w:p w14:paraId="3B033300">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免费质保期</w:t>
            </w:r>
          </w:p>
        </w:tc>
        <w:tc>
          <w:tcPr>
            <w:tcW w:w="5191" w:type="dxa"/>
            <w:vAlign w:val="center"/>
          </w:tcPr>
          <w:p w14:paraId="1E6985C1">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bl>
    <w:p w14:paraId="0EDEBF5B">
      <w:pPr>
        <w:spacing w:line="360" w:lineRule="auto"/>
        <w:ind w:firstLine="437"/>
        <w:outlineLvl w:val="1"/>
        <w:rPr>
          <w:rFonts w:hint="eastAsia" w:ascii="宋体" w:hAnsi="宋体" w:eastAsia="宋体"/>
          <w:b/>
          <w:bCs/>
          <w:sz w:val="24"/>
          <w:szCs w:val="18"/>
          <w:highlight w:val="none"/>
        </w:rPr>
      </w:pPr>
      <w:r>
        <w:rPr>
          <w:rFonts w:hint="eastAsia" w:ascii="宋体" w:hAnsi="宋体" w:eastAsia="宋体"/>
          <w:b/>
          <w:bCs/>
          <w:sz w:val="24"/>
          <w:szCs w:val="18"/>
          <w:highlight w:val="none"/>
        </w:rPr>
        <w:t>二、</w:t>
      </w:r>
      <w:r>
        <w:rPr>
          <w:rFonts w:hint="eastAsia" w:ascii="宋体" w:hAnsi="宋体" w:eastAsia="宋体"/>
          <w:b/>
          <w:sz w:val="24"/>
          <w:szCs w:val="18"/>
          <w:highlight w:val="none"/>
        </w:rPr>
        <w:t>货物</w:t>
      </w:r>
      <w:r>
        <w:rPr>
          <w:rFonts w:hint="eastAsia" w:ascii="宋体" w:hAnsi="宋体" w:eastAsia="宋体"/>
          <w:b/>
          <w:bCs/>
          <w:sz w:val="24"/>
          <w:szCs w:val="18"/>
          <w:highlight w:val="none"/>
        </w:rPr>
        <w:t>需求</w:t>
      </w:r>
    </w:p>
    <w:p w14:paraId="53C6DE50">
      <w:pPr>
        <w:widowControl/>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FCF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6496B31">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vAlign w:val="center"/>
          </w:tcPr>
          <w:p w14:paraId="7180F163">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vAlign w:val="center"/>
          </w:tcPr>
          <w:p w14:paraId="4D15BB18">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197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DE2FCE5">
            <w:pPr>
              <w:spacing w:line="30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重要指标项（如有）</w:t>
            </w:r>
          </w:p>
        </w:tc>
        <w:tc>
          <w:tcPr>
            <w:tcW w:w="1365" w:type="dxa"/>
            <w:vAlign w:val="center"/>
          </w:tcPr>
          <w:p w14:paraId="6CD66D9C">
            <w:pPr>
              <w:wordWrap w:val="0"/>
              <w:adjustRightInd w:val="0"/>
              <w:snapToGrid w:val="0"/>
              <w:spacing w:line="300" w:lineRule="auto"/>
              <w:jc w:val="center"/>
              <w:rPr>
                <w:rFonts w:hint="eastAsia" w:ascii="宋体" w:hAnsi="宋体" w:eastAsia="宋体" w:cs="宋体"/>
                <w:bCs/>
                <w:color w:val="000000"/>
                <w:sz w:val="24"/>
                <w:szCs w:val="24"/>
                <w:highlight w:val="none"/>
              </w:rPr>
            </w:pPr>
            <w:r>
              <w:rPr>
                <w:rFonts w:hint="eastAsia" w:ascii="宋体" w:hAnsi="宋体" w:eastAsia="宋体" w:cs="宋体"/>
                <w:color w:val="000000"/>
                <w:sz w:val="24"/>
                <w:szCs w:val="24"/>
                <w:highlight w:val="none"/>
              </w:rPr>
              <w:t>★</w:t>
            </w:r>
          </w:p>
        </w:tc>
        <w:tc>
          <w:tcPr>
            <w:tcW w:w="5363" w:type="dxa"/>
            <w:vAlign w:val="center"/>
          </w:tcPr>
          <w:p w14:paraId="5D4068F8">
            <w:pPr>
              <w:wordWrap w:val="0"/>
              <w:adjustRightInd w:val="0"/>
              <w:snapToGrid w:val="0"/>
              <w:spacing w:line="300" w:lineRule="auto"/>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不满足技术要求中“★”参数（如有）的,属于重大偏离，会对最终评审产生较大影响。</w:t>
            </w:r>
          </w:p>
        </w:tc>
      </w:tr>
      <w:tr w14:paraId="1EA4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B48C025">
            <w:pPr>
              <w:spacing w:line="30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注：</w:t>
            </w:r>
          </w:p>
          <w:p w14:paraId="38ACF8A3">
            <w:pPr>
              <w:spacing w:line="30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如某项标识中包含多条技术参数或要求，则该项标识所含内容均需满足或优于比选文件要求，否则不予认可。</w:t>
            </w:r>
          </w:p>
        </w:tc>
      </w:tr>
    </w:tbl>
    <w:p w14:paraId="43D300E6">
      <w:pPr>
        <w:widowControl/>
        <w:snapToGrid w:val="0"/>
        <w:spacing w:line="360" w:lineRule="auto"/>
        <w:ind w:firstLine="482" w:firstLineChars="200"/>
        <w:outlineLvl w:val="2"/>
        <w:rPr>
          <w:rFonts w:hint="eastAsia" w:ascii="宋体" w:hAnsi="宋体" w:eastAsia="宋体" w:cs="宋体"/>
          <w:b/>
          <w:bCs/>
          <w:sz w:val="24"/>
          <w:szCs w:val="24"/>
        </w:rPr>
      </w:pPr>
    </w:p>
    <w:p w14:paraId="1D82C565">
      <w:pPr>
        <w:widowControl/>
        <w:snapToGrid w:val="0"/>
        <w:spacing w:line="360" w:lineRule="auto"/>
        <w:ind w:firstLine="482" w:firstLineChars="200"/>
        <w:outlineLvl w:val="2"/>
        <w:rPr>
          <w:rFonts w:hint="eastAsia" w:ascii="宋体" w:hAnsi="宋体" w:eastAsia="宋体"/>
          <w:b/>
          <w:bCs/>
          <w:sz w:val="24"/>
          <w:szCs w:val="18"/>
        </w:rPr>
      </w:pPr>
      <w:r>
        <w:rPr>
          <w:rFonts w:hint="eastAsia" w:ascii="宋体" w:hAnsi="宋体" w:eastAsia="宋体" w:cs="宋体"/>
          <w:b/>
          <w:bCs/>
          <w:sz w:val="24"/>
          <w:szCs w:val="24"/>
        </w:rPr>
        <w:t>（二）技术参数</w:t>
      </w:r>
    </w:p>
    <w:bookmarkEnd w:id="0"/>
    <w:p w14:paraId="4F3BDAA5">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1.激光器类型：封离式二氧化碳激光器；</w:t>
      </w:r>
    </w:p>
    <w:p w14:paraId="7C9D1EF6">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2.激光波长：10600nm；</w:t>
      </w:r>
    </w:p>
    <w:p w14:paraId="167664D5">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3.传输方式：≥7关节平衡锤式导光臂，配光学图形扫描器，垂直向下的出光方式；</w:t>
      </w:r>
    </w:p>
    <w:p w14:paraId="1A11E719">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4.治疗模式：≥6种激光输出方式和光学图形扫描器输出方式：</w:t>
      </w:r>
    </w:p>
    <w:p w14:paraId="0EBEAAC1">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5.连续、单脉冲、重复脉冲输出方式：0.3W～25W</w:t>
      </w:r>
    </w:p>
    <w:p w14:paraId="7C6DD865">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6.单脉冲串（高能脉冲）输出方式：0.3W～15W</w:t>
      </w:r>
    </w:p>
    <w:p w14:paraId="20D81C47">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7.调制脉冲输出方式：0.3W～15W或2.5mJ～250mJ</w:t>
      </w:r>
    </w:p>
    <w:p w14:paraId="64FBB621">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8.光学图形扫描器输出方式，扫描图形、脉宽、能量、扫描点间距、扫描方式可调</w:t>
      </w:r>
    </w:p>
    <w:p w14:paraId="3C80B84D">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9.扫描方式：顺序、离散、隔点加重可选</w:t>
      </w:r>
    </w:p>
    <w:p w14:paraId="59188BA4">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color w:val="000000"/>
          <w:sz w:val="24"/>
          <w:szCs w:val="24"/>
        </w:rPr>
        <w:t>★</w:t>
      </w:r>
      <w:r>
        <w:rPr>
          <w:rFonts w:hint="eastAsia" w:ascii="宋体" w:hAnsi="宋体" w:eastAsia="宋体" w:cs="宋体"/>
          <w:bCs/>
          <w:color w:val="000000"/>
          <w:kern w:val="2"/>
          <w:sz w:val="21"/>
          <w:szCs w:val="21"/>
          <w:lang w:val="en-US" w:eastAsia="zh-CN" w:bidi="ar"/>
        </w:rPr>
        <w:t>10.光学图形扫描器下显示多种出光方式</w:t>
      </w:r>
    </w:p>
    <w:p w14:paraId="2527F660">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11.扫描密度：F=50mm,0～1.5mm可调；F=100mm，0～3.0mm可调</w:t>
      </w:r>
    </w:p>
    <w:p w14:paraId="65EAF412">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color w:val="000000"/>
          <w:sz w:val="24"/>
          <w:szCs w:val="24"/>
        </w:rPr>
        <w:t>★</w:t>
      </w:r>
      <w:r>
        <w:rPr>
          <w:rFonts w:hint="eastAsia" w:ascii="宋体" w:hAnsi="宋体" w:eastAsia="宋体" w:cs="宋体"/>
          <w:bCs/>
          <w:color w:val="000000"/>
          <w:kern w:val="2"/>
          <w:sz w:val="21"/>
          <w:szCs w:val="21"/>
          <w:lang w:val="en-US" w:eastAsia="zh-CN" w:bidi="ar"/>
        </w:rPr>
        <w:t>12.扫描输出图形：方形、横线、竖线、圆形、弓形、圆弧、三角形、空心圆，(图形大小、间距、扫描程度可调、覆盖率调整)</w:t>
      </w:r>
    </w:p>
    <w:p w14:paraId="50E1618D">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13.扫描模式下激光输出能量：10mJ～160mJ</w:t>
      </w:r>
    </w:p>
    <w:p w14:paraId="70BC6C0A">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14.图形尺寸：光学图形扫描器输出时：多种图形，扫描最大面积20mm×20mm</w:t>
      </w:r>
    </w:p>
    <w:p w14:paraId="42AA5C0E">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color w:val="000000"/>
          <w:sz w:val="24"/>
          <w:szCs w:val="24"/>
        </w:rPr>
        <w:t>★</w:t>
      </w:r>
      <w:r>
        <w:rPr>
          <w:rFonts w:hint="eastAsia" w:ascii="宋体" w:hAnsi="宋体" w:eastAsia="宋体" w:cs="宋体"/>
          <w:bCs/>
          <w:color w:val="000000"/>
          <w:kern w:val="2"/>
          <w:sz w:val="21"/>
          <w:szCs w:val="21"/>
          <w:lang w:val="en-US" w:eastAsia="zh-CN" w:bidi="ar"/>
        </w:rPr>
        <w:t>15.最小脉宽：≤0.1ms；</w:t>
      </w:r>
    </w:p>
    <w:p w14:paraId="10440C2D">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16.手具焦距：按聚焦透镜焦距f划分，有100mm和50mm两种</w:t>
      </w:r>
    </w:p>
    <w:p w14:paraId="60A8B79B">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17.屏幕尺寸及控制系统：≥12英寸彩色触摸屏 （中英文界面），软件具有参数修正功能及升级接口、治疗数据存储量，</w:t>
      </w:r>
    </w:p>
    <w:p w14:paraId="09C4B696">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18.具备方案自动存储、故障信息显示、声音提示等多种功能。</w:t>
      </w:r>
    </w:p>
    <w:p w14:paraId="23ABE67C">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19.瞄准光系统：波长630nm-680nm，功率Pc≤5mW，亮度≥5档可调。</w:t>
      </w:r>
    </w:p>
    <w:p w14:paraId="32B3C798">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20.储存自定义治疗方案:≥10种</w:t>
      </w:r>
    </w:p>
    <w:p w14:paraId="43A96831">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21.冷却系统：封闭式内循环水冷却</w:t>
      </w:r>
    </w:p>
    <w:p w14:paraId="1CD4036F">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22.具备开机自检功能</w:t>
      </w:r>
    </w:p>
    <w:p w14:paraId="2C0F9520">
      <w:pPr>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Cs/>
          <w:color w:val="000000"/>
          <w:kern w:val="2"/>
          <w:sz w:val="21"/>
          <w:szCs w:val="21"/>
        </w:rPr>
      </w:pPr>
      <w:r>
        <w:rPr>
          <w:rFonts w:hint="eastAsia" w:ascii="宋体" w:hAnsi="宋体" w:eastAsia="宋体" w:cs="宋体"/>
          <w:bCs/>
          <w:color w:val="000000"/>
          <w:kern w:val="2"/>
          <w:sz w:val="21"/>
          <w:szCs w:val="21"/>
          <w:lang w:val="en-US" w:eastAsia="zh-CN" w:bidi="ar"/>
        </w:rPr>
        <w:t>23.具备电动排水功能</w:t>
      </w:r>
    </w:p>
    <w:p w14:paraId="07B33DF9">
      <w:r>
        <w:rPr>
          <w:rFonts w:hint="eastAsia" w:ascii="宋体" w:hAnsi="宋体" w:eastAsia="宋体" w:cs="宋体"/>
          <w:bCs/>
          <w:color w:val="000000"/>
          <w:kern w:val="2"/>
          <w:sz w:val="21"/>
          <w:szCs w:val="21"/>
          <w:lang w:val="en-US" w:eastAsia="zh-CN" w:bidi="ar"/>
        </w:rPr>
        <w:t>24.使用年限：≥10年</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F8775B"/>
    <w:rsid w:val="29F87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2026-07-31T09:37:00Z</dcterms:created>
  <dc:creator>w</dc:creator>
  <cp:lastModifiedBy>w</cp:lastModifiedBy>
  <dcterms:modified xsi:type="dcterms:W3CDTF">2026-07-31T09:38:17Z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1C134D6CA3994828905DC1001AD5C372_11</vt:lpwstr>
  </property>
  <property fmtid="{D5CDD505-2E9C-101B-9397-08002B2CF9AE}" pid="4" name="KSOTemplateDocerSaveRecord">
    <vt:lpwstr>eyJoZGlkIjoiZWUyOTQ1NDM2Zjc0YjU0MjZhMWI3YTAyMzgxNTM2MDQiLCJ1c2VySWQiOiI0NjEyMTI0ODEifQ==</vt:lpwstr>
  </property>
</Properties>
</file>