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highlight w:val="none"/>
        </w:rPr>
      </w:pPr>
      <w:r>
        <w:rPr>
          <w:rFonts w:hint="eastAsia" w:asciiTheme="minorEastAsia" w:hAnsiTheme="minorEastAsia" w:eastAsiaTheme="minorEastAsia"/>
          <w:b/>
          <w:sz w:val="28"/>
          <w:highlight w:val="none"/>
        </w:rPr>
        <w:t>采购需求</w:t>
      </w:r>
    </w:p>
    <w:p w14:paraId="67C459E5">
      <w:pPr>
        <w:spacing w:line="360" w:lineRule="auto"/>
        <w:rPr>
          <w:rFonts w:hint="eastAsia" w:asciiTheme="minorEastAsia" w:hAnsiTheme="minorEastAsia" w:eastAsiaTheme="minorEastAsia"/>
          <w:b/>
          <w:sz w:val="24"/>
          <w:szCs w:val="24"/>
          <w:highlight w:val="none"/>
        </w:rPr>
      </w:pPr>
      <w:bookmarkStart w:id="0" w:name="_Hlk16461016"/>
      <w:r>
        <w:rPr>
          <w:rFonts w:hint="eastAsia" w:asciiTheme="minorEastAsia" w:hAnsiTheme="minorEastAsia" w:eastAsiaTheme="minorEastAsia"/>
          <w:b/>
          <w:sz w:val="24"/>
          <w:szCs w:val="24"/>
          <w:highlight w:val="none"/>
        </w:rPr>
        <w:t>前注：</w:t>
      </w:r>
    </w:p>
    <w:p w14:paraId="1A3561C9">
      <w:pPr>
        <w:spacing w:line="360" w:lineRule="auto"/>
        <w:rPr>
          <w:rFonts w:hint="eastAsia" w:ascii="宋体" w:hAnsi="宋体" w:eastAsia="宋体" w:cs="宋体"/>
          <w:b/>
          <w:color w:val="FF0000"/>
          <w:sz w:val="24"/>
          <w:szCs w:val="24"/>
          <w:highlight w:val="none"/>
        </w:rPr>
      </w:pPr>
      <w:bookmarkStart w:id="1" w:name="_Toc26330"/>
      <w:bookmarkStart w:id="2" w:name="_Toc9765"/>
      <w:r>
        <w:rPr>
          <w:rFonts w:hint="eastAsia" w:ascii="宋体" w:hAnsi="宋体" w:eastAsia="宋体" w:cs="宋体"/>
          <w:b/>
          <w:color w:val="FF0000"/>
          <w:sz w:val="24"/>
          <w:szCs w:val="24"/>
          <w:highlight w:val="none"/>
          <w:lang w:bidi="ar"/>
        </w:rPr>
        <w:t>要求：以下条款如供应商参与响应，视为供应商自动响应。</w:t>
      </w:r>
    </w:p>
    <w:p w14:paraId="482728AB">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1.按照响应方案提供配置清单，标明品牌、型号、产地、数量等并分项报价；</w:t>
      </w:r>
    </w:p>
    <w:p w14:paraId="42E2D2CC">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72383F08">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3.说明是否需要其他设备配套使用，请列出配套设备名称、数量等，如未说明一律视为已包含在响应总价内；</w:t>
      </w:r>
    </w:p>
    <w:p w14:paraId="72E16474">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4.供应商及产品须资质、证照齐全且在有效期内，如确无注册证的产品，须提供官方说明材料；</w:t>
      </w:r>
    </w:p>
    <w:p w14:paraId="0CB456D9">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5.若属安徽省医用耗材政策管理范围内产品，需满足相关要求（如“集采”、“两票制”等）；若为集采管理范围内产品，需在集采目录中，同类产品原则上选择限价产品，同类无替代选择备案产品；</w:t>
      </w:r>
    </w:p>
    <w:p w14:paraId="675EF87D">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6.</w:t>
      </w:r>
      <w:r>
        <w:rPr>
          <w:rFonts w:hint="eastAsia" w:ascii="宋体" w:hAnsi="宋体" w:eastAsia="宋体" w:cs="宋体"/>
          <w:b/>
          <w:bCs/>
          <w:sz w:val="24"/>
          <w:szCs w:val="24"/>
          <w:highlight w:val="none"/>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highlight w:val="none"/>
          <w:lang w:bidi="ar"/>
        </w:rPr>
        <w:t>；</w:t>
      </w:r>
    </w:p>
    <w:p w14:paraId="69511916">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7.根据医保政策，可单独收费医用耗材请提供安徽医保局下发的27位医保编码，并按编码进行报价；</w:t>
      </w:r>
    </w:p>
    <w:p w14:paraId="0E0E04F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6052174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9.医用耗材及配套使用的工具按医院规定需要消毒的，其相关费用由供应商自行承担。</w:t>
      </w:r>
    </w:p>
    <w:p w14:paraId="1CA2D488">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10.检验试剂项目和需配套检验试剂使用的检验设备项目，均须免费提供同品牌或第三方符合溯源要求的质控品。</w:t>
      </w:r>
    </w:p>
    <w:p w14:paraId="107933D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11.供应商需无条件接受因国家及安徽省相关政策（如医用耗材带量采购等）对比选结果带来的变动，供应商不得提出异议。</w:t>
      </w:r>
    </w:p>
    <w:p w14:paraId="3B490EA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75706C3A">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13.按收费价格费率投标的检验项目，如后期收费价格下调，试剂供货价格须按成交费率同比例下浮。</w:t>
      </w:r>
    </w:p>
    <w:p w14:paraId="496C409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7DA3B6E3">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3"/>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56E3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6042438">
            <w:pPr>
              <w:pStyle w:val="5"/>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7E8B51D2">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54EE450F">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7DA5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5C4EEB4D">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79F9A803">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12D79F44">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（1）货到安装验收合格，提供产品的使用、操作及维修人员的培训，并能独立操作且使用部门签字确认后，一次性付清。</w:t>
            </w:r>
          </w:p>
          <w:p w14:paraId="2FA96F10">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 xml:space="preserve">（2）若采购人提前支付，成交人须提供与支付金额相等的不可撤销独立保函。 </w:t>
            </w:r>
          </w:p>
        </w:tc>
      </w:tr>
      <w:tr w14:paraId="19E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14EB883">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7C47183E">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21CD4212">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上海市第六人民医院安徽医院</w:t>
            </w:r>
            <w:r>
              <w:rPr>
                <w:rFonts w:hint="eastAsia" w:ascii="宋体" w:hAnsi="宋体" w:eastAsia="宋体"/>
                <w:b w:val="0"/>
                <w:sz w:val="24"/>
                <w:highlight w:val="none"/>
                <w:u w:val="single"/>
              </w:rPr>
              <w:t>，采购人指定地点</w:t>
            </w:r>
          </w:p>
        </w:tc>
      </w:tr>
      <w:tr w14:paraId="7E8F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CBA33BF">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631C958D">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553AD3B8">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68E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F3E4128">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3B033300">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1E6985C1">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0EDEBF5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53C6DE50">
      <w:pPr>
        <w:widowControl/>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（一）标识符号</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CF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6496B31">
            <w:pPr>
              <w:spacing w:line="300" w:lineRule="auto"/>
              <w:jc w:val="center"/>
              <w:rPr>
                <w:rFonts w:hint="eastAsia" w:ascii="宋体" w:hAnsi="宋体" w:eastAsia="宋体" w:cs="宋体"/>
                <w:b/>
                <w:sz w:val="24"/>
                <w:szCs w:val="24"/>
              </w:rPr>
            </w:pPr>
            <w:r>
              <w:rPr>
                <w:rFonts w:hint="eastAsia" w:ascii="宋体" w:hAnsi="宋体" w:eastAsia="宋体" w:cs="宋体"/>
                <w:b/>
                <w:sz w:val="24"/>
                <w:szCs w:val="24"/>
              </w:rPr>
              <w:t>标识类型</w:t>
            </w:r>
          </w:p>
        </w:tc>
        <w:tc>
          <w:tcPr>
            <w:tcW w:w="1365" w:type="dxa"/>
            <w:vAlign w:val="center"/>
          </w:tcPr>
          <w:p w14:paraId="7180F163">
            <w:pPr>
              <w:spacing w:line="300" w:lineRule="auto"/>
              <w:jc w:val="center"/>
              <w:rPr>
                <w:rFonts w:hint="eastAsia" w:ascii="宋体" w:hAnsi="宋体" w:eastAsia="宋体" w:cs="宋体"/>
                <w:b/>
                <w:sz w:val="24"/>
                <w:szCs w:val="24"/>
              </w:rPr>
            </w:pPr>
            <w:r>
              <w:rPr>
                <w:rFonts w:hint="eastAsia" w:ascii="宋体" w:hAnsi="宋体" w:eastAsia="宋体" w:cs="宋体"/>
                <w:b/>
                <w:sz w:val="24"/>
                <w:szCs w:val="24"/>
              </w:rPr>
              <w:t>标识符号</w:t>
            </w:r>
          </w:p>
        </w:tc>
        <w:tc>
          <w:tcPr>
            <w:tcW w:w="5363" w:type="dxa"/>
            <w:vAlign w:val="center"/>
          </w:tcPr>
          <w:p w14:paraId="4D15BB18">
            <w:pPr>
              <w:spacing w:line="300" w:lineRule="auto"/>
              <w:jc w:val="center"/>
              <w:rPr>
                <w:rFonts w:hint="eastAsia" w:ascii="宋体" w:hAnsi="宋体" w:eastAsia="宋体" w:cs="宋体"/>
                <w:b/>
                <w:sz w:val="24"/>
                <w:szCs w:val="24"/>
              </w:rPr>
            </w:pPr>
            <w:r>
              <w:rPr>
                <w:rFonts w:hint="eastAsia" w:ascii="宋体" w:hAnsi="宋体" w:eastAsia="宋体" w:cs="宋体"/>
                <w:b/>
                <w:sz w:val="24"/>
                <w:szCs w:val="24"/>
              </w:rPr>
              <w:t>标识符号含义</w:t>
            </w:r>
          </w:p>
        </w:tc>
      </w:tr>
      <w:tr w14:paraId="19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DE2FCE5">
            <w:pPr>
              <w:spacing w:line="30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重要指标项（如有）</w:t>
            </w:r>
          </w:p>
        </w:tc>
        <w:tc>
          <w:tcPr>
            <w:tcW w:w="1365" w:type="dxa"/>
            <w:vAlign w:val="center"/>
          </w:tcPr>
          <w:p w14:paraId="6CD66D9C">
            <w:pPr>
              <w:wordWrap w:val="0"/>
              <w:adjustRightInd w:val="0"/>
              <w:snapToGrid w:val="0"/>
              <w:spacing w:line="300" w:lineRule="auto"/>
              <w:jc w:val="center"/>
              <w:rPr>
                <w:rFonts w:hint="eastAsia" w:ascii="宋体" w:hAnsi="宋体" w:eastAsia="宋体" w:cs="宋体"/>
                <w:bCs/>
                <w:color w:val="000000"/>
                <w:sz w:val="24"/>
                <w:szCs w:val="24"/>
              </w:rPr>
            </w:pPr>
            <w:r>
              <w:rPr>
                <w:rFonts w:hint="eastAsia" w:ascii="宋体" w:hAnsi="宋体" w:eastAsia="宋体" w:cs="宋体"/>
                <w:color w:val="000000"/>
                <w:sz w:val="24"/>
                <w:szCs w:val="24"/>
              </w:rPr>
              <w:t>★</w:t>
            </w:r>
          </w:p>
        </w:tc>
        <w:tc>
          <w:tcPr>
            <w:tcW w:w="5363" w:type="dxa"/>
            <w:vAlign w:val="center"/>
          </w:tcPr>
          <w:p w14:paraId="5D4068F8">
            <w:pPr>
              <w:wordWrap w:val="0"/>
              <w:adjustRightInd w:val="0"/>
              <w:snapToGrid w:val="0"/>
              <w:spacing w:line="300" w:lineRule="auto"/>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不满足技术要求中“★”参数（如有）的,属于重大偏离，会对最终评审产生较大影响。</w:t>
            </w:r>
          </w:p>
        </w:tc>
      </w:tr>
      <w:tr w14:paraId="1EA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B48C025">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注：</w:t>
            </w:r>
          </w:p>
          <w:p w14:paraId="38ACF8A3">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如某项标识中包含多条技术参数或要求，则该项标识所含内容均需满足或优于比选文件要求，否则不予认可。</w:t>
            </w:r>
          </w:p>
        </w:tc>
      </w:tr>
    </w:tbl>
    <w:p w14:paraId="43D300E6">
      <w:pPr>
        <w:widowControl/>
        <w:snapToGrid w:val="0"/>
        <w:spacing w:line="360" w:lineRule="auto"/>
        <w:ind w:firstLine="482" w:firstLineChars="200"/>
        <w:outlineLvl w:val="2"/>
        <w:rPr>
          <w:rFonts w:hint="eastAsia" w:ascii="宋体" w:hAnsi="宋体" w:eastAsia="宋体" w:cs="宋体"/>
          <w:b/>
          <w:bCs/>
          <w:sz w:val="24"/>
          <w:szCs w:val="24"/>
        </w:rPr>
      </w:pPr>
    </w:p>
    <w:p w14:paraId="1D82C565">
      <w:pPr>
        <w:widowControl/>
        <w:snapToGrid w:val="0"/>
        <w:spacing w:line="360" w:lineRule="auto"/>
        <w:ind w:firstLine="482" w:firstLineChars="200"/>
        <w:outlineLvl w:val="2"/>
        <w:rPr>
          <w:rFonts w:hint="eastAsia" w:ascii="宋体" w:hAnsi="宋体" w:eastAsia="宋体"/>
          <w:b/>
          <w:bCs/>
          <w:sz w:val="24"/>
          <w:szCs w:val="18"/>
        </w:rPr>
      </w:pPr>
      <w:r>
        <w:rPr>
          <w:rFonts w:hint="eastAsia" w:ascii="宋体" w:hAnsi="宋体" w:eastAsia="宋体" w:cs="宋体"/>
          <w:b/>
          <w:bCs/>
          <w:sz w:val="24"/>
          <w:szCs w:val="24"/>
        </w:rPr>
        <w:t>（二）技术参数</w:t>
      </w:r>
    </w:p>
    <w:bookmarkEnd w:id="0"/>
    <w:p w14:paraId="55CB4313">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1、主要用途：</w:t>
      </w:r>
    </w:p>
    <w:p w14:paraId="74509F7A">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color w:val="auto"/>
          <w:sz w:val="24"/>
          <w:szCs w:val="24"/>
        </w:rPr>
        <w:t>★</w:t>
      </w:r>
      <w:r>
        <w:rPr>
          <w:rFonts w:hint="eastAsia" w:ascii="宋体" w:hAnsi="宋体" w:eastAsia="宋体" w:cs="宋体"/>
          <w:bCs/>
          <w:color w:val="auto"/>
          <w:kern w:val="2"/>
          <w:sz w:val="24"/>
          <w:szCs w:val="24"/>
          <w:lang w:val="en-US" w:eastAsia="zh-CN" w:bidi="ar"/>
        </w:rPr>
        <w:t>1.1提供持续高频振荡、持续呼气正压和雾化功能</w:t>
      </w:r>
    </w:p>
    <w:p w14:paraId="467B11AB">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1.2与压缩氧气配合提供补充供氧；</w:t>
      </w:r>
    </w:p>
    <w:p w14:paraId="1ACD0ABC">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1.3适用于儿童、成人、有创及无创患者</w:t>
      </w:r>
    </w:p>
    <w:p w14:paraId="2BE8C73D">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2、设备组成：</w:t>
      </w:r>
    </w:p>
    <w:p w14:paraId="4E5242CA">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2.1主机：压力计、模式选择器、回路三路连接端口、氧气连接器、流量调节器；</w:t>
      </w:r>
    </w:p>
    <w:p w14:paraId="6A91EF0F">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2.2管路：一次性使用管路，适用于有创和无创患者</w:t>
      </w:r>
      <w:r>
        <w:rPr>
          <w:rFonts w:hint="eastAsia" w:ascii="宋体" w:hAnsi="宋体" w:eastAsia="宋体" w:cs="Times New Roman"/>
          <w:bCs/>
          <w:color w:val="auto"/>
          <w:kern w:val="2"/>
          <w:sz w:val="24"/>
          <w:szCs w:val="24"/>
          <w:lang w:val="en-US" w:eastAsia="zh-CN" w:bidi="ar"/>
        </w:rPr>
        <w:t xml:space="preserve">  </w:t>
      </w:r>
    </w:p>
    <w:p w14:paraId="69984CB8">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2.3压缩氧气连接管；</w:t>
      </w:r>
    </w:p>
    <w:p w14:paraId="68EAA44C">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2.4台车：可以与主机分离、轮子锁定装置。</w:t>
      </w:r>
    </w:p>
    <w:p w14:paraId="509514C8">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3、适应症：</w:t>
      </w:r>
    </w:p>
    <w:p w14:paraId="36C8B116">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肺移植术后、心胸手术术后、脑瘫、肌萎缩侧索硬化、囊性纤维化病、肌肉萎缩症、脊椎损伤、COPD、肺膨胀治疗、肺不张的治疗和预防、呼吸机依赖等百种以上疾病和症状</w:t>
      </w:r>
    </w:p>
    <w:p w14:paraId="6E314D7B">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Times New Roman"/>
          <w:bCs/>
          <w:color w:val="auto"/>
          <w:kern w:val="2"/>
          <w:sz w:val="24"/>
          <w:szCs w:val="24"/>
          <w:lang w:val="en-US" w:eastAsia="zh-CN" w:bidi="ar"/>
        </w:rPr>
        <w:t>4</w:t>
      </w:r>
      <w:r>
        <w:rPr>
          <w:rFonts w:hint="eastAsia" w:ascii="宋体" w:hAnsi="宋体" w:eastAsia="宋体" w:cs="宋体"/>
          <w:bCs/>
          <w:color w:val="auto"/>
          <w:kern w:val="2"/>
          <w:sz w:val="24"/>
          <w:szCs w:val="24"/>
          <w:lang w:val="en-US" w:eastAsia="zh-CN" w:bidi="ar"/>
        </w:rPr>
        <w:t>、治疗模式</w:t>
      </w:r>
    </w:p>
    <w:p w14:paraId="767C6485">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color w:val="auto"/>
          <w:sz w:val="24"/>
          <w:szCs w:val="24"/>
        </w:rPr>
        <w:t>★</w:t>
      </w:r>
      <w:r>
        <w:rPr>
          <w:rFonts w:hint="eastAsia" w:ascii="宋体" w:hAnsi="宋体" w:eastAsia="宋体" w:cs="Times New Roman"/>
          <w:bCs/>
          <w:color w:val="auto"/>
          <w:kern w:val="2"/>
          <w:sz w:val="24"/>
          <w:szCs w:val="24"/>
          <w:lang w:val="en-US" w:eastAsia="zh-CN" w:bidi="ar"/>
        </w:rPr>
        <w:t>4</w:t>
      </w:r>
      <w:r>
        <w:rPr>
          <w:rFonts w:hint="eastAsia" w:ascii="宋体" w:hAnsi="宋体" w:eastAsia="宋体" w:cs="宋体"/>
          <w:bCs/>
          <w:color w:val="auto"/>
          <w:kern w:val="2"/>
          <w:sz w:val="24"/>
          <w:szCs w:val="24"/>
          <w:lang w:val="en-US" w:eastAsia="zh-CN" w:bidi="ar"/>
        </w:rPr>
        <w:t>.1 持续高频振荡：在使用连续高压脉冲振荡气道期间提供医用雾化。</w:t>
      </w:r>
    </w:p>
    <w:p w14:paraId="5D6A37A0">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color w:val="auto"/>
          <w:sz w:val="24"/>
          <w:szCs w:val="24"/>
        </w:rPr>
        <w:t>★</w:t>
      </w:r>
      <w:r>
        <w:rPr>
          <w:rFonts w:hint="eastAsia" w:ascii="宋体" w:hAnsi="宋体" w:eastAsia="宋体" w:cs="Times New Roman"/>
          <w:bCs/>
          <w:color w:val="auto"/>
          <w:kern w:val="2"/>
          <w:sz w:val="24"/>
          <w:szCs w:val="24"/>
          <w:lang w:val="en-US" w:eastAsia="zh-CN" w:bidi="ar"/>
        </w:rPr>
        <w:t>4</w:t>
      </w:r>
      <w:r>
        <w:rPr>
          <w:rFonts w:hint="eastAsia" w:ascii="宋体" w:hAnsi="宋体" w:eastAsia="宋体" w:cs="宋体"/>
          <w:bCs/>
          <w:color w:val="auto"/>
          <w:kern w:val="2"/>
          <w:sz w:val="24"/>
          <w:szCs w:val="24"/>
          <w:lang w:val="en-US" w:eastAsia="zh-CN" w:bidi="ar"/>
        </w:rPr>
        <w:t>.2 持续呼气正压：持续正压结合提供医用雾化、有助于保持气道开放和扩张。</w:t>
      </w:r>
    </w:p>
    <w:p w14:paraId="0C69A29C">
      <w:pPr>
        <w:keepNext w:val="0"/>
        <w:keepLines w:val="0"/>
        <w:widowControl w:val="0"/>
        <w:suppressLineNumbers w:val="0"/>
        <w:wordWrap w:val="0"/>
        <w:spacing w:before="0" w:beforeAutospacing="0" w:after="0" w:afterAutospacing="0" w:line="360" w:lineRule="auto"/>
        <w:ind w:left="0" w:right="0" w:firstLine="240" w:firstLineChars="100"/>
        <w:jc w:val="left"/>
        <w:rPr>
          <w:rFonts w:hint="eastAsia" w:ascii="宋体" w:hAnsi="宋体" w:eastAsia="宋体" w:cs="Times New Roman"/>
          <w:bCs/>
          <w:color w:val="auto"/>
          <w:kern w:val="2"/>
          <w:sz w:val="24"/>
          <w:szCs w:val="24"/>
        </w:rPr>
      </w:pPr>
      <w:r>
        <w:rPr>
          <w:rFonts w:hint="eastAsia" w:ascii="宋体" w:hAnsi="宋体" w:eastAsia="宋体" w:cs="Times New Roman"/>
          <w:bCs/>
          <w:color w:val="auto"/>
          <w:kern w:val="2"/>
          <w:sz w:val="24"/>
          <w:szCs w:val="24"/>
          <w:lang w:val="en-US" w:eastAsia="zh-CN" w:bidi="ar"/>
        </w:rPr>
        <w:t>4</w:t>
      </w:r>
      <w:r>
        <w:rPr>
          <w:rFonts w:hint="eastAsia" w:ascii="宋体" w:hAnsi="宋体" w:eastAsia="宋体" w:cs="宋体"/>
          <w:bCs/>
          <w:color w:val="auto"/>
          <w:kern w:val="2"/>
          <w:sz w:val="24"/>
          <w:szCs w:val="24"/>
          <w:lang w:val="en-US" w:eastAsia="zh-CN" w:bidi="ar"/>
        </w:rPr>
        <w:t>.3 具备雾化功能</w:t>
      </w:r>
      <w:r>
        <w:rPr>
          <w:rFonts w:hint="eastAsia" w:ascii="宋体" w:hAnsi="宋体" w:eastAsia="宋体" w:cs="Times New Roman"/>
          <w:bCs/>
          <w:color w:val="auto"/>
          <w:kern w:val="2"/>
          <w:sz w:val="24"/>
          <w:szCs w:val="24"/>
          <w:lang w:val="en-US" w:eastAsia="zh-CN" w:bidi="ar"/>
        </w:rPr>
        <w:t xml:space="preserve"> </w:t>
      </w:r>
    </w:p>
    <w:p w14:paraId="70A378CC">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Times New Roman"/>
          <w:bCs/>
          <w:color w:val="auto"/>
          <w:kern w:val="2"/>
          <w:sz w:val="24"/>
          <w:szCs w:val="24"/>
          <w:lang w:val="en-US" w:eastAsia="zh-CN" w:bidi="ar"/>
        </w:rPr>
        <w:t xml:space="preserve">5 </w:t>
      </w:r>
      <w:r>
        <w:rPr>
          <w:rFonts w:hint="eastAsia" w:ascii="宋体" w:hAnsi="宋体" w:eastAsia="宋体" w:cs="宋体"/>
          <w:bCs/>
          <w:color w:val="auto"/>
          <w:kern w:val="2"/>
          <w:sz w:val="24"/>
          <w:szCs w:val="24"/>
          <w:lang w:val="en-US" w:eastAsia="zh-CN" w:bidi="ar"/>
        </w:rPr>
        <w:t>控制按键：CHFO和CPEP切换键、流量调节键、CHFO调节键；</w:t>
      </w:r>
    </w:p>
    <w:p w14:paraId="5E98BF8E">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Times New Roman"/>
          <w:bCs/>
          <w:color w:val="auto"/>
          <w:kern w:val="2"/>
          <w:sz w:val="24"/>
          <w:szCs w:val="24"/>
          <w:lang w:val="en-US" w:eastAsia="zh-CN" w:bidi="ar"/>
        </w:rPr>
        <w:t xml:space="preserve">6 </w:t>
      </w:r>
      <w:r>
        <w:rPr>
          <w:rFonts w:hint="eastAsia" w:ascii="宋体" w:hAnsi="宋体" w:eastAsia="宋体" w:cs="宋体"/>
          <w:bCs/>
          <w:color w:val="auto"/>
          <w:kern w:val="2"/>
          <w:sz w:val="24"/>
          <w:szCs w:val="24"/>
          <w:lang w:val="en-US" w:eastAsia="zh-CN" w:bidi="ar"/>
        </w:rPr>
        <w:t>压力表范围：</w:t>
      </w:r>
      <w:r>
        <w:rPr>
          <w:rFonts w:hint="eastAsia" w:ascii="宋体" w:hAnsi="宋体" w:eastAsia="宋体" w:cs="Times New Roman"/>
          <w:bCs/>
          <w:color w:val="auto"/>
          <w:kern w:val="2"/>
          <w:sz w:val="24"/>
          <w:szCs w:val="24"/>
          <w:lang w:val="en-US" w:eastAsia="zh-CN" w:bidi="ar"/>
        </w:rPr>
        <w:t xml:space="preserve"> </w:t>
      </w:r>
      <w:r>
        <w:rPr>
          <w:rFonts w:hint="eastAsia" w:ascii="宋体" w:hAnsi="宋体" w:eastAsia="宋体" w:cs="宋体"/>
          <w:bCs/>
          <w:color w:val="auto"/>
          <w:kern w:val="2"/>
          <w:sz w:val="24"/>
          <w:szCs w:val="24"/>
          <w:lang w:val="en-US" w:eastAsia="zh-CN" w:bidi="ar"/>
        </w:rPr>
        <w:t>0-70cmH</w:t>
      </w:r>
      <w:r>
        <w:rPr>
          <w:rFonts w:hint="eastAsia" w:ascii="宋体" w:hAnsi="宋体" w:eastAsia="宋体" w:cs="宋体"/>
          <w:bCs/>
          <w:color w:val="auto"/>
          <w:kern w:val="2"/>
          <w:sz w:val="24"/>
          <w:szCs w:val="24"/>
          <w:vertAlign w:val="subscript"/>
          <w:lang w:val="en-US" w:eastAsia="zh-CN" w:bidi="ar"/>
        </w:rPr>
        <w:t>2</w:t>
      </w:r>
      <w:r>
        <w:rPr>
          <w:rFonts w:hint="eastAsia" w:ascii="宋体" w:hAnsi="宋体" w:eastAsia="宋体" w:cs="宋体"/>
          <w:bCs/>
          <w:color w:val="auto"/>
          <w:kern w:val="2"/>
          <w:sz w:val="24"/>
          <w:szCs w:val="24"/>
          <w:lang w:val="en-US" w:eastAsia="zh-CN" w:bidi="ar"/>
        </w:rPr>
        <w:t>O</w:t>
      </w:r>
    </w:p>
    <w:p w14:paraId="0E393A9C">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Times New Roman"/>
          <w:bCs/>
          <w:color w:val="auto"/>
          <w:kern w:val="2"/>
          <w:sz w:val="24"/>
          <w:szCs w:val="24"/>
          <w:lang w:val="en-US" w:eastAsia="zh-CN" w:bidi="ar"/>
        </w:rPr>
        <w:t>7</w:t>
      </w:r>
      <w:r>
        <w:rPr>
          <w:rFonts w:hint="eastAsia" w:ascii="宋体" w:hAnsi="宋体" w:eastAsia="宋体" w:cs="宋体"/>
          <w:bCs/>
          <w:color w:val="auto"/>
          <w:kern w:val="2"/>
          <w:sz w:val="24"/>
          <w:szCs w:val="24"/>
          <w:lang w:val="en-US" w:eastAsia="zh-CN" w:bidi="ar"/>
        </w:rPr>
        <w:t>连续高频振荡模式：</w:t>
      </w:r>
    </w:p>
    <w:p w14:paraId="106AED3D">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Times New Roman"/>
          <w:bCs/>
          <w:color w:val="auto"/>
          <w:kern w:val="2"/>
          <w:sz w:val="24"/>
          <w:szCs w:val="24"/>
          <w:lang w:val="en-US" w:eastAsia="zh-CN" w:bidi="ar"/>
        </w:rPr>
        <w:t>7.1</w:t>
      </w:r>
      <w:r>
        <w:rPr>
          <w:rFonts w:hint="eastAsia" w:ascii="宋体" w:hAnsi="宋体" w:eastAsia="宋体" w:cs="宋体"/>
          <w:bCs/>
          <w:color w:val="auto"/>
          <w:kern w:val="2"/>
          <w:sz w:val="24"/>
          <w:szCs w:val="24"/>
          <w:lang w:val="en-US" w:eastAsia="zh-CN" w:bidi="ar"/>
        </w:rPr>
        <w:t>频率范围：</w:t>
      </w:r>
      <w:r>
        <w:rPr>
          <w:rFonts w:hint="eastAsia" w:ascii="宋体" w:hAnsi="宋体" w:eastAsia="宋体" w:cs="Times New Roman"/>
          <w:bCs/>
          <w:color w:val="auto"/>
          <w:kern w:val="2"/>
          <w:sz w:val="24"/>
          <w:szCs w:val="24"/>
          <w:lang w:val="en-US" w:eastAsia="zh-CN" w:bidi="ar"/>
        </w:rPr>
        <w:t xml:space="preserve"> </w:t>
      </w:r>
      <w:r>
        <w:rPr>
          <w:rFonts w:hint="eastAsia" w:ascii="宋体" w:hAnsi="宋体" w:eastAsia="宋体" w:cs="宋体"/>
          <w:bCs/>
          <w:color w:val="auto"/>
          <w:kern w:val="2"/>
          <w:sz w:val="24"/>
          <w:szCs w:val="24"/>
          <w:lang w:val="en-US" w:eastAsia="zh-CN" w:bidi="ar"/>
        </w:rPr>
        <w:t>100-300bpm</w:t>
      </w:r>
    </w:p>
    <w:p w14:paraId="68448D73">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Times New Roman"/>
          <w:bCs/>
          <w:color w:val="auto"/>
          <w:kern w:val="2"/>
          <w:sz w:val="24"/>
          <w:szCs w:val="24"/>
          <w:lang w:val="en-US" w:eastAsia="zh-CN" w:bidi="ar"/>
        </w:rPr>
        <w:t>7.2</w:t>
      </w:r>
      <w:r>
        <w:rPr>
          <w:rFonts w:hint="eastAsia" w:ascii="宋体" w:hAnsi="宋体" w:eastAsia="宋体" w:cs="宋体"/>
          <w:bCs/>
          <w:color w:val="auto"/>
          <w:kern w:val="2"/>
          <w:sz w:val="24"/>
          <w:szCs w:val="24"/>
          <w:lang w:val="en-US" w:eastAsia="zh-CN" w:bidi="ar"/>
        </w:rPr>
        <w:t>峰值压力：8-68cmH</w:t>
      </w:r>
      <w:r>
        <w:rPr>
          <w:rFonts w:hint="eastAsia" w:ascii="宋体" w:hAnsi="宋体" w:eastAsia="宋体" w:cs="宋体"/>
          <w:bCs/>
          <w:color w:val="auto"/>
          <w:kern w:val="2"/>
          <w:sz w:val="24"/>
          <w:szCs w:val="24"/>
          <w:vertAlign w:val="subscript"/>
          <w:lang w:val="en-US" w:eastAsia="zh-CN" w:bidi="ar"/>
        </w:rPr>
        <w:t>2</w:t>
      </w:r>
      <w:r>
        <w:rPr>
          <w:rFonts w:hint="eastAsia" w:ascii="宋体" w:hAnsi="宋体" w:eastAsia="宋体" w:cs="宋体"/>
          <w:bCs/>
          <w:color w:val="auto"/>
          <w:kern w:val="2"/>
          <w:sz w:val="24"/>
          <w:szCs w:val="24"/>
          <w:lang w:val="en-US" w:eastAsia="zh-CN" w:bidi="ar"/>
        </w:rPr>
        <w:t>O</w:t>
      </w:r>
    </w:p>
    <w:p w14:paraId="60F1ADA0">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Times New Roman"/>
          <w:bCs/>
          <w:color w:val="auto"/>
          <w:kern w:val="2"/>
          <w:sz w:val="24"/>
          <w:szCs w:val="24"/>
          <w:lang w:val="en-US" w:eastAsia="zh-CN" w:bidi="ar"/>
        </w:rPr>
        <w:t>8</w:t>
      </w:r>
      <w:r>
        <w:rPr>
          <w:rFonts w:hint="eastAsia" w:ascii="宋体" w:hAnsi="宋体" w:eastAsia="宋体" w:cs="宋体"/>
          <w:bCs/>
          <w:color w:val="auto"/>
          <w:kern w:val="2"/>
          <w:sz w:val="24"/>
          <w:szCs w:val="24"/>
          <w:lang w:val="en-US" w:eastAsia="zh-CN" w:bidi="ar"/>
        </w:rPr>
        <w:t>持续呼气期正压</w:t>
      </w:r>
      <w:r>
        <w:rPr>
          <w:rFonts w:hint="eastAsia" w:ascii="宋体" w:hAnsi="宋体" w:eastAsia="宋体" w:cs="Times New Roman"/>
          <w:bCs/>
          <w:color w:val="auto"/>
          <w:kern w:val="2"/>
          <w:sz w:val="24"/>
          <w:szCs w:val="24"/>
          <w:lang w:val="en-US" w:eastAsia="zh-CN" w:bidi="ar"/>
        </w:rPr>
        <w:t xml:space="preserve"> </w:t>
      </w:r>
      <w:r>
        <w:rPr>
          <w:rFonts w:hint="eastAsia" w:ascii="宋体" w:hAnsi="宋体" w:eastAsia="宋体" w:cs="宋体"/>
          <w:bCs/>
          <w:color w:val="auto"/>
          <w:kern w:val="2"/>
          <w:sz w:val="24"/>
          <w:szCs w:val="24"/>
          <w:lang w:val="en-US" w:eastAsia="zh-CN" w:bidi="ar"/>
        </w:rPr>
        <w:t>模式：输出压力</w:t>
      </w:r>
      <w:r>
        <w:rPr>
          <w:rFonts w:hint="eastAsia" w:ascii="宋体" w:hAnsi="宋体" w:eastAsia="宋体" w:cs="Times New Roman"/>
          <w:bCs/>
          <w:color w:val="auto"/>
          <w:kern w:val="2"/>
          <w:sz w:val="24"/>
          <w:szCs w:val="24"/>
          <w:lang w:val="en-US" w:eastAsia="zh-CN" w:bidi="ar"/>
        </w:rPr>
        <w:t xml:space="preserve"> </w:t>
      </w:r>
      <w:r>
        <w:rPr>
          <w:rFonts w:hint="eastAsia" w:ascii="宋体" w:hAnsi="宋体" w:eastAsia="宋体" w:cs="宋体"/>
          <w:bCs/>
          <w:color w:val="auto"/>
          <w:kern w:val="2"/>
          <w:sz w:val="24"/>
          <w:szCs w:val="24"/>
          <w:lang w:val="en-US" w:eastAsia="zh-CN" w:bidi="ar"/>
        </w:rPr>
        <w:t>≤30 cmH</w:t>
      </w:r>
      <w:r>
        <w:rPr>
          <w:rFonts w:hint="eastAsia" w:ascii="宋体" w:hAnsi="宋体" w:eastAsia="宋体" w:cs="宋体"/>
          <w:bCs/>
          <w:color w:val="auto"/>
          <w:kern w:val="2"/>
          <w:sz w:val="24"/>
          <w:szCs w:val="24"/>
          <w:vertAlign w:val="subscript"/>
          <w:lang w:val="en-US" w:eastAsia="zh-CN" w:bidi="ar"/>
        </w:rPr>
        <w:t>2</w:t>
      </w:r>
      <w:r>
        <w:rPr>
          <w:rFonts w:hint="eastAsia" w:ascii="宋体" w:hAnsi="宋体" w:eastAsia="宋体" w:cs="宋体"/>
          <w:bCs/>
          <w:color w:val="auto"/>
          <w:kern w:val="2"/>
          <w:sz w:val="24"/>
          <w:szCs w:val="24"/>
          <w:lang w:val="en-US" w:eastAsia="zh-CN" w:bidi="ar"/>
        </w:rPr>
        <w:t>O</w:t>
      </w:r>
    </w:p>
    <w:p w14:paraId="1F50F728">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9</w:t>
      </w:r>
      <w:r>
        <w:rPr>
          <w:rFonts w:hint="eastAsia" w:ascii="宋体" w:hAnsi="宋体" w:eastAsia="宋体" w:cs="Times New Roman"/>
          <w:bCs/>
          <w:color w:val="auto"/>
          <w:kern w:val="2"/>
          <w:sz w:val="24"/>
          <w:szCs w:val="24"/>
          <w:lang w:val="en-US" w:eastAsia="zh-CN" w:bidi="ar"/>
        </w:rPr>
        <w:t>.</w:t>
      </w:r>
      <w:r>
        <w:rPr>
          <w:rFonts w:hint="eastAsia" w:ascii="宋体" w:hAnsi="宋体" w:eastAsia="宋体" w:cs="宋体"/>
          <w:bCs/>
          <w:color w:val="auto"/>
          <w:kern w:val="2"/>
          <w:sz w:val="24"/>
          <w:szCs w:val="24"/>
          <w:lang w:val="en-US" w:eastAsia="zh-CN" w:bidi="ar"/>
        </w:rPr>
        <w:t>配套耗材单独报价</w:t>
      </w:r>
    </w:p>
    <w:p w14:paraId="7826AF03">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376F9D"/>
    <w:rsid w:val="30376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2026-07-31T09:24:00Z</dcterms:created>
  <dc:creator>w</dc:creator>
  <cp:lastModifiedBy>w</cp:lastModifiedBy>
  <dcterms:modified xsi:type="dcterms:W3CDTF">2026-07-31T09:24:22Z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75F0B1898CD44BC09F722C924CFE6451_11</vt:lpwstr>
  </property>
  <property fmtid="{D5CDD505-2E9C-101B-9397-08002B2CF9AE}" pid="4" name="KSOTemplateDocerSaveRecord">
    <vt:lpwstr>eyJoZGlkIjoiZWUyOTQ1NDM2Zjc0YjU0MjZhMWI3YTAyMzgxNTM2MDQiLCJ1c2VySWQiOiI0NjEyMTI0ODEifQ==</vt:lpwstr>
  </property>
</Properties>
</file>