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4A087">
      <w:pPr>
        <w:spacing w:line="360" w:lineRule="auto"/>
        <w:jc w:val="center"/>
        <w:outlineLvl w:val="0"/>
        <w:rPr>
          <w:rFonts w:hint="eastAsia" w:asciiTheme="minorEastAsia" w:hAnsiTheme="minorEastAsia" w:eastAsiaTheme="minorEastAsia"/>
          <w:b/>
          <w:sz w:val="28"/>
          <w:highlight w:val="none"/>
        </w:rPr>
      </w:pPr>
      <w:r>
        <w:rPr>
          <w:rFonts w:hint="eastAsia" w:asciiTheme="minorEastAsia" w:hAnsiTheme="minorEastAsia" w:eastAsiaTheme="minorEastAsia"/>
          <w:b/>
          <w:sz w:val="28"/>
          <w:highlight w:val="none"/>
        </w:rPr>
        <w:t>采购需求</w:t>
      </w:r>
    </w:p>
    <w:p w14:paraId="533544C6">
      <w:pPr>
        <w:spacing w:line="360" w:lineRule="auto"/>
        <w:rPr>
          <w:rFonts w:hint="eastAsia" w:asciiTheme="minorEastAsia" w:hAnsiTheme="minorEastAsia" w:eastAsiaTheme="minorEastAsia"/>
          <w:b/>
          <w:sz w:val="24"/>
          <w:szCs w:val="24"/>
          <w:highlight w:val="none"/>
        </w:rPr>
      </w:pPr>
      <w:bookmarkStart w:id="0" w:name="_Hlk16461016"/>
      <w:r>
        <w:rPr>
          <w:rFonts w:hint="eastAsia" w:asciiTheme="minorEastAsia" w:hAnsiTheme="minorEastAsia" w:eastAsiaTheme="minorEastAsia"/>
          <w:b/>
          <w:sz w:val="24"/>
          <w:szCs w:val="24"/>
          <w:highlight w:val="none"/>
        </w:rPr>
        <w:t>前注：</w:t>
      </w:r>
    </w:p>
    <w:p w14:paraId="4B579A91">
      <w:pPr>
        <w:spacing w:line="360" w:lineRule="auto"/>
        <w:rPr>
          <w:rFonts w:hint="eastAsia" w:ascii="宋体" w:hAnsi="宋体" w:eastAsia="宋体" w:cs="宋体"/>
          <w:b/>
          <w:color w:val="FF0000"/>
          <w:sz w:val="24"/>
          <w:szCs w:val="24"/>
          <w:highlight w:val="none"/>
        </w:rPr>
      </w:pPr>
      <w:bookmarkStart w:id="1" w:name="_Toc26330"/>
      <w:bookmarkStart w:id="2" w:name="_Toc9765"/>
      <w:r>
        <w:rPr>
          <w:rFonts w:hint="eastAsia" w:ascii="宋体" w:hAnsi="宋体" w:eastAsia="宋体" w:cs="宋体"/>
          <w:b/>
          <w:color w:val="FF0000"/>
          <w:sz w:val="24"/>
          <w:szCs w:val="24"/>
          <w:highlight w:val="none"/>
          <w:lang w:bidi="ar"/>
        </w:rPr>
        <w:t>要求：以下条款如供应商参与响应，视为供应商自动响应。</w:t>
      </w:r>
    </w:p>
    <w:p w14:paraId="5A7BD0B7">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1.按照响应方案提供配置清单，标明品牌、型号、产地、数量等并分项报价；</w:t>
      </w:r>
    </w:p>
    <w:p w14:paraId="541AC6D3">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312075C2">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3.说明是否需要其他设备配套使用，请列出配套设备名称、数量等，如未说明一律视为已包含在响应总价内；</w:t>
      </w:r>
    </w:p>
    <w:p w14:paraId="11375809">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4.供应商及产品须资质、证照齐全且在有效期内，如确无注册证的产品，须提供官方说明材料；</w:t>
      </w:r>
    </w:p>
    <w:p w14:paraId="484CEEA3">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5.若属安徽省医用耗材政策管理范围内产品，需满足相关要求（如“集采”、“两票制”等）；若为集采管理范围内产品，需在集采目录中，同类产品原则上选择限价产品，同类无替代选择备案产品；</w:t>
      </w:r>
    </w:p>
    <w:p w14:paraId="2C173DCA">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6.</w:t>
      </w:r>
      <w:r>
        <w:rPr>
          <w:rFonts w:hint="eastAsia" w:ascii="宋体" w:hAnsi="宋体" w:eastAsia="宋体" w:cs="宋体"/>
          <w:b/>
          <w:bCs/>
          <w:sz w:val="24"/>
          <w:szCs w:val="24"/>
          <w:highlight w:val="none"/>
          <w:lang w:bidi="ar"/>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4"/>
          <w:szCs w:val="24"/>
          <w:highlight w:val="none"/>
          <w:lang w:bidi="ar"/>
        </w:rPr>
        <w:t>；</w:t>
      </w:r>
    </w:p>
    <w:p w14:paraId="08366EED">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7.根据医保政策，可单独收费医用耗材请提供安徽医保局下发的27位医保编码，并按编码进行报价；</w:t>
      </w:r>
    </w:p>
    <w:p w14:paraId="57A81510">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8.需长期供应的医用耗材及试剂产品，成交后合同期内不得变更配送公司，否则取消该品牌成交资格。参选时生产厂家须出具长期授权函，并提供合同期内不变更配送公司的承诺函，如不提供的评审小组有权按无效响应处理。</w:t>
      </w:r>
    </w:p>
    <w:p w14:paraId="52D404A7">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9.医用耗材及配套使用的工具按医院规定需要消毒的，其相关费用由供应商自行承担。</w:t>
      </w:r>
    </w:p>
    <w:p w14:paraId="4BF4199C">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10.检验试剂项目和需配套检验试剂使用的检验设备项目，均须免费提供同品牌或第三方符合溯源要求的质控品。</w:t>
      </w:r>
    </w:p>
    <w:p w14:paraId="5F0F8C9D">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11.供应商需无条件接受因国家及安徽省相关政策（如医用耗材带量采购等）对比选结果带来的变动，供应商不得提出异议。</w:t>
      </w:r>
    </w:p>
    <w:p w14:paraId="5D4A2930">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12.供应商须保证此次供应产品，响应价格不得高于安徽省医药集中采购平台交易目录最高限价；后期安徽省医药集中采购平台交易目录最高限价如有降价，成交产品的成交人应于7个工作日内书面通知采购人启动协商程序。</w:t>
      </w:r>
    </w:p>
    <w:p w14:paraId="69F2F533">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13.按收费价格费率投标的检验项目，如后期收费价格下调，试剂供货价格须按成交费率同比例下浮。</w:t>
      </w:r>
    </w:p>
    <w:p w14:paraId="770C40B9">
      <w:pPr>
        <w:spacing w:line="360" w:lineRule="auto"/>
        <w:ind w:firstLine="470" w:firstLineChars="196"/>
        <w:rPr>
          <w:rFonts w:hint="eastAsia" w:ascii="宋体" w:hAnsi="宋体" w:eastAsia="宋体" w:cs="宋体"/>
          <w:b/>
          <w:sz w:val="24"/>
          <w:szCs w:val="24"/>
          <w:highlight w:val="none"/>
        </w:rPr>
      </w:pPr>
      <w:r>
        <w:rPr>
          <w:rFonts w:hint="eastAsia" w:ascii="宋体" w:hAnsi="宋体" w:eastAsia="宋体" w:cs="宋体"/>
          <w:sz w:val="24"/>
          <w:szCs w:val="24"/>
          <w:highlight w:val="none"/>
          <w:lang w:bidi="ar"/>
        </w:rPr>
        <w:t>备注：请列出易损件，耗材及其他相关产品清单，并注明编码报价。</w:t>
      </w:r>
    </w:p>
    <w:p w14:paraId="2F01D356">
      <w:pPr>
        <w:spacing w:line="360" w:lineRule="auto"/>
        <w:ind w:firstLine="437"/>
        <w:outlineLvl w:val="1"/>
        <w:rPr>
          <w:rFonts w:hint="eastAsia" w:ascii="宋体" w:hAnsi="宋体" w:eastAsia="宋体"/>
          <w:b/>
          <w:sz w:val="24"/>
          <w:szCs w:val="18"/>
          <w:highlight w:val="none"/>
        </w:rPr>
      </w:pPr>
      <w:r>
        <w:rPr>
          <w:rFonts w:hint="eastAsia" w:ascii="宋体" w:hAnsi="宋体" w:eastAsia="宋体"/>
          <w:b/>
          <w:sz w:val="24"/>
          <w:szCs w:val="18"/>
          <w:highlight w:val="none"/>
        </w:rPr>
        <w:t>一、采购需求前附表</w:t>
      </w:r>
      <w:bookmarkEnd w:id="1"/>
      <w:bookmarkEnd w:id="2"/>
      <w:r>
        <w:rPr>
          <w:rFonts w:hint="eastAsia" w:ascii="宋体" w:hAnsi="宋体" w:eastAsia="宋体"/>
          <w:b/>
          <w:color w:val="FF0000"/>
          <w:sz w:val="24"/>
          <w:szCs w:val="18"/>
          <w:highlight w:val="none"/>
        </w:rPr>
        <w:t>（以下内容必须响应，否则视为无效响应）</w:t>
      </w:r>
    </w:p>
    <w:tbl>
      <w:tblPr>
        <w:tblStyle w:val="5"/>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191"/>
      </w:tblGrid>
      <w:tr w14:paraId="1F3E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3586C54">
            <w:pPr>
              <w:pStyle w:val="7"/>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2191" w:type="dxa"/>
            <w:vAlign w:val="center"/>
          </w:tcPr>
          <w:p w14:paraId="6038E3E8">
            <w:pPr>
              <w:pStyle w:val="8"/>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5191" w:type="dxa"/>
            <w:vAlign w:val="center"/>
          </w:tcPr>
          <w:p w14:paraId="4C269C2B">
            <w:pPr>
              <w:pStyle w:val="8"/>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2907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1C28D537">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2191" w:type="dxa"/>
            <w:vAlign w:val="center"/>
          </w:tcPr>
          <w:p w14:paraId="6EB767AD">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5191" w:type="dxa"/>
            <w:vAlign w:val="center"/>
          </w:tcPr>
          <w:p w14:paraId="656A2CAF">
            <w:pPr>
              <w:pStyle w:val="8"/>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设备验收合格后三个月首付90%货款，余额10%货款质保金一年后如无质量问题无息付清。</w:t>
            </w:r>
          </w:p>
        </w:tc>
      </w:tr>
      <w:tr w14:paraId="5022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7AE98150">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2191" w:type="dxa"/>
            <w:vAlign w:val="center"/>
          </w:tcPr>
          <w:p w14:paraId="04C87DF7">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191" w:type="dxa"/>
            <w:vAlign w:val="center"/>
          </w:tcPr>
          <w:p w14:paraId="5E7425A0">
            <w:pPr>
              <w:pStyle w:val="8"/>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lang w:eastAsia="zh-CN"/>
              </w:rPr>
              <w:t>中国科大附一院（安徽省立医院）</w:t>
            </w:r>
            <w:r>
              <w:rPr>
                <w:rFonts w:hint="eastAsia" w:ascii="宋体" w:hAnsi="宋体" w:eastAsia="宋体"/>
                <w:b w:val="0"/>
                <w:sz w:val="24"/>
                <w:highlight w:val="none"/>
                <w:u w:val="single"/>
              </w:rPr>
              <w:t>，采购人指定地点</w:t>
            </w:r>
          </w:p>
        </w:tc>
      </w:tr>
      <w:tr w14:paraId="590E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41CD87BF">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2191" w:type="dxa"/>
            <w:vAlign w:val="center"/>
          </w:tcPr>
          <w:p w14:paraId="2E97950D">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191" w:type="dxa"/>
            <w:vAlign w:val="center"/>
          </w:tcPr>
          <w:p w14:paraId="49455849">
            <w:pPr>
              <w:pStyle w:val="8"/>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r w14:paraId="29DF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A94253F">
            <w:pPr>
              <w:pStyle w:val="7"/>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2191" w:type="dxa"/>
            <w:vAlign w:val="center"/>
          </w:tcPr>
          <w:p w14:paraId="6E9A7AE1">
            <w:pPr>
              <w:pStyle w:val="8"/>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5191" w:type="dxa"/>
            <w:vAlign w:val="center"/>
          </w:tcPr>
          <w:p w14:paraId="79451696">
            <w:pPr>
              <w:pStyle w:val="8"/>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bl>
    <w:p w14:paraId="4228C1EB">
      <w:pPr>
        <w:spacing w:line="360" w:lineRule="auto"/>
        <w:ind w:firstLine="437"/>
        <w:outlineLvl w:val="1"/>
        <w:rPr>
          <w:rFonts w:hint="eastAsia"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p>
    <w:p w14:paraId="1EBC00C9">
      <w:pPr>
        <w:widowControl/>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5623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48092888">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vAlign w:val="center"/>
          </w:tcPr>
          <w:p w14:paraId="48E14BBD">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vAlign w:val="center"/>
          </w:tcPr>
          <w:p w14:paraId="33B94F45">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16BA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4E98598C">
            <w:pPr>
              <w:spacing w:line="30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重要指标项（如有）</w:t>
            </w:r>
          </w:p>
        </w:tc>
        <w:tc>
          <w:tcPr>
            <w:tcW w:w="1365" w:type="dxa"/>
            <w:vAlign w:val="center"/>
          </w:tcPr>
          <w:p w14:paraId="7CC02E87">
            <w:pPr>
              <w:wordWrap w:val="0"/>
              <w:adjustRightInd w:val="0"/>
              <w:snapToGrid w:val="0"/>
              <w:spacing w:line="300" w:lineRule="auto"/>
              <w:jc w:val="center"/>
              <w:rPr>
                <w:rFonts w:hint="eastAsia" w:ascii="宋体" w:hAnsi="宋体" w:eastAsia="宋体" w:cs="宋体"/>
                <w:bCs/>
                <w:color w:val="000000"/>
                <w:sz w:val="24"/>
                <w:szCs w:val="24"/>
                <w:highlight w:val="none"/>
              </w:rPr>
            </w:pPr>
            <w:r>
              <w:rPr>
                <w:rFonts w:hint="eastAsia" w:ascii="宋体" w:hAnsi="宋体" w:eastAsia="宋体" w:cs="宋体"/>
                <w:color w:val="000000"/>
                <w:sz w:val="24"/>
                <w:szCs w:val="24"/>
                <w:highlight w:val="none"/>
              </w:rPr>
              <w:t>★</w:t>
            </w:r>
          </w:p>
        </w:tc>
        <w:tc>
          <w:tcPr>
            <w:tcW w:w="5363" w:type="dxa"/>
            <w:vAlign w:val="center"/>
          </w:tcPr>
          <w:p w14:paraId="0DB3A307">
            <w:pPr>
              <w:wordWrap w:val="0"/>
              <w:adjustRightInd w:val="0"/>
              <w:snapToGrid w:val="0"/>
              <w:spacing w:line="300" w:lineRule="auto"/>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不满足技术要求中“★”参数（如有）的,属于重大偏离，会对最终评审产生较大影响。</w:t>
            </w:r>
          </w:p>
        </w:tc>
      </w:tr>
      <w:tr w14:paraId="5D64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3F04CF69">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0FD1FDDD">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如某项标识中包含多条技术参数或要求，则该项标识所含内容均需满足或优于比选文件要求，否则不予认可。</w:t>
            </w:r>
          </w:p>
        </w:tc>
      </w:tr>
    </w:tbl>
    <w:p w14:paraId="3AEB20B2">
      <w:pPr>
        <w:widowControl/>
        <w:snapToGrid w:val="0"/>
        <w:spacing w:line="360" w:lineRule="auto"/>
        <w:ind w:firstLine="482" w:firstLineChars="200"/>
        <w:outlineLvl w:val="2"/>
        <w:rPr>
          <w:rFonts w:hint="eastAsia" w:ascii="宋体" w:hAnsi="宋体" w:eastAsia="宋体" w:cs="宋体"/>
          <w:b/>
          <w:bCs/>
          <w:sz w:val="24"/>
          <w:szCs w:val="24"/>
          <w:highlight w:val="none"/>
        </w:rPr>
      </w:pPr>
    </w:p>
    <w:p w14:paraId="5E56C7CB">
      <w:pPr>
        <w:widowControl/>
        <w:snapToGrid w:val="0"/>
        <w:spacing w:line="360" w:lineRule="auto"/>
        <w:ind w:firstLine="482" w:firstLineChars="200"/>
        <w:outlineLvl w:val="2"/>
        <w:rPr>
          <w:rFonts w:hint="eastAsia" w:ascii="宋体" w:hAnsi="宋体" w:eastAsia="宋体"/>
          <w:b/>
          <w:bCs/>
          <w:sz w:val="24"/>
          <w:szCs w:val="18"/>
          <w:highlight w:val="none"/>
        </w:rPr>
      </w:pPr>
      <w:r>
        <w:rPr>
          <w:rFonts w:hint="eastAsia" w:ascii="宋体" w:hAnsi="宋体" w:eastAsia="宋体" w:cs="宋体"/>
          <w:b/>
          <w:bCs/>
          <w:sz w:val="24"/>
          <w:szCs w:val="24"/>
          <w:highlight w:val="none"/>
        </w:rPr>
        <w:t>（二）技术参数</w:t>
      </w:r>
    </w:p>
    <w:bookmarkEnd w:id="0"/>
    <w:p w14:paraId="1D807339">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输液泵需通过国家药品监督管理局三类注册证</w:t>
      </w:r>
      <w:r>
        <w:rPr>
          <w:rFonts w:hint="eastAsia" w:ascii="宋体" w:hAnsi="宋体" w:eastAsia="宋体" w:cs="宋体"/>
          <w:sz w:val="24"/>
          <w:szCs w:val="24"/>
          <w:highlight w:val="none"/>
          <w:lang w:eastAsia="zh-CN"/>
        </w:rPr>
        <w:t>；</w:t>
      </w:r>
    </w:p>
    <w:p w14:paraId="63D11F8E">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整机使用期限≥10年</w:t>
      </w:r>
      <w:r>
        <w:rPr>
          <w:rFonts w:hint="eastAsia" w:ascii="宋体" w:hAnsi="宋体" w:eastAsia="宋体" w:cs="宋体"/>
          <w:sz w:val="24"/>
          <w:szCs w:val="24"/>
          <w:highlight w:val="none"/>
          <w:lang w:eastAsia="zh-CN"/>
        </w:rPr>
        <w:t>；</w:t>
      </w:r>
    </w:p>
    <w:p w14:paraId="68B48039">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支持输血功能</w:t>
      </w:r>
      <w:r>
        <w:rPr>
          <w:rFonts w:hint="eastAsia" w:ascii="宋体" w:hAnsi="宋体" w:eastAsia="宋体" w:cs="宋体"/>
          <w:sz w:val="24"/>
          <w:szCs w:val="24"/>
          <w:highlight w:val="none"/>
          <w:lang w:eastAsia="zh-CN"/>
        </w:rPr>
        <w:t>；</w:t>
      </w:r>
    </w:p>
    <w:p w14:paraId="17FA54E5">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输液精度≤±5%</w:t>
      </w:r>
      <w:r>
        <w:rPr>
          <w:rFonts w:hint="eastAsia" w:ascii="宋体" w:hAnsi="宋体" w:eastAsia="宋体" w:cs="宋体"/>
          <w:sz w:val="24"/>
          <w:szCs w:val="24"/>
          <w:highlight w:val="none"/>
          <w:lang w:eastAsia="zh-CN"/>
        </w:rPr>
        <w:t>；</w:t>
      </w:r>
    </w:p>
    <w:p w14:paraId="2165F05B">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可自动统计四种累计量：24h累计量、最近累计量、自定义时间段累计量、定时间隔累计量</w:t>
      </w:r>
      <w:r>
        <w:rPr>
          <w:rFonts w:hint="eastAsia" w:ascii="宋体" w:hAnsi="宋体" w:eastAsia="宋体" w:cs="宋体"/>
          <w:sz w:val="24"/>
          <w:szCs w:val="24"/>
          <w:highlight w:val="none"/>
          <w:lang w:eastAsia="zh-CN"/>
        </w:rPr>
        <w:t>；</w:t>
      </w:r>
    </w:p>
    <w:p w14:paraId="2318DFA6">
      <w:pPr>
        <w:pStyle w:val="9"/>
        <w:numPr>
          <w:ilvl w:val="0"/>
          <w:numId w:val="0"/>
        </w:numPr>
        <w:spacing w:line="360" w:lineRule="auto"/>
        <w:ind w:leftChars="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5最少具备以下</w:t>
      </w:r>
      <w:r>
        <w:rPr>
          <w:rFonts w:hint="eastAsia" w:ascii="宋体" w:hAnsi="宋体" w:eastAsia="宋体" w:cs="宋体"/>
          <w:sz w:val="24"/>
          <w:szCs w:val="24"/>
          <w:highlight w:val="none"/>
        </w:rPr>
        <w:t>输液模式：速度模式、时间模式、体重模式、剂量时间模式、间断给药模式、点滴模式；</w:t>
      </w:r>
    </w:p>
    <w:p w14:paraId="75E275B5">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支持镇痛药、化疗药、胰岛素输注（提供证明文件）</w:t>
      </w:r>
      <w:r>
        <w:rPr>
          <w:rFonts w:hint="eastAsia" w:ascii="宋体" w:hAnsi="宋体" w:eastAsia="宋体" w:cs="宋体"/>
          <w:sz w:val="24"/>
          <w:szCs w:val="24"/>
          <w:highlight w:val="none"/>
          <w:lang w:eastAsia="zh-CN"/>
        </w:rPr>
        <w:t>；</w:t>
      </w:r>
    </w:p>
    <w:p w14:paraId="760F5A06">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主机自带多功能接口（非USB接口），无需外接辅助设备</w:t>
      </w:r>
      <w:r>
        <w:rPr>
          <w:rFonts w:hint="eastAsia" w:ascii="宋体" w:hAnsi="宋体" w:eastAsia="宋体" w:cs="宋体"/>
          <w:sz w:val="24"/>
          <w:szCs w:val="24"/>
          <w:highlight w:val="none"/>
          <w:lang w:eastAsia="zh-CN"/>
        </w:rPr>
        <w:t>；</w:t>
      </w:r>
    </w:p>
    <w:p w14:paraId="6DB2C5C9">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8.具备</w:t>
      </w:r>
      <w:r>
        <w:rPr>
          <w:rFonts w:hint="eastAsia" w:ascii="宋体" w:hAnsi="宋体" w:eastAsia="宋体" w:cs="宋体"/>
          <w:sz w:val="24"/>
          <w:szCs w:val="24"/>
          <w:highlight w:val="none"/>
        </w:rPr>
        <w:t>阻塞前预警</w:t>
      </w:r>
      <w:r>
        <w:rPr>
          <w:rFonts w:hint="eastAsia" w:ascii="宋体" w:hAnsi="宋体" w:eastAsia="宋体" w:cs="宋体"/>
          <w:sz w:val="24"/>
          <w:szCs w:val="24"/>
          <w:highlight w:val="none"/>
          <w:lang w:val="en-US" w:eastAsia="zh-CN"/>
        </w:rPr>
        <w:t>和</w:t>
      </w:r>
      <w:r>
        <w:rPr>
          <w:rFonts w:hint="eastAsia" w:ascii="宋体" w:hAnsi="宋体" w:eastAsia="宋体" w:cs="宋体"/>
          <w:sz w:val="24"/>
          <w:szCs w:val="24"/>
          <w:highlight w:val="none"/>
        </w:rPr>
        <w:t>阻塞压力报警</w:t>
      </w:r>
      <w:r>
        <w:rPr>
          <w:rFonts w:hint="eastAsia" w:ascii="宋体" w:hAnsi="宋体" w:eastAsia="宋体" w:cs="宋体"/>
          <w:sz w:val="24"/>
          <w:szCs w:val="24"/>
          <w:highlight w:val="none"/>
          <w:lang w:eastAsia="zh-CN"/>
        </w:rPr>
        <w:t>；</w:t>
      </w:r>
    </w:p>
    <w:p w14:paraId="4FD36C50">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具备阻塞后自动重启输液功能</w:t>
      </w:r>
      <w:r>
        <w:rPr>
          <w:rFonts w:hint="eastAsia" w:ascii="宋体" w:hAnsi="宋体" w:eastAsia="宋体" w:cs="宋体"/>
          <w:sz w:val="24"/>
          <w:szCs w:val="24"/>
          <w:highlight w:val="none"/>
          <w:lang w:eastAsia="zh-CN"/>
        </w:rPr>
        <w:t>；</w:t>
      </w:r>
    </w:p>
    <w:p w14:paraId="150434BA">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具备上下两个压力传感器，可检测管路上下端的压力变化</w:t>
      </w:r>
      <w:r>
        <w:rPr>
          <w:rFonts w:hint="eastAsia" w:ascii="宋体" w:hAnsi="宋体" w:eastAsia="宋体" w:cs="宋体"/>
          <w:sz w:val="24"/>
          <w:szCs w:val="24"/>
          <w:highlight w:val="none"/>
          <w:lang w:eastAsia="zh-CN"/>
        </w:rPr>
        <w:t>；</w:t>
      </w:r>
    </w:p>
    <w:p w14:paraId="662F0EF1">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rPr>
        <w:t>具备气泡报警功能，支持最小15μL的单个气泡报警</w:t>
      </w:r>
      <w:r>
        <w:rPr>
          <w:rFonts w:hint="eastAsia" w:ascii="宋体" w:hAnsi="宋体" w:eastAsia="宋体" w:cs="宋体"/>
          <w:sz w:val="24"/>
          <w:szCs w:val="24"/>
          <w:highlight w:val="none"/>
          <w:lang w:eastAsia="zh-CN"/>
        </w:rPr>
        <w:t>；</w:t>
      </w:r>
    </w:p>
    <w:p w14:paraId="365D24C5">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可自动识别空瓶状态并报警</w:t>
      </w:r>
      <w:r>
        <w:rPr>
          <w:rFonts w:hint="eastAsia" w:ascii="宋体" w:hAnsi="宋体" w:eastAsia="宋体" w:cs="宋体"/>
          <w:sz w:val="24"/>
          <w:szCs w:val="24"/>
          <w:highlight w:val="none"/>
          <w:lang w:eastAsia="zh-CN"/>
        </w:rPr>
        <w:t>；</w:t>
      </w:r>
    </w:p>
    <w:p w14:paraId="526D4F40">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13.</w:t>
      </w:r>
      <w:r>
        <w:rPr>
          <w:rFonts w:hint="eastAsia" w:ascii="宋体" w:hAnsi="宋体" w:eastAsia="宋体" w:cs="宋体"/>
          <w:sz w:val="24"/>
          <w:szCs w:val="24"/>
          <w:highlight w:val="none"/>
        </w:rPr>
        <w:t>具有历史记录功能</w:t>
      </w:r>
      <w:r>
        <w:rPr>
          <w:rFonts w:hint="eastAsia" w:ascii="宋体" w:hAnsi="宋体" w:eastAsia="宋体" w:cs="宋体"/>
          <w:sz w:val="24"/>
          <w:szCs w:val="24"/>
          <w:highlight w:val="none"/>
          <w:lang w:eastAsia="zh-CN"/>
        </w:rPr>
        <w:t>；</w:t>
      </w:r>
    </w:p>
    <w:p w14:paraId="59D8106C">
      <w:pPr>
        <w:pStyle w:val="9"/>
        <w:numPr>
          <w:ilvl w:val="0"/>
          <w:numId w:val="0"/>
        </w:numPr>
        <w:spacing w:line="360" w:lineRule="auto"/>
        <w:ind w:left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14.</w:t>
      </w:r>
      <w:r>
        <w:rPr>
          <w:rFonts w:hint="eastAsia" w:ascii="宋体" w:hAnsi="宋体" w:eastAsia="宋体" w:cs="宋体"/>
          <w:sz w:val="24"/>
          <w:szCs w:val="24"/>
          <w:highlight w:val="none"/>
        </w:rPr>
        <w:t>电池工作时间≥5小时</w:t>
      </w:r>
      <w:r>
        <w:rPr>
          <w:rFonts w:hint="eastAsia" w:ascii="宋体" w:hAnsi="宋体" w:eastAsia="宋体" w:cs="宋体"/>
          <w:sz w:val="24"/>
          <w:szCs w:val="24"/>
          <w:highlight w:val="none"/>
          <w:lang w:eastAsia="zh-CN"/>
        </w:rPr>
        <w:t>；</w:t>
      </w:r>
    </w:p>
    <w:p w14:paraId="60A05F71">
      <w:pPr>
        <w:spacing w:line="360" w:lineRule="auto"/>
        <w:rPr>
          <w:rFonts w:hint="eastAsia" w:ascii="宋体" w:hAnsi="宋体" w:eastAsia="宋体" w:cs="宋体"/>
          <w:b w:val="0"/>
          <w:bCs w:val="0"/>
          <w:color w:val="000000"/>
          <w:sz w:val="24"/>
          <w:szCs w:val="24"/>
          <w:highlight w:val="none"/>
        </w:rPr>
      </w:pPr>
      <w:r>
        <w:rPr>
          <w:rFonts w:hint="eastAsia" w:ascii="宋体" w:hAnsi="宋体" w:eastAsia="宋体" w:cs="宋体"/>
          <w:sz w:val="24"/>
          <w:szCs w:val="24"/>
          <w:highlight w:val="none"/>
          <w:lang w:val="en-US" w:eastAsia="zh-CN"/>
        </w:rPr>
        <w:t>15.具备</w:t>
      </w:r>
      <w:r>
        <w:rPr>
          <w:rFonts w:hint="eastAsia" w:ascii="宋体" w:hAnsi="宋体" w:eastAsia="宋体" w:cs="宋体"/>
          <w:sz w:val="24"/>
          <w:szCs w:val="24"/>
          <w:highlight w:val="none"/>
        </w:rPr>
        <w:t>防异物及进液</w:t>
      </w:r>
      <w:r>
        <w:rPr>
          <w:rFonts w:hint="eastAsia" w:ascii="宋体" w:hAnsi="宋体" w:eastAsia="宋体" w:cs="宋体"/>
          <w:sz w:val="24"/>
          <w:szCs w:val="24"/>
          <w:highlight w:val="none"/>
          <w:lang w:val="en-US" w:eastAsia="zh-CN"/>
        </w:rPr>
        <w:t>功能。</w:t>
      </w:r>
    </w:p>
    <w:p w14:paraId="358755FC">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2048E7"/>
    <w:rsid w:val="042048E7"/>
    <w:rsid w:val="197131A1"/>
    <w:rsid w:val="1DCD0774"/>
    <w:rsid w:val="40451A64"/>
    <w:rsid w:val="7B2B7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D&amp;L"/>
    <w:basedOn w:val="4"/>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
    <w:name w:val="xl31"/>
    <w:basedOn w:val="1"/>
    <w:autoRedefine/>
    <w:qFormat/>
    <w:uiPriority w:val="0"/>
    <w:pPr>
      <w:widowControl/>
      <w:spacing w:before="100" w:beforeAutospacing="1" w:after="100" w:afterAutospacing="1"/>
      <w:jc w:val="center"/>
    </w:pPr>
    <w:rPr>
      <w:b/>
      <w:bCs/>
      <w:kern w:val="0"/>
      <w:sz w:val="28"/>
      <w:szCs w:val="28"/>
    </w:rPr>
  </w:style>
  <w:style w:type="paragraph" w:styleId="9">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1696</Words>
  <Characters>1758</Characters>
  <Lines>0</Lines>
  <Paragraphs>0</Paragraphs>
  <TotalTime>0</TotalTime>
  <ScaleCrop>false</ScaleCrop>
  <LinksUpToDate>false</LinksUpToDate>
  <CharactersWithSpaces>1758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2026-08-04T08:35:00Z</dcterms:created>
  <dc:creator>w</dc:creator>
  <cp:lastModifiedBy>w</cp:lastModifiedBy>
  <dcterms:modified xsi:type="dcterms:W3CDTF">2026-08-04T08:40:56Z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5A0C6A8096DD4497AD08198E7D70708B_13</vt:lpwstr>
  </property>
  <property fmtid="{D5CDD505-2E9C-101B-9397-08002B2CF9AE}" pid="4" name="KSOTemplateDocerSaveRecord">
    <vt:lpwstr>eyJoZGlkIjoiZWUyOTQ1NDM2Zjc0YjU0MjZhMWI3YTAyMzgxNTM2MDQiLCJ1c2VySWQiOiI0NjEyMTI0ODEifQ==</vt:lpwstr>
  </property>
</Properties>
</file>