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65D33">
      <w:pPr>
        <w:spacing w:line="360" w:lineRule="auto"/>
        <w:jc w:val="center"/>
        <w:outlineLvl w:val="0"/>
        <w:rPr>
          <w:rFonts w:hint="eastAsia" w:asciiTheme="minorEastAsia" w:hAnsiTheme="minorEastAsia" w:eastAsiaTheme="minorEastAsia"/>
          <w:b/>
          <w:sz w:val="28"/>
          <w:highlight w:val="none"/>
        </w:rPr>
      </w:pPr>
      <w:r>
        <w:rPr>
          <w:rFonts w:hint="eastAsia" w:asciiTheme="minorEastAsia" w:hAnsiTheme="minorEastAsia" w:eastAsiaTheme="minorEastAsia"/>
          <w:b/>
          <w:sz w:val="28"/>
          <w:highlight w:val="none"/>
        </w:rPr>
        <w:t>采购需求</w:t>
      </w:r>
    </w:p>
    <w:p w14:paraId="67C459E5">
      <w:pPr>
        <w:spacing w:line="360" w:lineRule="auto"/>
        <w:rPr>
          <w:rFonts w:hint="eastAsia" w:asciiTheme="minorEastAsia" w:hAnsiTheme="minorEastAsia" w:eastAsiaTheme="minorEastAsia"/>
          <w:b/>
          <w:sz w:val="24"/>
          <w:szCs w:val="24"/>
          <w:highlight w:val="none"/>
        </w:rPr>
      </w:pPr>
      <w:bookmarkStart w:id="0" w:name="_Hlk16461016"/>
      <w:r>
        <w:rPr>
          <w:rFonts w:hint="eastAsia" w:asciiTheme="minorEastAsia" w:hAnsiTheme="minorEastAsia" w:eastAsiaTheme="minorEastAsia"/>
          <w:b/>
          <w:sz w:val="24"/>
          <w:szCs w:val="24"/>
          <w:highlight w:val="none"/>
        </w:rPr>
        <w:t>前注：</w:t>
      </w:r>
    </w:p>
    <w:p w14:paraId="1A3561C9">
      <w:pPr>
        <w:spacing w:line="360" w:lineRule="auto"/>
        <w:rPr>
          <w:rFonts w:hint="eastAsia" w:ascii="宋体" w:hAnsi="宋体" w:eastAsia="宋体" w:cs="宋体"/>
          <w:b/>
          <w:color w:val="FF0000"/>
          <w:sz w:val="24"/>
          <w:szCs w:val="24"/>
          <w:highlight w:val="none"/>
        </w:rPr>
      </w:pPr>
      <w:bookmarkStart w:id="1" w:name="_Toc26330"/>
      <w:bookmarkStart w:id="2" w:name="_Toc9765"/>
      <w:r>
        <w:rPr>
          <w:rFonts w:hint="eastAsia" w:ascii="宋体" w:hAnsi="宋体" w:eastAsia="宋体" w:cs="宋体"/>
          <w:b/>
          <w:color w:val="FF0000"/>
          <w:sz w:val="24"/>
          <w:szCs w:val="24"/>
          <w:highlight w:val="none"/>
          <w:lang w:bidi="ar"/>
        </w:rPr>
        <w:t>要求：以下条款如供应商参与响应，视为供应商自动响应。</w:t>
      </w:r>
    </w:p>
    <w:p w14:paraId="482728AB">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1.按照响应方案提供配置清单，标明品牌、型号、产地、数量等并分项报价；</w:t>
      </w:r>
    </w:p>
    <w:p w14:paraId="42E2D2CC">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2.提供产品日常使用的所有配套专用耗材清单，确保产品正常使用。须标明品牌、型号、产地、规格、最小供货单位等并分项报价，报价不计入响应总价。在成交后如发现有漏报、瞒报的配套专用耗材，一律视为已包含在成交总价内，不得以赠送形式向采购人提供产品及服务。耗材供应期按照医院相关耗材管理规定执行；</w:t>
      </w:r>
    </w:p>
    <w:p w14:paraId="72383F08">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3.说明是否需要其他设备配套使用，请列出配套设备名称、数量等，如未说明一律视为已包含在响应总价内；</w:t>
      </w:r>
    </w:p>
    <w:p w14:paraId="72E16474">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4.供应商及产品须资质、证照齐全且在有效期内，如确无注册证的产品，须提供官方说明材料；</w:t>
      </w:r>
    </w:p>
    <w:p w14:paraId="0CB456D9">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5.若属安徽省医用耗材政策管理范围内产品，需满足相关要求（如“集采”、“两票制”等）；若为集采管理范围内产品，需在集采目录中，同类产品原则上选择限价产品，同类无替代选择备案产品；</w:t>
      </w:r>
    </w:p>
    <w:p w14:paraId="675EF87D">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6.</w:t>
      </w:r>
      <w:r>
        <w:rPr>
          <w:rFonts w:hint="eastAsia" w:ascii="宋体" w:hAnsi="宋体" w:eastAsia="宋体" w:cs="宋体"/>
          <w:b/>
          <w:bCs/>
          <w:sz w:val="24"/>
          <w:szCs w:val="24"/>
          <w:highlight w:val="none"/>
          <w:lang w:bidi="ar"/>
        </w:rPr>
        <w:t>成交人须将供应的医用物资包括但不限于医用耗材、检验试剂、后勤物资等，纳入采购人医用物资SPD智慧物流管理模式进行一元化管理，与采购人SPD服务商签订服务协议并承担相关的服务费。其中医用耗材、试剂的具体服务费率由成交人与SPD服务商协商，服务费率不高于医院与SPD服务商约定的收费标准（现行服务费率为供货金额的1%；如后期采购人与SPD服务商约定的服务费率发生变动，以采购人与SPD服务商签订合同约定的服务费率为准）；后勤物资等其他物资，成交人无需承担服务费。如成交人不予配合，采购人有权终止与成交人的医用物资供应关系或选择备选医用物资成交人</w:t>
      </w:r>
      <w:r>
        <w:rPr>
          <w:rFonts w:hint="eastAsia" w:ascii="宋体" w:hAnsi="宋体" w:eastAsia="宋体" w:cs="宋体"/>
          <w:b/>
          <w:sz w:val="24"/>
          <w:szCs w:val="24"/>
          <w:highlight w:val="none"/>
          <w:lang w:bidi="ar"/>
        </w:rPr>
        <w:t>；</w:t>
      </w:r>
    </w:p>
    <w:p w14:paraId="69511916">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7.根据医保政策，可单独收费医用耗材请提供安徽医保局下发的27位医保编码，并按编码进行报价；</w:t>
      </w:r>
    </w:p>
    <w:p w14:paraId="0E0E04F1">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8.需长期供应的医用耗材及试剂产品，成交后合同期内不得变更配送公司，否则取消该品牌成交资格。参选时生产厂家须出具长期授权函，并提供合同期内不变更配送公司的承诺函，如不提供的评审小组有权按无效响应处理。</w:t>
      </w:r>
    </w:p>
    <w:p w14:paraId="60521744">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9.医用耗材及配套使用的工具按医院规定需要消毒的，其相关费用由供应商自行承担。</w:t>
      </w:r>
    </w:p>
    <w:p w14:paraId="1CA2D488">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10.检验试剂项目和需配套检验试剂使用的检验设备项目，均须免费提供同品牌或第三方符合溯源要求的质控品。</w:t>
      </w:r>
    </w:p>
    <w:p w14:paraId="107933D4">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11.供应商需无条件接受因国家及安徽省相关政策（如医用耗材带量采购等）对比选结果带来的变动，供应商不得提出异议。</w:t>
      </w:r>
    </w:p>
    <w:p w14:paraId="3B490EA1">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12.供应商须保证此次供应产品，响应价格不得高于安徽省医药集中采购平台交易目录最高限价；后期安徽省医药集中采购平台交易目录最高限价如有降价，成交产品的成交人应于7个工作日内书面通知采购人启动协商程序。</w:t>
      </w:r>
    </w:p>
    <w:p w14:paraId="75706C3A">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13.按收费价格费率投标的检验项目，如后期收费价格下调，试剂供货价格须按成交费率同比例下浮。</w:t>
      </w:r>
    </w:p>
    <w:p w14:paraId="496C4099">
      <w:pPr>
        <w:spacing w:line="360" w:lineRule="auto"/>
        <w:ind w:firstLine="470" w:firstLineChars="196"/>
        <w:rPr>
          <w:rFonts w:hint="eastAsia" w:ascii="宋体" w:hAnsi="宋体" w:eastAsia="宋体" w:cs="宋体"/>
          <w:b/>
          <w:sz w:val="24"/>
          <w:szCs w:val="24"/>
          <w:highlight w:val="none"/>
        </w:rPr>
      </w:pPr>
      <w:r>
        <w:rPr>
          <w:rFonts w:hint="eastAsia" w:ascii="宋体" w:hAnsi="宋体" w:eastAsia="宋体" w:cs="宋体"/>
          <w:sz w:val="24"/>
          <w:szCs w:val="24"/>
          <w:highlight w:val="none"/>
          <w:lang w:bidi="ar"/>
        </w:rPr>
        <w:t>备注：请列出易损件，耗材及其他相关产品清单，并注明编码报价。</w:t>
      </w:r>
    </w:p>
    <w:p w14:paraId="7DA3B6E3">
      <w:pPr>
        <w:spacing w:line="360" w:lineRule="auto"/>
        <w:ind w:firstLine="437"/>
        <w:outlineLvl w:val="1"/>
        <w:rPr>
          <w:rFonts w:hint="eastAsia" w:ascii="宋体" w:hAnsi="宋体" w:eastAsia="宋体"/>
          <w:b/>
          <w:sz w:val="24"/>
          <w:szCs w:val="18"/>
          <w:highlight w:val="none"/>
        </w:rPr>
      </w:pPr>
      <w:r>
        <w:rPr>
          <w:rFonts w:hint="eastAsia" w:ascii="宋体" w:hAnsi="宋体" w:eastAsia="宋体"/>
          <w:b/>
          <w:sz w:val="24"/>
          <w:szCs w:val="18"/>
          <w:highlight w:val="none"/>
        </w:rPr>
        <w:t>一、采购需求前附表</w:t>
      </w:r>
      <w:bookmarkEnd w:id="1"/>
      <w:bookmarkEnd w:id="2"/>
      <w:r>
        <w:rPr>
          <w:rFonts w:hint="eastAsia" w:ascii="宋体" w:hAnsi="宋体" w:eastAsia="宋体"/>
          <w:b/>
          <w:color w:val="FF0000"/>
          <w:sz w:val="24"/>
          <w:szCs w:val="18"/>
          <w:highlight w:val="none"/>
        </w:rPr>
        <w:t>（以下内容必须响应，否则视为无效响应）</w:t>
      </w:r>
    </w:p>
    <w:tbl>
      <w:tblPr>
        <w:tblStyle w:val="5"/>
        <w:tblW w:w="8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2191"/>
        <w:gridCol w:w="5191"/>
      </w:tblGrid>
      <w:tr w14:paraId="56E31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06042438">
            <w:pPr>
              <w:pStyle w:val="7"/>
              <w:pBdr>
                <w:bottom w:val="none" w:color="auto" w:sz="0" w:space="0"/>
              </w:pBdr>
              <w:tabs>
                <w:tab w:val="clear" w:pos="4153"/>
                <w:tab w:val="clear" w:pos="8306"/>
              </w:tabs>
              <w:adjustRightInd/>
              <w:spacing w:line="240" w:lineRule="auto"/>
              <w:textAlignment w:val="auto"/>
              <w:rPr>
                <w:rFonts w:hint="eastAsia" w:ascii="宋体" w:hAnsi="宋体" w:eastAsia="宋体"/>
                <w:b/>
                <w:kern w:val="2"/>
                <w:highlight w:val="none"/>
              </w:rPr>
            </w:pPr>
            <w:r>
              <w:rPr>
                <w:rFonts w:hint="eastAsia" w:ascii="宋体" w:hAnsi="宋体" w:eastAsia="宋体"/>
                <w:b/>
                <w:kern w:val="2"/>
                <w:highlight w:val="none"/>
              </w:rPr>
              <w:t>序号</w:t>
            </w:r>
          </w:p>
        </w:tc>
        <w:tc>
          <w:tcPr>
            <w:tcW w:w="2191" w:type="dxa"/>
            <w:vAlign w:val="center"/>
          </w:tcPr>
          <w:p w14:paraId="7E8B51D2">
            <w:pPr>
              <w:pStyle w:val="8"/>
              <w:widowControl w:val="0"/>
              <w:spacing w:before="0" w:beforeAutospacing="0" w:after="0" w:afterAutospacing="0" w:line="360" w:lineRule="auto"/>
              <w:rPr>
                <w:rFonts w:hint="eastAsia" w:ascii="宋体" w:hAnsi="宋体" w:eastAsia="宋体"/>
                <w:bCs w:val="0"/>
                <w:sz w:val="24"/>
                <w:highlight w:val="none"/>
              </w:rPr>
            </w:pPr>
            <w:r>
              <w:rPr>
                <w:rFonts w:hint="eastAsia" w:ascii="宋体" w:hAnsi="宋体" w:eastAsia="宋体"/>
                <w:bCs w:val="0"/>
                <w:sz w:val="24"/>
                <w:highlight w:val="none"/>
              </w:rPr>
              <w:t>条款名称</w:t>
            </w:r>
          </w:p>
        </w:tc>
        <w:tc>
          <w:tcPr>
            <w:tcW w:w="5191" w:type="dxa"/>
            <w:vAlign w:val="center"/>
          </w:tcPr>
          <w:p w14:paraId="54EE450F">
            <w:pPr>
              <w:pStyle w:val="8"/>
              <w:widowControl w:val="0"/>
              <w:spacing w:before="0" w:beforeAutospacing="0" w:after="0" w:afterAutospacing="0" w:line="360" w:lineRule="auto"/>
              <w:rPr>
                <w:rFonts w:hint="eastAsia" w:ascii="宋体" w:hAnsi="宋体" w:eastAsia="宋体"/>
                <w:bCs w:val="0"/>
                <w:sz w:val="24"/>
                <w:highlight w:val="none"/>
              </w:rPr>
            </w:pPr>
            <w:r>
              <w:rPr>
                <w:rFonts w:hint="eastAsia" w:ascii="宋体" w:hAnsi="宋体" w:eastAsia="宋体"/>
                <w:bCs w:val="0"/>
                <w:sz w:val="24"/>
                <w:highlight w:val="none"/>
              </w:rPr>
              <w:t>内容、说明与要求</w:t>
            </w:r>
          </w:p>
        </w:tc>
      </w:tr>
      <w:tr w14:paraId="7DA58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5C4EEB4D">
            <w:pPr>
              <w:pStyle w:val="7"/>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1</w:t>
            </w:r>
          </w:p>
        </w:tc>
        <w:tc>
          <w:tcPr>
            <w:tcW w:w="2191" w:type="dxa"/>
            <w:vAlign w:val="center"/>
          </w:tcPr>
          <w:p w14:paraId="79F9A803">
            <w:pPr>
              <w:pStyle w:val="8"/>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付款方式</w:t>
            </w:r>
          </w:p>
        </w:tc>
        <w:tc>
          <w:tcPr>
            <w:tcW w:w="5191" w:type="dxa"/>
            <w:vAlign w:val="center"/>
          </w:tcPr>
          <w:p w14:paraId="2FA96F10">
            <w:pPr>
              <w:pStyle w:val="8"/>
              <w:widowControl w:val="0"/>
              <w:spacing w:before="0" w:beforeAutospacing="0" w:after="0" w:afterAutospacing="0" w:line="360" w:lineRule="auto"/>
              <w:jc w:val="both"/>
              <w:rPr>
                <w:rFonts w:hint="eastAsia" w:ascii="宋体" w:hAnsi="宋体" w:eastAsia="宋体"/>
                <w:b w:val="0"/>
                <w:sz w:val="24"/>
                <w:highlight w:val="none"/>
                <w:u w:val="single"/>
              </w:rPr>
            </w:pPr>
            <w:r>
              <w:rPr>
                <w:rFonts w:hint="eastAsia" w:ascii="宋体" w:hAnsi="宋体" w:eastAsia="宋体"/>
                <w:b w:val="0"/>
                <w:sz w:val="24"/>
                <w:highlight w:val="none"/>
                <w:u w:val="single"/>
              </w:rPr>
              <w:t>设备验收合格后三个月首付90%货款，余额10%货款质保金一年后如无质量问题无息付清。</w:t>
            </w:r>
          </w:p>
        </w:tc>
      </w:tr>
      <w:tr w14:paraId="19E47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614EB883">
            <w:pPr>
              <w:pStyle w:val="7"/>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2</w:t>
            </w:r>
          </w:p>
        </w:tc>
        <w:tc>
          <w:tcPr>
            <w:tcW w:w="2191" w:type="dxa"/>
            <w:vAlign w:val="center"/>
          </w:tcPr>
          <w:p w14:paraId="7C47183E">
            <w:pPr>
              <w:pStyle w:val="8"/>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供货及安装地点</w:t>
            </w:r>
          </w:p>
        </w:tc>
        <w:tc>
          <w:tcPr>
            <w:tcW w:w="5191" w:type="dxa"/>
            <w:vAlign w:val="center"/>
          </w:tcPr>
          <w:p w14:paraId="21CD4212">
            <w:pPr>
              <w:pStyle w:val="8"/>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lang w:eastAsia="zh-CN"/>
              </w:rPr>
              <w:t>中国科大附一院（安徽省立医院）</w:t>
            </w:r>
            <w:r>
              <w:rPr>
                <w:rFonts w:hint="eastAsia" w:ascii="宋体" w:hAnsi="宋体" w:eastAsia="宋体"/>
                <w:b w:val="0"/>
                <w:sz w:val="24"/>
                <w:highlight w:val="none"/>
                <w:u w:val="single"/>
              </w:rPr>
              <w:t>，采购人指定地点</w:t>
            </w:r>
          </w:p>
        </w:tc>
      </w:tr>
      <w:tr w14:paraId="7E8F7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0CBA33BF">
            <w:pPr>
              <w:pStyle w:val="7"/>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3</w:t>
            </w:r>
          </w:p>
        </w:tc>
        <w:tc>
          <w:tcPr>
            <w:tcW w:w="2191" w:type="dxa"/>
            <w:vAlign w:val="center"/>
          </w:tcPr>
          <w:p w14:paraId="631C958D">
            <w:pPr>
              <w:pStyle w:val="8"/>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供货及安装期限</w:t>
            </w:r>
          </w:p>
        </w:tc>
        <w:tc>
          <w:tcPr>
            <w:tcW w:w="5191" w:type="dxa"/>
            <w:vAlign w:val="center"/>
          </w:tcPr>
          <w:p w14:paraId="553AD3B8">
            <w:pPr>
              <w:pStyle w:val="8"/>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rPr>
              <w:t>详见比选公告</w:t>
            </w:r>
          </w:p>
        </w:tc>
      </w:tr>
      <w:tr w14:paraId="68E0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2F3E4128">
            <w:pPr>
              <w:pStyle w:val="7"/>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4</w:t>
            </w:r>
          </w:p>
        </w:tc>
        <w:tc>
          <w:tcPr>
            <w:tcW w:w="2191" w:type="dxa"/>
            <w:vAlign w:val="center"/>
          </w:tcPr>
          <w:p w14:paraId="3B033300">
            <w:pPr>
              <w:pStyle w:val="8"/>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免费质保期</w:t>
            </w:r>
          </w:p>
        </w:tc>
        <w:tc>
          <w:tcPr>
            <w:tcW w:w="5191" w:type="dxa"/>
            <w:vAlign w:val="center"/>
          </w:tcPr>
          <w:p w14:paraId="1E6985C1">
            <w:pPr>
              <w:pStyle w:val="8"/>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rPr>
              <w:t>详见比选公告</w:t>
            </w:r>
          </w:p>
        </w:tc>
      </w:tr>
    </w:tbl>
    <w:p w14:paraId="0EDEBF5B">
      <w:pPr>
        <w:spacing w:line="360" w:lineRule="auto"/>
        <w:ind w:firstLine="437"/>
        <w:outlineLvl w:val="1"/>
        <w:rPr>
          <w:rFonts w:hint="eastAsia" w:ascii="宋体" w:hAnsi="宋体" w:eastAsia="宋体"/>
          <w:b/>
          <w:bCs/>
          <w:sz w:val="24"/>
          <w:szCs w:val="18"/>
          <w:highlight w:val="none"/>
        </w:rPr>
      </w:pPr>
      <w:r>
        <w:rPr>
          <w:rFonts w:hint="eastAsia" w:ascii="宋体" w:hAnsi="宋体" w:eastAsia="宋体"/>
          <w:b/>
          <w:bCs/>
          <w:sz w:val="24"/>
          <w:szCs w:val="18"/>
          <w:highlight w:val="none"/>
        </w:rPr>
        <w:t>二、</w:t>
      </w:r>
      <w:r>
        <w:rPr>
          <w:rFonts w:hint="eastAsia" w:ascii="宋体" w:hAnsi="宋体" w:eastAsia="宋体"/>
          <w:b/>
          <w:sz w:val="24"/>
          <w:szCs w:val="18"/>
          <w:highlight w:val="none"/>
        </w:rPr>
        <w:t>货物</w:t>
      </w:r>
      <w:r>
        <w:rPr>
          <w:rFonts w:hint="eastAsia" w:ascii="宋体" w:hAnsi="宋体" w:eastAsia="宋体"/>
          <w:b/>
          <w:bCs/>
          <w:sz w:val="24"/>
          <w:szCs w:val="18"/>
          <w:highlight w:val="none"/>
        </w:rPr>
        <w:t>需求</w:t>
      </w:r>
    </w:p>
    <w:p w14:paraId="53C6DE50">
      <w:pPr>
        <w:widowControl/>
        <w:ind w:firstLine="482" w:firstLineChars="200"/>
        <w:outlineLvl w:val="2"/>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（一）标识符号</w:t>
      </w:r>
    </w:p>
    <w:tbl>
      <w:tblPr>
        <w:tblStyle w:val="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0FCFD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vAlign w:val="center"/>
          </w:tcPr>
          <w:p w14:paraId="66496B31">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标识类型</w:t>
            </w:r>
          </w:p>
        </w:tc>
        <w:tc>
          <w:tcPr>
            <w:tcW w:w="1365" w:type="dxa"/>
            <w:vAlign w:val="center"/>
          </w:tcPr>
          <w:p w14:paraId="7180F163">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标识符号</w:t>
            </w:r>
          </w:p>
        </w:tc>
        <w:tc>
          <w:tcPr>
            <w:tcW w:w="5363" w:type="dxa"/>
            <w:vAlign w:val="center"/>
          </w:tcPr>
          <w:p w14:paraId="4D15BB18">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标识符号含义</w:t>
            </w:r>
          </w:p>
        </w:tc>
      </w:tr>
      <w:tr w14:paraId="197B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vAlign w:val="center"/>
          </w:tcPr>
          <w:p w14:paraId="3DE2FCE5">
            <w:pPr>
              <w:spacing w:line="30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重要指标项（如有）</w:t>
            </w:r>
          </w:p>
        </w:tc>
        <w:tc>
          <w:tcPr>
            <w:tcW w:w="1365" w:type="dxa"/>
            <w:vAlign w:val="center"/>
          </w:tcPr>
          <w:p w14:paraId="6CD66D9C">
            <w:pPr>
              <w:wordWrap w:val="0"/>
              <w:adjustRightInd w:val="0"/>
              <w:snapToGrid w:val="0"/>
              <w:spacing w:line="300" w:lineRule="auto"/>
              <w:jc w:val="center"/>
              <w:rPr>
                <w:rFonts w:hint="eastAsia" w:ascii="宋体" w:hAnsi="宋体" w:eastAsia="宋体" w:cs="宋体"/>
                <w:bCs/>
                <w:color w:val="000000"/>
                <w:sz w:val="24"/>
                <w:szCs w:val="24"/>
                <w:highlight w:val="none"/>
              </w:rPr>
            </w:pPr>
            <w:r>
              <w:rPr>
                <w:rFonts w:hint="eastAsia" w:ascii="宋体" w:hAnsi="宋体" w:eastAsia="宋体" w:cs="宋体"/>
                <w:color w:val="000000"/>
                <w:sz w:val="24"/>
                <w:szCs w:val="24"/>
                <w:highlight w:val="none"/>
              </w:rPr>
              <w:t>★</w:t>
            </w:r>
          </w:p>
        </w:tc>
        <w:tc>
          <w:tcPr>
            <w:tcW w:w="5363" w:type="dxa"/>
            <w:vAlign w:val="center"/>
          </w:tcPr>
          <w:p w14:paraId="5D4068F8">
            <w:pPr>
              <w:wordWrap w:val="0"/>
              <w:adjustRightInd w:val="0"/>
              <w:snapToGrid w:val="0"/>
              <w:spacing w:line="300" w:lineRule="auto"/>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不满足技术要求中“★”参数（如有）的,属于重大偏离，会对最终评审产生较大影响。</w:t>
            </w:r>
          </w:p>
        </w:tc>
      </w:tr>
      <w:tr w14:paraId="1EA42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vAlign w:val="center"/>
          </w:tcPr>
          <w:p w14:paraId="7B48C025">
            <w:pPr>
              <w:spacing w:line="30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注：</w:t>
            </w:r>
          </w:p>
          <w:p w14:paraId="38ACF8A3">
            <w:pPr>
              <w:spacing w:line="30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如某项标识中包含多条技术参数或要求，则该项标识所含内容均需满足或优于比选文件要求，否则不予认可。</w:t>
            </w:r>
          </w:p>
        </w:tc>
      </w:tr>
    </w:tbl>
    <w:p w14:paraId="43D300E6">
      <w:pPr>
        <w:widowControl/>
        <w:snapToGrid w:val="0"/>
        <w:spacing w:line="360" w:lineRule="auto"/>
        <w:ind w:firstLine="482" w:firstLineChars="200"/>
        <w:outlineLvl w:val="2"/>
        <w:rPr>
          <w:rFonts w:hint="eastAsia" w:ascii="宋体" w:hAnsi="宋体" w:eastAsia="宋体" w:cs="宋体"/>
          <w:b/>
          <w:bCs/>
          <w:sz w:val="24"/>
          <w:szCs w:val="24"/>
          <w:highlight w:val="none"/>
        </w:rPr>
      </w:pPr>
    </w:p>
    <w:p w14:paraId="1D82C565">
      <w:pPr>
        <w:widowControl/>
        <w:snapToGrid w:val="0"/>
        <w:spacing w:line="360" w:lineRule="auto"/>
        <w:ind w:firstLine="482" w:firstLineChars="200"/>
        <w:outlineLvl w:val="2"/>
        <w:rPr>
          <w:rFonts w:hint="eastAsia" w:ascii="宋体" w:hAnsi="宋体" w:eastAsia="宋体"/>
          <w:b/>
          <w:bCs/>
          <w:sz w:val="24"/>
          <w:szCs w:val="18"/>
          <w:highlight w:val="none"/>
        </w:rPr>
      </w:pPr>
      <w:r>
        <w:rPr>
          <w:rFonts w:hint="eastAsia" w:ascii="宋体" w:hAnsi="宋体" w:eastAsia="宋体" w:cs="宋体"/>
          <w:b/>
          <w:bCs/>
          <w:sz w:val="24"/>
          <w:szCs w:val="24"/>
          <w:highlight w:val="none"/>
        </w:rPr>
        <w:t>（二）技术参数</w:t>
      </w:r>
    </w:p>
    <w:bookmarkEnd w:id="0"/>
    <w:p w14:paraId="4BEBA211">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★1</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测量原理 ：示波法；</w:t>
      </w:r>
    </w:p>
    <w:p w14:paraId="2D92E27D">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2</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 xml:space="preserve"> 显示屏：LCD显示屏；</w:t>
      </w:r>
    </w:p>
    <w:p w14:paraId="78863035">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3</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 xml:space="preserve"> 测量位置：左右臂均可 ；</w:t>
      </w:r>
    </w:p>
    <w:p w14:paraId="04098ED7">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4</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 xml:space="preserve"> 适应臂周范围：17～42cm ；</w:t>
      </w:r>
    </w:p>
    <w:p w14:paraId="0863AC92">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5 </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测量范围 ： 血压量程：0～299mmHg； 脉博数：40～180次/分；</w:t>
      </w:r>
    </w:p>
    <w:p w14:paraId="141FE95C">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★6</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手臂伸入检测功能：手臂伸入臂筒时，感知测量开始，启动语音引导；</w:t>
      </w:r>
    </w:p>
    <w:p w14:paraId="21DC8E8C">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7</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 xml:space="preserve"> 测量精度</w:t>
      </w:r>
    </w:p>
    <w:p w14:paraId="2296F734">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压力显示精度：±3mmHg（±0.4KPa）；</w:t>
      </w:r>
    </w:p>
    <w:p w14:paraId="0E984EDD">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脉搏测量精度：±2%或±2次/分（取最大者）</w:t>
      </w:r>
    </w:p>
    <w:p w14:paraId="17CCBF77">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8</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肘部位置传感器：电子肘部位置传感器，并有图标提示手臂放置位置是否正确；</w:t>
      </w:r>
    </w:p>
    <w:p w14:paraId="0D3C2702">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9</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臂筒角度调节： 自动上下浮动式臂筒（臂筒可根据测量者的坐姿高度自动上下调节≥10度）；</w:t>
      </w:r>
    </w:p>
    <w:p w14:paraId="671E44C7">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★10</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平均测量模式：可进行2-3次的测量，并自动得出平均值（中国高血压防治指南推荐的诊室测量方法）；</w:t>
      </w:r>
    </w:p>
    <w:p w14:paraId="44B58BB4">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11</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二维码打印：测量结果可以二维码形式打印出来；</w:t>
      </w:r>
    </w:p>
    <w:p w14:paraId="446A22D0">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12</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打印装置：热敏式打印机、多种打印模式可选并打印显示干扰波形图；</w:t>
      </w:r>
    </w:p>
    <w:p w14:paraId="1538BFF2">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★13</w:t>
      </w:r>
      <w:r>
        <w:rPr>
          <w:rFonts w:hint="eastAsia" w:ascii="宋体" w:hAnsi="宋体" w:eastAsia="宋体" w:cs="宋体"/>
          <w:sz w:val="24"/>
          <w:szCs w:val="24"/>
          <w:lang w:val="en-US" w:eastAsia="zh-CN"/>
        </w:rPr>
        <w:t>.I</w:t>
      </w:r>
      <w:r>
        <w:rPr>
          <w:rFonts w:hint="eastAsia" w:ascii="宋体" w:hAnsi="宋体" w:eastAsia="宋体" w:cs="宋体"/>
          <w:sz w:val="24"/>
          <w:szCs w:val="24"/>
          <w:lang w:eastAsia="zh-CN"/>
        </w:rPr>
        <w:t>D功能：可连接扫描枪或身份证读卡器；</w:t>
      </w:r>
    </w:p>
    <w:p w14:paraId="47547871">
      <w:pPr>
        <w:numPr>
          <w:ilvl w:val="0"/>
          <w:numId w:val="1"/>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抗菌设计</w:t>
      </w:r>
      <w:r>
        <w:rPr>
          <w:rFonts w:hint="eastAsia" w:ascii="宋体" w:hAnsi="宋体" w:eastAsia="宋体" w:cs="宋体"/>
          <w:sz w:val="24"/>
          <w:szCs w:val="24"/>
          <w:lang w:val="en-US" w:eastAsia="zh-CN"/>
        </w:rPr>
        <w:t xml:space="preserve">  </w:t>
      </w:r>
    </w:p>
    <w:p w14:paraId="3B61D1B1">
      <w:pPr>
        <w:numPr>
          <w:ilvl w:val="0"/>
          <w:numId w:val="0"/>
        </w:num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外壳：抗菌树脂  袖带：抗菌布套</w:t>
      </w:r>
    </w:p>
    <w:p w14:paraId="062396AF">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★15</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臂筒组件交换功能：臂筒可自主拆卸更换，并具备自检自校功能；</w:t>
      </w:r>
    </w:p>
    <w:p w14:paraId="2B10A436">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16</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语音功能： 测量全程语音提示，测量结束播报测量结果；</w:t>
      </w:r>
    </w:p>
    <w:p w14:paraId="13C3ACC5">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17</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用户教育： 根据测量结果，显示提示信息；</w:t>
      </w:r>
    </w:p>
    <w:p w14:paraId="071C278E">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18</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通信数据输出：USB数据传输；</w:t>
      </w:r>
    </w:p>
    <w:p w14:paraId="0419E125">
      <w:r>
        <w:rPr>
          <w:rFonts w:hint="eastAsia" w:ascii="宋体" w:hAnsi="宋体" w:eastAsia="宋体" w:cs="宋体"/>
          <w:sz w:val="24"/>
          <w:szCs w:val="24"/>
          <w:lang w:eastAsia="zh-CN"/>
        </w:rPr>
        <w:t>★19</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提供数据接口，与医院信息数据互传，费用包含在</w:t>
      </w:r>
      <w:r>
        <w:rPr>
          <w:rFonts w:hint="eastAsia" w:ascii="宋体" w:hAnsi="宋体" w:eastAsia="宋体" w:cs="宋体"/>
          <w:sz w:val="24"/>
          <w:szCs w:val="24"/>
          <w:lang w:val="en-US" w:eastAsia="zh-CN"/>
        </w:rPr>
        <w:t>参选</w:t>
      </w:r>
      <w:r>
        <w:rPr>
          <w:rFonts w:hint="eastAsia" w:ascii="宋体" w:hAnsi="宋体" w:eastAsia="宋体" w:cs="宋体"/>
          <w:sz w:val="24"/>
          <w:szCs w:val="24"/>
          <w:lang w:eastAsia="zh-CN"/>
        </w:rPr>
        <w:t>总价中</w:t>
      </w:r>
      <w:r>
        <w:rPr>
          <w:rFonts w:hint="eastAsia" w:ascii="宋体" w:hAnsi="宋体" w:eastAsia="宋体" w:cs="宋体"/>
          <w:b w:val="0"/>
          <w:bCs w:val="0"/>
          <w:color w:val="000000"/>
          <w:sz w:val="24"/>
          <w:szCs w:val="24"/>
          <w:lang w:eastAsia="zh-CN"/>
        </w:rPr>
        <w:t>。</w:t>
      </w: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540E8C"/>
    <w:multiLevelType w:val="singleLevel"/>
    <w:tmpl w:val="F9540E8C"/>
    <w:lvl w:ilvl="0" w:tentative="0">
      <w:start w:val="1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A00393"/>
    <w:rsid w:val="19A00393"/>
    <w:rsid w:val="41C42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3"/>
    <w:basedOn w:val="1"/>
    <w:next w:val="1"/>
    <w:semiHidden/>
    <w:unhideWhenUsed/>
    <w:qFormat/>
    <w:uiPriority w:val="9"/>
    <w:pPr>
      <w:keepNext/>
      <w:keepLines/>
      <w:spacing w:before="260" w:after="260" w:line="416" w:lineRule="auto"/>
      <w:outlineLvl w:val="2"/>
    </w:pPr>
    <w:rPr>
      <w:b/>
      <w:bCs/>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D&amp;L"/>
    <w:basedOn w:val="4"/>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8">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2026-08-04T08:37:00Z</dcterms:created>
  <dc:creator>w</dc:creator>
  <cp:lastModifiedBy>w</cp:lastModifiedBy>
  <dcterms:modified xsi:type="dcterms:W3CDTF">2026-08-04T08:38:18Z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A008DCBDC4AC467C843550749FA12C5F_13</vt:lpwstr>
  </property>
  <property fmtid="{D5CDD505-2E9C-101B-9397-08002B2CF9AE}" pid="4" name="KSOTemplateDocerSaveRecord">
    <vt:lpwstr>eyJoZGlkIjoiZWUyOTQ1NDM2Zjc0YjU0MjZhMWI3YTAyMzgxNTM2MDQiLCJ1c2VySWQiOiI0NjEyMTI0ODEifQ==</vt:lpwstr>
  </property>
</Properties>
</file>