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A7F61">
      <w:pPr>
        <w:pStyle w:val="6"/>
        <w:numPr>
          <w:ilvl w:val="0"/>
          <w:numId w:val="0"/>
        </w:numPr>
        <w:spacing w:before="240" w:after="240"/>
        <w:ind w:left="2693" w:leftChars="0" w:hanging="1275" w:firstLineChars="0"/>
        <w:rPr>
          <w:sz w:val="32"/>
          <w:szCs w:val="32"/>
          <w:highlight w:val="none"/>
        </w:rPr>
      </w:pPr>
      <w:bookmarkStart w:id="0" w:name="_Toc6891"/>
      <w:r>
        <w:rPr>
          <w:rFonts w:hint="eastAsia"/>
          <w:sz w:val="32"/>
          <w:szCs w:val="32"/>
          <w:highlight w:val="none"/>
        </w:rPr>
        <w:t>采购需求</w:t>
      </w:r>
      <w:bookmarkEnd w:id="0"/>
    </w:p>
    <w:p w14:paraId="55433DD6">
      <w:pPr>
        <w:spacing w:line="360" w:lineRule="auto"/>
        <w:rPr>
          <w:rFonts w:hint="eastAsia" w:ascii="宋体" w:hAnsi="宋体" w:cs="宋体"/>
          <w:b/>
          <w:bCs/>
          <w:szCs w:val="24"/>
          <w:highlight w:val="none"/>
        </w:rPr>
      </w:pPr>
      <w:bookmarkStart w:id="1" w:name="_Toc481227638"/>
      <w:r>
        <w:rPr>
          <w:rFonts w:hint="eastAsia" w:ascii="宋体" w:hAnsi="宋体" w:cs="宋体"/>
          <w:b/>
          <w:bCs/>
          <w:szCs w:val="24"/>
          <w:highlight w:val="none"/>
        </w:rPr>
        <w:t>总则：以下条款如参选人参与参选，视为参选人自动响应。</w:t>
      </w:r>
    </w:p>
    <w:p w14:paraId="593A8577">
      <w:pPr>
        <w:spacing w:line="360" w:lineRule="auto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1、</w:t>
      </w:r>
      <w:r>
        <w:rPr>
          <w:rFonts w:hint="eastAsia" w:ascii="宋体" w:hAnsi="宋体" w:cs="宋体"/>
          <w:b/>
          <w:bCs/>
          <w:szCs w:val="24"/>
          <w:highlight w:val="none"/>
          <w:lang w:val="en-US" w:eastAsia="zh-CN"/>
        </w:rPr>
        <w:t>参选</w:t>
      </w:r>
      <w:r>
        <w:rPr>
          <w:rFonts w:hint="eastAsia" w:ascii="宋体" w:hAnsi="宋体" w:cs="宋体"/>
          <w:b/>
          <w:bCs/>
          <w:szCs w:val="24"/>
          <w:highlight w:val="none"/>
        </w:rPr>
        <w:t>产品信息接口全部免费开放，并按采购人要求</w:t>
      </w:r>
      <w:bookmarkStart w:id="17" w:name="_GoBack"/>
      <w:bookmarkEnd w:id="17"/>
      <w:r>
        <w:rPr>
          <w:rFonts w:hint="eastAsia" w:ascii="宋体" w:hAnsi="宋体" w:cs="宋体"/>
          <w:b/>
          <w:bCs/>
          <w:szCs w:val="24"/>
          <w:highlight w:val="none"/>
        </w:rPr>
        <w:t>无条件免费与医院相关信息系统对接；</w:t>
      </w:r>
    </w:p>
    <w:p w14:paraId="5E5B8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  <w:highlight w:val="none"/>
          <w:lang w:val="en-US" w:eastAsia="zh-CN" w:bidi="ar-SA"/>
        </w:rPr>
      </w:pPr>
    </w:p>
    <w:p w14:paraId="46DF0F3F">
      <w:pPr>
        <w:pStyle w:val="2"/>
        <w:rPr>
          <w:rFonts w:hint="eastAsia"/>
          <w:highlight w:val="none"/>
          <w:lang w:val="en-US" w:eastAsia="zh-CN"/>
        </w:rPr>
      </w:pPr>
    </w:p>
    <w:p w14:paraId="667C80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系统功能</w:t>
      </w:r>
      <w:bookmarkStart w:id="2" w:name="heading_2"/>
    </w:p>
    <w:p w14:paraId="4C8F271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预问诊系统</w:t>
      </w:r>
      <w:bookmarkEnd w:id="2"/>
      <w:bookmarkStart w:id="3" w:name="heading_3"/>
    </w:p>
    <w:p w14:paraId="195707D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采集应用</w:t>
      </w:r>
      <w:bookmarkEnd w:id="3"/>
    </w:p>
    <w:p w14:paraId="5FAEE717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程序入口：</w:t>
      </w:r>
    </w:p>
    <w:p w14:paraId="2ADDD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支持二维码、PAD、微信公众号及第三方APP集成进入，入口响应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3秒，第三方接口适配主流医疗规范。</w:t>
      </w:r>
    </w:p>
    <w:p w14:paraId="0952B0A4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问诊模板使用：</w:t>
      </w:r>
    </w:p>
    <w:p w14:paraId="26362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支持按附件1模板录入，可按院方要求调整优化模板及接口，调整响应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2个工作日，改造后经院方测试确认上线。</w:t>
      </w:r>
    </w:p>
    <w:p w14:paraId="20585D3C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结构化输入：</w:t>
      </w:r>
    </w:p>
    <w:p w14:paraId="775AD9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支持单选、多选等结构化录入，点选流畅无漏选，输入框带联想提示，内容实时保存防丢失。</w:t>
      </w:r>
    </w:p>
    <w:p w14:paraId="18C8B91D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描述性内容：</w:t>
      </w:r>
    </w:p>
    <w:p w14:paraId="0A5C4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专业术语配口语化说明，准确无歧义，支持点击查看详细解读。</w:t>
      </w:r>
    </w:p>
    <w:p w14:paraId="4E161F68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拍照上传：</w:t>
      </w:r>
    </w:p>
    <w:p w14:paraId="382C2E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支持医疗报告拍照/本地上传，自动优化清晰度，支持主流格式，上传响应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5秒，可预览、删除。</w:t>
      </w:r>
    </w:p>
    <w:p w14:paraId="4D96BE8E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病史智能生成：</w:t>
      </w:r>
    </w:p>
    <w:p w14:paraId="2D3AFD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依据患者回答自动生成结构化病史，准确率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低于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95%，涵盖核心内容，支持手动修正。</w:t>
      </w:r>
    </w:p>
    <w:p w14:paraId="76298D9D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修改已回答的问题：</w:t>
      </w:r>
    </w:p>
    <w:p w14:paraId="49087D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采集过程中可重答已答问题，关联内容自动同步，修改记录可追溯。</w:t>
      </w:r>
    </w:p>
    <w:p w14:paraId="3E8B8B84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修改病史：</w:t>
      </w:r>
    </w:p>
    <w:p w14:paraId="26C46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采集结束后可返回修改，修改后需提交确认，数据实时同步后台。</w:t>
      </w:r>
    </w:p>
    <w:p w14:paraId="66C0ECB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4" w:name="heading_4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特色功能</w:t>
      </w:r>
      <w:bookmarkEnd w:id="4"/>
    </w:p>
    <w:p w14:paraId="451B1F08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文字识别功能（OCR）：</w:t>
      </w:r>
    </w:p>
    <w:p w14:paraId="7F444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可识别报告图片转文字，支持模糊、倾斜图片，识别后可编辑，减少手动录入。</w:t>
      </w:r>
    </w:p>
    <w:p w14:paraId="13ED51CB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AI智能分析：</w:t>
      </w:r>
    </w:p>
    <w:p w14:paraId="75DBF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依据采集信息提供初步辅助诊断，基于权威知识库，响应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10秒，供医生参考。</w:t>
      </w:r>
    </w:p>
    <w:p w14:paraId="19C67B6A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病史采集说明：</w:t>
      </w:r>
    </w:p>
    <w:p w14:paraId="63A21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主页面展示使用说明，步骤清晰含常见问题，支持图文结合，便于理解。</w:t>
      </w:r>
    </w:p>
    <w:p w14:paraId="1818EA07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既往病史信息展示：</w:t>
      </w:r>
    </w:p>
    <w:p w14:paraId="22DB5B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复诊患者可查看过往病史，支持按时间排序对比，查询响应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2秒，减少重复采集。</w:t>
      </w:r>
    </w:p>
    <w:p w14:paraId="3379F0FB">
      <w:pPr>
        <w:keepNext w:val="0"/>
        <w:keepLines w:val="0"/>
        <w:pageBreakBefore w:val="0"/>
        <w:widowControl w:val="0"/>
        <w:numPr>
          <w:ilvl w:val="1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病史采集进度展示：</w:t>
      </w:r>
    </w:p>
    <w:p w14:paraId="2F426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实时显示采集进度，提示当前章节及剩余问题，支持跳转未完成章节。</w:t>
      </w:r>
    </w:p>
    <w:p w14:paraId="0E1297F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5" w:name="heading_5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后台管理</w:t>
      </w:r>
      <w:bookmarkEnd w:id="5"/>
    </w:p>
    <w:p w14:paraId="48EDD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提供完善后台管理，支持医院、科室、个人三级模板管理，可视化编辑模板，集成医学量表、多维度统计及完整操作日志。后台响应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2秒，并发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不少于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50人，运行稳定无数据丢失。</w:t>
      </w:r>
    </w:p>
    <w:p w14:paraId="03A6175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6" w:name="heading_6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模板管理</w:t>
      </w:r>
      <w:bookmarkEnd w:id="6"/>
    </w:p>
    <w:p w14:paraId="17BB8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支持三级模板管理，权限区分清晰；支持模板复制、导入导出，可管理模板启用/禁用状态，启用实时生效。</w:t>
      </w:r>
    </w:p>
    <w:p w14:paraId="2451928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7" w:name="heading_7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模板编辑器</w:t>
      </w:r>
      <w:bookmarkEnd w:id="7"/>
    </w:p>
    <w:p w14:paraId="2CAA4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可视化操作，无需编程，可维护病历章节、问题及关联逻辑，支持预览，可自定义结构化病历格式，符合医院规范。</w:t>
      </w:r>
    </w:p>
    <w:p w14:paraId="5EDB779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8" w:name="heading_8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医学量表</w:t>
      </w:r>
      <w:bookmarkEnd w:id="8"/>
    </w:p>
    <w:p w14:paraId="2D45F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内置麻醉相关量表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如ASA分级、Mallampati评分、METs评估等）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，支持自定义编辑，评测后自动生成结果及解读，同步医生，可导出关联病史。</w:t>
      </w:r>
    </w:p>
    <w:p w14:paraId="49BC2F7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9" w:name="heading_9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统计报表</w:t>
      </w:r>
      <w:bookmarkEnd w:id="9"/>
    </w:p>
    <w:p w14:paraId="2A84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支持多维度图形化报表，可按条件筛选，支持导出打印，数据实时更新，助力运营决策。</w:t>
      </w:r>
    </w:p>
    <w:p w14:paraId="5B6BF5A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10" w:name="heading_10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日志管理</w:t>
      </w:r>
      <w:bookmarkEnd w:id="10"/>
    </w:p>
    <w:p w14:paraId="19403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记录用户登录及操作日志，保存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不少于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3年，支持多条件检索导出，日志不可篡改，满足可追溯审计要求。</w:t>
      </w:r>
    </w:p>
    <w:p w14:paraId="6DA44C7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11" w:name="heading_11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业务集成</w:t>
      </w:r>
      <w:bookmarkEnd w:id="11"/>
    </w:p>
    <w:p w14:paraId="3DDBE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完成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与HIS、EMR对接，遵循互联互通标准，病史数据回写延迟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1分钟，对接身份认证系统，配合医院完成测试，不影响原有系统运行。</w:t>
      </w:r>
    </w:p>
    <w:p w14:paraId="27E48AC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随访功能</w:t>
      </w:r>
    </w:p>
    <w:p w14:paraId="350CC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诊疗结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束后（无痛胃肠镜完成），提供随访问卷。公众号推送患者填写后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相关数据（如不良反应）反馈至麻醉评估系统，形成质量改进闭环。</w:t>
      </w:r>
    </w:p>
    <w:p w14:paraId="37CFBB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12" w:name="heading_12"/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硬件资源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及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费用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要求</w:t>
      </w:r>
      <w:bookmarkEnd w:id="12"/>
    </w:p>
    <w:p w14:paraId="0875B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★本项目所含接口对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接、接口开发及系统改造全部工作内容均包含在本合同价款范围内；本项目实施及运行所需服务器资源、物理存储、云服务器及云存储等硬件与资源费用，由成交人自行提供；本项目为总价包干、费用全包模式，采购人无需另行支付其他相关费用。</w:t>
      </w:r>
    </w:p>
    <w:p w14:paraId="174B42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bookmarkStart w:id="13" w:name="heading_13"/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功能与应用服务</w:t>
      </w:r>
      <w:bookmarkEnd w:id="13"/>
    </w:p>
    <w:p w14:paraId="27FE544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支持电话、远程、现场协助，现场支持24小时内到场（异地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48小时）。</w:t>
      </w:r>
    </w:p>
    <w:p w14:paraId="42581ED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提供功能咨询，工作时间响应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小时，非工作时间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4小时，支持多方式咨询。</w:t>
      </w:r>
    </w:p>
    <w:p w14:paraId="44BB496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协助排查故障，一般故障响应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2小时、解决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24小时，重大故障响应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30分钟、解决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4小时，必要时提供临时方案。</w:t>
      </w:r>
    </w:p>
    <w:p w14:paraId="59ED071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协助调整报表，响应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不超过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2个工作日，修改后经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确认生效。</w:t>
      </w:r>
    </w:p>
    <w:p w14:paraId="04AD4DF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未经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审批，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不得擅自修改系统相关内容，违规需及时恢复并承担技术责任。</w:t>
      </w:r>
    </w:p>
    <w:p w14:paraId="581AA95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提供免费培训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不少于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2次，含培训手册，支持后续补充培训。</w:t>
      </w:r>
    </w:p>
    <w:p w14:paraId="32F988C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免费版本升级，提前7天通知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，避开高峰，升级后提供说明文档。</w:t>
      </w:r>
    </w:p>
    <w:p w14:paraId="2D562E7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协助数据备份恢复，每季度检查数据，支持数据导入导出。</w:t>
      </w:r>
    </w:p>
    <w:p w14:paraId="2722E3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bookmarkStart w:id="14" w:name="heading_14"/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保密条款</w:t>
      </w:r>
      <w:bookmarkEnd w:id="14"/>
    </w:p>
    <w:p w14:paraId="1E056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提供的数据资料为商业机密及隐私，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不得泄露、转让或违规使用。</w:t>
      </w:r>
    </w:p>
    <w:p w14:paraId="08509B7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建立保密制度，加密存储数据，专人负责，防止泄露丢失。</w:t>
      </w:r>
    </w:p>
    <w:p w14:paraId="04AE606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工作人员签订保密协议，违规需承担责任并赔偿损失。</w:t>
      </w:r>
    </w:p>
    <w:p w14:paraId="11A7ADC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合同终止后，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按要求删除返还所有数据，不得留存副本，接受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核查。</w:t>
      </w:r>
    </w:p>
    <w:p w14:paraId="2F38FA1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配合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安全合规检查，提供相关证明材料。</w:t>
      </w:r>
    </w:p>
    <w:p w14:paraId="4762A7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bookmarkStart w:id="15" w:name="heading_17"/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系统安全要求</w:t>
      </w:r>
      <w:bookmarkEnd w:id="15"/>
    </w:p>
    <w:p w14:paraId="1A4B5D8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符合国家相关法规及医疗安全规范，具备完善安全防护，防范各类安全风险。</w:t>
      </w:r>
    </w:p>
    <w:p w14:paraId="1F04D09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数据传输存储加密，支持备份及灾难恢复，突发情况可快速恢复系统数据。</w:t>
      </w:r>
    </w:p>
    <w:p w14:paraId="1BE3C6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维保服务</w:t>
      </w:r>
    </w:p>
    <w:p w14:paraId="5038DA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1.提供3年免费维保。</w:t>
      </w:r>
    </w:p>
    <w:p w14:paraId="536B9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16" w:name="heading_18"/>
    </w:p>
    <w:p w14:paraId="207D5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 w14:paraId="6B1AB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附件1：采集模板</w:t>
      </w:r>
      <w:bookmarkEnd w:id="16"/>
    </w:p>
    <w:p w14:paraId="5676F8B5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身高：______ 厘米</w:t>
      </w:r>
    </w:p>
    <w:p w14:paraId="4BA503D1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体重：______ 公斤</w:t>
      </w:r>
    </w:p>
    <w:p w14:paraId="680535B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您本次麻醉评估对应的诊疗项目：□胃肠镜 □人流 □取卵 □宫腔镜 □诊断刮宫 □气管镜 □手术 □其他：____________</w:t>
      </w:r>
    </w:p>
    <w:p w14:paraId="13D067C4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牙齿缺齿或活动假牙：□ 无  □ 有</w:t>
      </w:r>
    </w:p>
    <w:p w14:paraId="08163B5B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牙齿松动：□ 无  □ 有</w:t>
      </w:r>
    </w:p>
    <w:p w14:paraId="08DBF528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近2周有呼吸道感染（咳嗽/咳痰/流涕/发热皆算）：□ 无  □ 有</w:t>
      </w:r>
    </w:p>
    <w:p w14:paraId="180AA3A7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曾有过药物或食物过敏（过敏史）：□ 无  □ 有</w:t>
      </w:r>
    </w:p>
    <w:p w14:paraId="5E61E112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曾接受过手术（手术史）：□ 无  □ 有</w:t>
      </w:r>
    </w:p>
    <w:p w14:paraId="5698B627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曾接受过麻醉：□ 无  □ 有</w:t>
      </w:r>
    </w:p>
    <w:p w14:paraId="63FA050C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曾发生麻醉并发症（恶性高热、严重恶心呕吐或插管困难等）：□ 无  □ 有</w:t>
      </w:r>
    </w:p>
    <w:p w14:paraId="035A867A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曾诊断或怀疑有下列疾病：□ 高血压 □ 冠心病/心肌梗死 □ 心律失常 □ 身体内有植入物 □ 慢性阻塞性肺疾病 □ 哮喘 □ 睡眠呼吸暂停 □ 糖尿病 □ 甲状腺疾病 □ 脑梗 □ 脑出血 □ 癫痫 □ 青光眼 □ 其他疾病：______________________</w:t>
      </w:r>
    </w:p>
    <w:p w14:paraId="04938D88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吸烟：□ 无  □ 有  --既往史 （无：空，有：吸烟）</w:t>
      </w:r>
    </w:p>
    <w:p w14:paraId="502FEA4F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酗酒：□ 无  □ 有  --既往史（无：空，有：酗酒）</w:t>
      </w:r>
    </w:p>
    <w:p w14:paraId="16D72A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其他您觉得需说明的问题：______________________</w:t>
      </w:r>
    </w:p>
    <w:p w14:paraId="57180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szCs w:val="21"/>
          <w:highlight w:val="none"/>
        </w:rPr>
      </w:pPr>
    </w:p>
    <w:p w14:paraId="4C86CEFD">
      <w:pPr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7D1FDDD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</w:p>
    <w:p w14:paraId="790F4A42">
      <w:pPr>
        <w:pStyle w:val="7"/>
        <w:ind w:firstLine="0" w:firstLineChars="0"/>
        <w:jc w:val="left"/>
        <w:rPr>
          <w:rFonts w:hint="default" w:ascii="Calibri" w:hAnsi="Calibri" w:eastAsia="宋体" w:cs="Calibri"/>
          <w:b/>
          <w:bCs/>
          <w:color w:val="auto"/>
          <w:spacing w:val="1"/>
          <w:highlight w:val="none"/>
          <w:lang w:val="en-US" w:eastAsia="zh-CN"/>
        </w:rPr>
      </w:pPr>
      <w:r>
        <w:rPr>
          <w:rFonts w:hint="eastAsia" w:ascii="Calibri" w:hAnsi="Calibri" w:cs="Calibri"/>
          <w:b/>
          <w:bCs/>
          <w:color w:val="auto"/>
          <w:spacing w:val="1"/>
          <w:highlight w:val="none"/>
          <w:lang w:val="en-US" w:eastAsia="zh-CN"/>
        </w:rPr>
        <w:t>备注：本章中所有</w:t>
      </w:r>
      <w:r>
        <w:rPr>
          <w:rFonts w:hint="eastAsia"/>
          <w:b/>
          <w:bCs/>
          <w:color w:val="auto"/>
          <w:lang w:val="en-US" w:eastAsia="zh-CN"/>
        </w:rPr>
        <w:t>参数</w:t>
      </w:r>
      <w:r>
        <w:rPr>
          <w:rFonts w:hint="eastAsia" w:ascii="宋体" w:hAnsi="宋体" w:cs="宋体"/>
          <w:b/>
          <w:bCs/>
          <w:szCs w:val="24"/>
          <w:highlight w:val="none"/>
        </w:rPr>
        <w:t>必须全部响应</w:t>
      </w:r>
      <w:r>
        <w:rPr>
          <w:rFonts w:hint="eastAsia" w:ascii="宋体" w:hAnsi="宋体" w:cs="宋体"/>
          <w:b/>
          <w:bCs/>
          <w:szCs w:val="24"/>
          <w:highlight w:val="none"/>
          <w:lang w:val="en-US" w:eastAsia="zh-CN"/>
        </w:rPr>
        <w:t>满足</w:t>
      </w:r>
      <w:r>
        <w:rPr>
          <w:rFonts w:hint="eastAsia" w:ascii="宋体" w:hAnsi="宋体" w:cs="宋体"/>
          <w:b/>
          <w:bCs/>
          <w:szCs w:val="24"/>
          <w:highlight w:val="none"/>
        </w:rPr>
        <w:t>，不得</w:t>
      </w:r>
      <w:r>
        <w:rPr>
          <w:rFonts w:hint="eastAsia" w:ascii="宋体" w:hAnsi="宋体" w:cs="宋体"/>
          <w:b/>
          <w:bCs/>
          <w:szCs w:val="24"/>
          <w:highlight w:val="none"/>
          <w:lang w:val="en-US" w:eastAsia="zh-CN"/>
        </w:rPr>
        <w:t>负</w:t>
      </w:r>
      <w:r>
        <w:rPr>
          <w:rFonts w:hint="eastAsia" w:ascii="宋体" w:hAnsi="宋体" w:cs="宋体"/>
          <w:b/>
          <w:bCs/>
          <w:szCs w:val="24"/>
          <w:highlight w:val="none"/>
        </w:rPr>
        <w:t>偏离，否则做无效</w:t>
      </w:r>
      <w:r>
        <w:rPr>
          <w:rFonts w:hint="eastAsia" w:ascii="宋体" w:hAnsi="宋体" w:cs="宋体"/>
          <w:b/>
          <w:bCs/>
          <w:szCs w:val="24"/>
          <w:highlight w:val="none"/>
          <w:lang w:val="en-US" w:eastAsia="zh-CN"/>
        </w:rPr>
        <w:t>参选</w:t>
      </w:r>
      <w:r>
        <w:rPr>
          <w:rFonts w:hint="eastAsia" w:ascii="宋体" w:hAnsi="宋体" w:cs="宋体"/>
          <w:b/>
          <w:bCs/>
          <w:szCs w:val="24"/>
          <w:highlight w:val="none"/>
        </w:rPr>
        <w:t>处理。</w:t>
      </w:r>
    </w:p>
    <w:bookmarkEnd w:id="1"/>
    <w:p w14:paraId="18BC8F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EB125"/>
    <w:multiLevelType w:val="singleLevel"/>
    <w:tmpl w:val="8CAEB125"/>
    <w:lvl w:ilvl="0" w:tentative="0">
      <w:start w:val="2"/>
      <w:numFmt w:val="decimal"/>
      <w:lvlText w:val="%1."/>
      <w:lvlJc w:val="left"/>
      <w:rPr>
        <w:rFonts w:hint="default"/>
        <w:color w:val="auto"/>
      </w:rPr>
    </w:lvl>
  </w:abstractNum>
  <w:abstractNum w:abstractNumId="1">
    <w:nsid w:val="D7D140E4"/>
    <w:multiLevelType w:val="singleLevel"/>
    <w:tmpl w:val="D7D140E4"/>
    <w:lvl w:ilvl="0" w:tentative="0">
      <w:start w:val="10"/>
      <w:numFmt w:val="decimal"/>
      <w:lvlText w:val="%1."/>
      <w:lvlJc w:val="left"/>
      <w:rPr>
        <w:rFonts w:hint="default"/>
        <w:color w:val="auto"/>
      </w:rPr>
    </w:lvl>
  </w:abstractNum>
  <w:abstractNum w:abstractNumId="2">
    <w:nsid w:val="DC16FEE6"/>
    <w:multiLevelType w:val="singleLevel"/>
    <w:tmpl w:val="DC16FE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EAA25D79"/>
    <w:multiLevelType w:val="multilevel"/>
    <w:tmpl w:val="EAA25D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F0E89278"/>
    <w:multiLevelType w:val="singleLevel"/>
    <w:tmpl w:val="F0E89278"/>
    <w:lvl w:ilvl="0" w:tentative="0">
      <w:start w:val="13"/>
      <w:numFmt w:val="decimal"/>
      <w:lvlText w:val="%1."/>
      <w:lvlJc w:val="left"/>
      <w:rPr>
        <w:rFonts w:hint="default"/>
        <w:color w:val="auto"/>
      </w:rPr>
    </w:lvl>
  </w:abstractNum>
  <w:abstractNum w:abstractNumId="5">
    <w:nsid w:val="00000001"/>
    <w:multiLevelType w:val="multilevel"/>
    <w:tmpl w:val="00000001"/>
    <w:lvl w:ilvl="0" w:tentative="0">
      <w:start w:val="1"/>
      <w:numFmt w:val="japaneseCounting"/>
      <w:pStyle w:val="3"/>
      <w:lvlText w:val="第%1章"/>
      <w:lvlJc w:val="left"/>
      <w:pPr>
        <w:tabs>
          <w:tab w:val="left" w:pos="9497"/>
        </w:tabs>
        <w:ind w:left="9497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lvlText w:val="%2、"/>
      <w:lvlJc w:val="left"/>
      <w:pPr>
        <w:tabs>
          <w:tab w:val="left" w:pos="1892"/>
        </w:tabs>
        <w:ind w:left="192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252"/>
        </w:tabs>
        <w:ind w:left="2252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2"/>
        </w:tabs>
        <w:ind w:left="267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2"/>
        </w:tabs>
        <w:ind w:left="309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2"/>
        </w:tabs>
        <w:ind w:left="3512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2"/>
        </w:tabs>
        <w:ind w:left="393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2"/>
        </w:tabs>
        <w:ind w:left="435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2"/>
        </w:tabs>
        <w:ind w:left="4772" w:hanging="420"/>
      </w:pPr>
    </w:lvl>
  </w:abstractNum>
  <w:abstractNum w:abstractNumId="6">
    <w:nsid w:val="04E9ACBC"/>
    <w:multiLevelType w:val="singleLevel"/>
    <w:tmpl w:val="04E9ACB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0709FD3E"/>
    <w:multiLevelType w:val="singleLevel"/>
    <w:tmpl w:val="0709FD3E"/>
    <w:lvl w:ilvl="0" w:tentative="0">
      <w:start w:val="8"/>
      <w:numFmt w:val="decimal"/>
      <w:lvlText w:val="%1."/>
      <w:lvlJc w:val="left"/>
      <w:rPr>
        <w:rFonts w:hint="default"/>
        <w:color w:val="auto"/>
      </w:rPr>
    </w:lvl>
  </w:abstractNum>
  <w:abstractNum w:abstractNumId="8">
    <w:nsid w:val="0CEF100B"/>
    <w:multiLevelType w:val="singleLevel"/>
    <w:tmpl w:val="0CEF100B"/>
    <w:lvl w:ilvl="0" w:tentative="0">
      <w:start w:val="9"/>
      <w:numFmt w:val="decimal"/>
      <w:lvlText w:val="%1."/>
      <w:lvlJc w:val="left"/>
      <w:rPr>
        <w:rFonts w:hint="default"/>
        <w:color w:val="auto"/>
      </w:rPr>
    </w:lvl>
  </w:abstractNum>
  <w:abstractNum w:abstractNumId="9">
    <w:nsid w:val="1ACDE60F"/>
    <w:multiLevelType w:val="singleLevel"/>
    <w:tmpl w:val="1ACDE60F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10">
    <w:nsid w:val="1C257C7B"/>
    <w:multiLevelType w:val="singleLevel"/>
    <w:tmpl w:val="1C257C7B"/>
    <w:lvl w:ilvl="0" w:tentative="0">
      <w:start w:val="12"/>
      <w:numFmt w:val="decimal"/>
      <w:lvlText w:val="%1."/>
      <w:lvlJc w:val="left"/>
      <w:rPr>
        <w:rFonts w:hint="default"/>
        <w:color w:val="auto"/>
      </w:rPr>
    </w:lvl>
  </w:abstractNum>
  <w:abstractNum w:abstractNumId="11">
    <w:nsid w:val="322D85CA"/>
    <w:multiLevelType w:val="singleLevel"/>
    <w:tmpl w:val="322D85CA"/>
    <w:lvl w:ilvl="0" w:tentative="0">
      <w:start w:val="6"/>
      <w:numFmt w:val="decimal"/>
      <w:lvlText w:val="%1."/>
      <w:lvlJc w:val="left"/>
      <w:rPr>
        <w:rFonts w:hint="default"/>
        <w:color w:val="auto"/>
      </w:rPr>
    </w:lvl>
  </w:abstractNum>
  <w:abstractNum w:abstractNumId="12">
    <w:nsid w:val="32A7AF2D"/>
    <w:multiLevelType w:val="singleLevel"/>
    <w:tmpl w:val="32A7AF2D"/>
    <w:lvl w:ilvl="0" w:tentative="0">
      <w:start w:val="11"/>
      <w:numFmt w:val="decimal"/>
      <w:lvlText w:val="%1."/>
      <w:lvlJc w:val="left"/>
      <w:rPr>
        <w:rFonts w:hint="default"/>
        <w:color w:val="auto"/>
      </w:rPr>
    </w:lvl>
  </w:abstractNum>
  <w:abstractNum w:abstractNumId="13">
    <w:nsid w:val="4C3D7A74"/>
    <w:multiLevelType w:val="singleLevel"/>
    <w:tmpl w:val="4C3D7A74"/>
    <w:lvl w:ilvl="0" w:tentative="0">
      <w:start w:val="5"/>
      <w:numFmt w:val="decimal"/>
      <w:lvlText w:val="%1."/>
      <w:lvlJc w:val="left"/>
      <w:rPr>
        <w:rFonts w:hint="default"/>
        <w:color w:val="auto"/>
      </w:rPr>
    </w:lvl>
  </w:abstractNum>
  <w:abstractNum w:abstractNumId="14">
    <w:nsid w:val="4E86F5F1"/>
    <w:multiLevelType w:val="singleLevel"/>
    <w:tmpl w:val="4E86F5F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5">
    <w:nsid w:val="5D896227"/>
    <w:multiLevelType w:val="singleLevel"/>
    <w:tmpl w:val="5D896227"/>
    <w:lvl w:ilvl="0" w:tentative="0">
      <w:start w:val="1"/>
      <w:numFmt w:val="decimal"/>
      <w:lvlText w:val="%1."/>
      <w:lvlJc w:val="left"/>
      <w:pPr>
        <w:ind w:left="423" w:hanging="425"/>
      </w:pPr>
      <w:rPr>
        <w:rFonts w:hint="default"/>
      </w:rPr>
    </w:lvl>
  </w:abstractNum>
  <w:abstractNum w:abstractNumId="16">
    <w:nsid w:val="5EFCE761"/>
    <w:multiLevelType w:val="singleLevel"/>
    <w:tmpl w:val="5EFCE76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5FFFB1A7"/>
    <w:multiLevelType w:val="singleLevel"/>
    <w:tmpl w:val="5FFFB1A7"/>
    <w:lvl w:ilvl="0" w:tentative="0">
      <w:start w:val="3"/>
      <w:numFmt w:val="decimal"/>
      <w:lvlText w:val="%1."/>
      <w:lvlJc w:val="left"/>
      <w:rPr>
        <w:rFonts w:hint="default"/>
        <w:color w:val="auto"/>
      </w:rPr>
    </w:lvl>
  </w:abstractNum>
  <w:abstractNum w:abstractNumId="18">
    <w:nsid w:val="64BE7EB6"/>
    <w:multiLevelType w:val="multilevel"/>
    <w:tmpl w:val="64BE7EB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9">
    <w:nsid w:val="65CD0074"/>
    <w:multiLevelType w:val="singleLevel"/>
    <w:tmpl w:val="65CD0074"/>
    <w:lvl w:ilvl="0" w:tentative="0">
      <w:start w:val="7"/>
      <w:numFmt w:val="decimal"/>
      <w:lvlText w:val="%1."/>
      <w:lvlJc w:val="left"/>
      <w:rPr>
        <w:rFonts w:hint="default"/>
        <w:color w:val="auto"/>
      </w:rPr>
    </w:lvl>
  </w:abstractNum>
  <w:abstractNum w:abstractNumId="20">
    <w:nsid w:val="74C28B35"/>
    <w:multiLevelType w:val="singleLevel"/>
    <w:tmpl w:val="74C28B35"/>
    <w:lvl w:ilvl="0" w:tentative="0">
      <w:start w:val="4"/>
      <w:numFmt w:val="decimal"/>
      <w:lvlText w:val="%1."/>
      <w:lvlJc w:val="left"/>
      <w:rPr>
        <w:rFonts w:hint="default"/>
        <w:color w:val="auto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3"/>
  </w:num>
  <w:num w:numId="5">
    <w:abstractNumId w:val="18"/>
  </w:num>
  <w:num w:numId="6">
    <w:abstractNumId w:val="15"/>
  </w:num>
  <w:num w:numId="7">
    <w:abstractNumId w:val="16"/>
  </w:num>
  <w:num w:numId="8">
    <w:abstractNumId w:val="2"/>
  </w:num>
  <w:num w:numId="9">
    <w:abstractNumId w:val="9"/>
  </w:num>
  <w:num w:numId="10">
    <w:abstractNumId w:val="0"/>
  </w:num>
  <w:num w:numId="11">
    <w:abstractNumId w:val="17"/>
  </w:num>
  <w:num w:numId="12">
    <w:abstractNumId w:val="20"/>
  </w:num>
  <w:num w:numId="13">
    <w:abstractNumId w:val="13"/>
  </w:num>
  <w:num w:numId="14">
    <w:abstractNumId w:val="11"/>
  </w:num>
  <w:num w:numId="15">
    <w:abstractNumId w:val="19"/>
  </w:num>
  <w:num w:numId="16">
    <w:abstractNumId w:val="7"/>
  </w:num>
  <w:num w:numId="17">
    <w:abstractNumId w:val="8"/>
  </w:num>
  <w:num w:numId="18">
    <w:abstractNumId w:val="1"/>
  </w:num>
  <w:num w:numId="19">
    <w:abstractNumId w:val="12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44C06"/>
    <w:rsid w:val="69D4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1"/>
    </w:rPr>
  </w:style>
  <w:style w:type="paragraph" w:customStyle="1" w:styleId="6">
    <w:name w:val="!标题1 Ctrl+1"/>
    <w:basedOn w:val="3"/>
    <w:next w:val="7"/>
    <w:uiPriority w:val="0"/>
    <w:pPr>
      <w:keepNext w:val="0"/>
      <w:keepLines w:val="0"/>
      <w:pageBreakBefore/>
      <w:tabs>
        <w:tab w:val="left" w:pos="1800"/>
      </w:tabs>
      <w:snapToGrid w:val="0"/>
      <w:spacing w:before="312" w:beforeLines="100" w:after="312" w:afterLines="100" w:line="240" w:lineRule="auto"/>
      <w:jc w:val="center"/>
      <w:textAlignment w:val="auto"/>
    </w:pPr>
    <w:rPr>
      <w:rFonts w:ascii="Arial" w:hAnsi="Arial" w:eastAsia="黑体"/>
      <w:bCs/>
      <w:kern w:val="2"/>
      <w:szCs w:val="44"/>
    </w:rPr>
  </w:style>
  <w:style w:type="paragraph" w:customStyle="1" w:styleId="7">
    <w:name w:val="!我的正文 Ctr+Q"/>
    <w:basedOn w:val="1"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2026-07-06T09:22:00Z</dcterms:created>
  <dc:creator>w</dc:creator>
  <cp:lastModifiedBy>w</cp:lastModifiedBy>
  <dcterms:modified xsi:type="dcterms:W3CDTF">2026-07-06T09:22:34Z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19975C1E44C5411286A795CC276578A0_11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