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CFA4F">
      <w:pPr>
        <w:pStyle w:val="5"/>
        <w:numPr>
          <w:ilvl w:val="0"/>
          <w:numId w:val="0"/>
        </w:numPr>
        <w:spacing w:before="240" w:after="240"/>
        <w:ind w:left="2693" w:leftChars="0" w:hanging="1275" w:firstLineChars="0"/>
        <w:rPr>
          <w:sz w:val="32"/>
          <w:szCs w:val="32"/>
        </w:rPr>
      </w:pPr>
      <w:bookmarkStart w:id="1" w:name="_GoBack"/>
      <w:bookmarkEnd w:id="1"/>
      <w:bookmarkStart w:id="0" w:name="_Toc6891"/>
      <w:r>
        <w:rPr>
          <w:rFonts w:hint="eastAsia"/>
          <w:sz w:val="32"/>
          <w:szCs w:val="32"/>
        </w:rPr>
        <w:t>采购需求</w:t>
      </w:r>
      <w:bookmarkEnd w:id="0"/>
    </w:p>
    <w:p w14:paraId="4E5E6878">
      <w:pPr>
        <w:spacing w:line="360" w:lineRule="auto"/>
        <w:ind w:firstLine="480" w:firstLineChars="200"/>
        <w:rPr>
          <w:rFonts w:hint="eastAsia" w:ascii="宋体" w:hAnsi="宋体" w:cs="宋体"/>
          <w:szCs w:val="24"/>
        </w:rPr>
      </w:pPr>
      <w:r>
        <w:rPr>
          <w:rFonts w:hint="eastAsia" w:ascii="宋体" w:hAnsi="宋体" w:cs="宋体"/>
          <w:szCs w:val="24"/>
        </w:rPr>
        <w:t>一、维保要求</w:t>
      </w:r>
    </w:p>
    <w:p w14:paraId="60DC8887">
      <w:pPr>
        <w:spacing w:line="360" w:lineRule="auto"/>
        <w:ind w:firstLine="480" w:firstLineChars="200"/>
        <w:rPr>
          <w:rFonts w:hint="eastAsia" w:ascii="宋体" w:hAnsi="宋体" w:cs="宋体"/>
          <w:szCs w:val="24"/>
        </w:rPr>
      </w:pPr>
      <w:r>
        <w:rPr>
          <w:rFonts w:hint="eastAsia" w:ascii="宋体" w:hAnsi="宋体" w:cs="宋体"/>
          <w:szCs w:val="24"/>
        </w:rPr>
        <w:t>1.提供2年维保服务：年维保费用及配件更换维修费用需分别单独报价。</w:t>
      </w:r>
    </w:p>
    <w:p w14:paraId="747975D5">
      <w:pPr>
        <w:spacing w:line="360" w:lineRule="auto"/>
        <w:ind w:firstLine="480" w:firstLineChars="200"/>
        <w:rPr>
          <w:rFonts w:hint="eastAsia" w:ascii="宋体" w:hAnsi="宋体" w:cs="宋体"/>
          <w:szCs w:val="24"/>
        </w:rPr>
      </w:pPr>
      <w:r>
        <w:rPr>
          <w:rFonts w:hint="eastAsia" w:ascii="宋体" w:hAnsi="宋体" w:cs="宋体"/>
          <w:szCs w:val="24"/>
        </w:rPr>
        <w:t>2.参选人提供的维保服务要能保证维保设备能正常工作。如维保设备无法维修，参选人需承诺在规定的响应时间内提供原厂设备换新服务，提供的新设备必须能和现有系统设备兼容工作，并确保系统的工作性能不低于原有设备。明装的设备，外观需要保持一致。维保清单中的设备如发生不可修复情况，必须做到更换原厂配件。</w:t>
      </w:r>
    </w:p>
    <w:p w14:paraId="062757F3">
      <w:pPr>
        <w:spacing w:line="360" w:lineRule="auto"/>
        <w:ind w:firstLine="480" w:firstLineChars="200"/>
        <w:rPr>
          <w:rFonts w:hint="eastAsia" w:ascii="宋体" w:hAnsi="宋体" w:cs="宋体"/>
          <w:szCs w:val="24"/>
        </w:rPr>
      </w:pPr>
      <w:r>
        <w:rPr>
          <w:rFonts w:hint="eastAsia" w:ascii="宋体" w:hAnsi="宋体" w:cs="宋体"/>
          <w:szCs w:val="24"/>
        </w:rPr>
        <w:t>3.关键故障，如全院网络瘫痪，响应时间≤30分钟，工程师到场≤2小时;普通故障响应时间≤1小时，工程师到达时间≤4小时；如在工程师到达后8小时内仍无法修复故障并解决硬件问题，参选人应承诺24小时内给予免费提供原厂备件更换服务，备件服务性能不得低于原有信息发布系统设备。</w:t>
      </w:r>
    </w:p>
    <w:p w14:paraId="62A2A56E">
      <w:pPr>
        <w:spacing w:line="360" w:lineRule="auto"/>
        <w:ind w:firstLine="480" w:firstLineChars="200"/>
        <w:rPr>
          <w:rFonts w:hint="eastAsia" w:ascii="宋体" w:hAnsi="宋体" w:cs="宋体"/>
          <w:szCs w:val="24"/>
        </w:rPr>
      </w:pPr>
      <w:r>
        <w:rPr>
          <w:rFonts w:hint="eastAsia" w:ascii="宋体" w:hAnsi="宋体" w:cs="宋体"/>
          <w:szCs w:val="24"/>
        </w:rPr>
        <w:t>4.提供不少于一年四次的巡检服务，法定假期达三天及以上时，成交人需提供巡检服务,并安排值班联系人。每次两个工作日的巡检服务，到采购人现场检查系统模块运行情况，与采购人维护人员沟通，提供常见问题的解决办法，巡检结束后给采购人提供巡检报告。</w:t>
      </w:r>
    </w:p>
    <w:p w14:paraId="53087589">
      <w:pPr>
        <w:spacing w:line="360" w:lineRule="auto"/>
        <w:ind w:firstLine="480" w:firstLineChars="200"/>
        <w:rPr>
          <w:rFonts w:hint="eastAsia" w:ascii="宋体" w:hAnsi="宋体" w:cs="宋体"/>
          <w:szCs w:val="24"/>
        </w:rPr>
      </w:pPr>
      <w:r>
        <w:rPr>
          <w:rFonts w:hint="eastAsia" w:ascii="宋体" w:hAnsi="宋体" w:cs="宋体"/>
          <w:szCs w:val="24"/>
        </w:rPr>
        <w:t>5.为确保所有备件能满足系统运行需要，参选人提供信息发布系统配套设备的备品不低于医院现有系统配套设备性能指标。</w:t>
      </w:r>
      <w:r>
        <w:rPr>
          <w:rFonts w:hint="eastAsia" w:ascii="宋体" w:hAnsi="宋体" w:cs="宋体"/>
          <w:b/>
          <w:bCs/>
          <w:szCs w:val="24"/>
        </w:rPr>
        <w:t>参选人自建备件库，在合同签订之日起一周内，成交人必须保证提供一台不低于现有性能的32"一体机屏的原厂全新备品到达现场，且备品在服务期结束之前不得带离，否则按违约处理，采购人有权不予支付合同任何款项。</w:t>
      </w:r>
    </w:p>
    <w:p w14:paraId="1506C4E0">
      <w:pPr>
        <w:spacing w:line="360" w:lineRule="auto"/>
        <w:ind w:firstLine="480" w:firstLineChars="200"/>
        <w:rPr>
          <w:rFonts w:hint="eastAsia" w:ascii="宋体" w:hAnsi="宋体" w:cs="宋体"/>
          <w:szCs w:val="24"/>
        </w:rPr>
      </w:pPr>
      <w:r>
        <w:rPr>
          <w:rFonts w:hint="eastAsia" w:ascii="宋体" w:hAnsi="宋体" w:cs="宋体"/>
          <w:szCs w:val="24"/>
        </w:rPr>
        <w:t>6.需保证系统整体运行稳定，特别是在本产品范畴内，根据采购人实际需求进行各模块功能版本升级时做好预案，对可能因升级带来的问题有预判和应对措施，保证系统健壮性、可用性。尽量避免因升级带来的系统波动及对日常工作的影响。</w:t>
      </w:r>
    </w:p>
    <w:p w14:paraId="5876D906">
      <w:pPr>
        <w:spacing w:line="360" w:lineRule="auto"/>
        <w:ind w:firstLine="480" w:firstLineChars="200"/>
        <w:rPr>
          <w:rFonts w:hint="eastAsia" w:ascii="宋体" w:hAnsi="宋体" w:cs="宋体"/>
          <w:szCs w:val="24"/>
        </w:rPr>
      </w:pPr>
      <w:r>
        <w:rPr>
          <w:rFonts w:hint="eastAsia" w:ascii="宋体" w:hAnsi="宋体" w:cs="宋体"/>
          <w:szCs w:val="24"/>
        </w:rPr>
        <w:t>7.参选人需支持医院信息化建设需求，应无条件免费配合采购人开展工作，包含但不限于电子病历评级、智慧服务评级等。</w:t>
      </w:r>
    </w:p>
    <w:p w14:paraId="3BE06161">
      <w:pPr>
        <w:spacing w:line="360" w:lineRule="auto"/>
        <w:ind w:firstLine="480" w:firstLineChars="200"/>
        <w:rPr>
          <w:rFonts w:hint="eastAsia" w:ascii="宋体" w:hAnsi="宋体" w:cs="宋体"/>
          <w:szCs w:val="24"/>
        </w:rPr>
      </w:pPr>
      <w:r>
        <w:rPr>
          <w:rFonts w:hint="eastAsia" w:ascii="宋体" w:hAnsi="宋体" w:cs="宋体"/>
          <w:szCs w:val="24"/>
        </w:rPr>
        <w:t>8.参选人须免费完成与其他系统新增接口需求对接，给予接口调试、测试、运行等必要系统支持。</w:t>
      </w:r>
    </w:p>
    <w:p w14:paraId="0827191C">
      <w:pPr>
        <w:spacing w:line="360" w:lineRule="auto"/>
        <w:ind w:firstLine="480" w:firstLineChars="200"/>
        <w:rPr>
          <w:rFonts w:hint="eastAsia" w:ascii="宋体" w:hAnsi="宋体" w:cs="宋体"/>
          <w:szCs w:val="24"/>
        </w:rPr>
      </w:pPr>
      <w:r>
        <w:rPr>
          <w:rFonts w:hint="eastAsia" w:ascii="宋体" w:hAnsi="宋体" w:cs="宋体"/>
          <w:szCs w:val="24"/>
        </w:rPr>
        <w:t>9.采购人有关数据资料均为商业机密，成交人不得向任何第三方泄露。</w:t>
      </w:r>
    </w:p>
    <w:p w14:paraId="174EB063">
      <w:pPr>
        <w:spacing w:line="360" w:lineRule="auto"/>
        <w:ind w:firstLine="480" w:firstLineChars="200"/>
        <w:rPr>
          <w:rFonts w:hint="eastAsia" w:ascii="宋体" w:hAnsi="宋体" w:cs="宋体"/>
          <w:szCs w:val="24"/>
        </w:rPr>
      </w:pPr>
      <w:r>
        <w:rPr>
          <w:rFonts w:hint="eastAsia" w:ascii="宋体" w:hAnsi="宋体" w:cs="宋体"/>
          <w:szCs w:val="24"/>
        </w:rPr>
        <w:t>二、维保清单</w:t>
      </w:r>
    </w:p>
    <w:tbl>
      <w:tblPr>
        <w:tblStyle w:val="3"/>
        <w:tblW w:w="5000" w:type="pct"/>
        <w:tblInd w:w="0" w:type="dxa"/>
        <w:tblLayout w:type="fixed"/>
        <w:tblCellMar>
          <w:top w:w="0" w:type="dxa"/>
          <w:left w:w="108" w:type="dxa"/>
          <w:bottom w:w="0" w:type="dxa"/>
          <w:right w:w="108" w:type="dxa"/>
        </w:tblCellMar>
      </w:tblPr>
      <w:tblGrid>
        <w:gridCol w:w="403"/>
        <w:gridCol w:w="1992"/>
        <w:gridCol w:w="4880"/>
        <w:gridCol w:w="602"/>
        <w:gridCol w:w="645"/>
      </w:tblGrid>
      <w:tr w14:paraId="78C18514">
        <w:tblPrEx>
          <w:tblCellMar>
            <w:top w:w="0" w:type="dxa"/>
            <w:left w:w="108" w:type="dxa"/>
            <w:bottom w:w="0" w:type="dxa"/>
            <w:right w:w="108" w:type="dxa"/>
          </w:tblCellMar>
        </w:tblPrEx>
        <w:trPr>
          <w:trHeight w:val="442" w:hRule="atLeast"/>
        </w:trPr>
        <w:tc>
          <w:tcPr>
            <w:tcW w:w="236" w:type="pct"/>
            <w:tcBorders>
              <w:top w:val="single" w:color="000000" w:sz="4" w:space="0"/>
              <w:left w:val="single" w:color="000000" w:sz="4" w:space="0"/>
              <w:bottom w:val="single" w:color="000000" w:sz="4" w:space="0"/>
              <w:right w:val="single" w:color="000000" w:sz="4" w:space="0"/>
            </w:tcBorders>
            <w:noWrap w:val="0"/>
            <w:vAlign w:val="center"/>
          </w:tcPr>
          <w:p w14:paraId="1407CDDA">
            <w:pPr>
              <w:spacing w:line="360" w:lineRule="auto"/>
              <w:jc w:val="center"/>
              <w:rPr>
                <w:rFonts w:hint="eastAsia" w:ascii="宋体" w:hAnsi="宋体" w:cs="宋体"/>
                <w:szCs w:val="24"/>
              </w:rPr>
            </w:pPr>
            <w:r>
              <w:rPr>
                <w:rFonts w:hint="eastAsia" w:ascii="宋体" w:hAnsi="宋体" w:cs="宋体"/>
                <w:szCs w:val="24"/>
              </w:rPr>
              <w:t>序号</w:t>
            </w:r>
          </w:p>
        </w:tc>
        <w:tc>
          <w:tcPr>
            <w:tcW w:w="1168" w:type="pct"/>
            <w:tcBorders>
              <w:top w:val="single" w:color="000000" w:sz="4" w:space="0"/>
              <w:left w:val="single" w:color="000000" w:sz="4" w:space="0"/>
              <w:bottom w:val="single" w:color="000000" w:sz="4" w:space="0"/>
              <w:right w:val="single" w:color="000000" w:sz="4" w:space="0"/>
            </w:tcBorders>
            <w:noWrap w:val="0"/>
            <w:vAlign w:val="center"/>
          </w:tcPr>
          <w:p w14:paraId="4F9D37F0">
            <w:pPr>
              <w:spacing w:line="360" w:lineRule="auto"/>
              <w:rPr>
                <w:rFonts w:hint="eastAsia" w:ascii="宋体" w:hAnsi="宋体" w:cs="宋体"/>
                <w:szCs w:val="24"/>
              </w:rPr>
            </w:pPr>
            <w:r>
              <w:rPr>
                <w:rFonts w:hint="eastAsia" w:ascii="宋体" w:hAnsi="宋体" w:cs="宋体"/>
                <w:szCs w:val="24"/>
              </w:rPr>
              <w:t>货物名称</w:t>
            </w:r>
          </w:p>
        </w:tc>
        <w:tc>
          <w:tcPr>
            <w:tcW w:w="2863" w:type="pct"/>
            <w:tcBorders>
              <w:top w:val="single" w:color="000000" w:sz="4" w:space="0"/>
              <w:left w:val="single" w:color="000000" w:sz="4" w:space="0"/>
              <w:bottom w:val="single" w:color="000000" w:sz="4" w:space="0"/>
              <w:right w:val="single" w:color="000000" w:sz="4" w:space="0"/>
            </w:tcBorders>
            <w:noWrap w:val="0"/>
            <w:vAlign w:val="center"/>
          </w:tcPr>
          <w:p w14:paraId="42E2D12B">
            <w:pPr>
              <w:spacing w:line="360" w:lineRule="auto"/>
              <w:jc w:val="center"/>
              <w:rPr>
                <w:rFonts w:hint="eastAsia" w:ascii="宋体" w:hAnsi="宋体" w:cs="宋体"/>
                <w:szCs w:val="24"/>
              </w:rPr>
            </w:pPr>
            <w:r>
              <w:rPr>
                <w:rFonts w:hint="eastAsia" w:ascii="宋体" w:hAnsi="宋体" w:cs="宋体"/>
                <w:szCs w:val="24"/>
              </w:rPr>
              <w:t>品牌型号</w:t>
            </w:r>
          </w:p>
        </w:tc>
        <w:tc>
          <w:tcPr>
            <w:tcW w:w="352" w:type="pct"/>
            <w:tcBorders>
              <w:top w:val="single" w:color="000000" w:sz="4" w:space="0"/>
              <w:left w:val="single" w:color="000000" w:sz="4" w:space="0"/>
              <w:bottom w:val="single" w:color="000000" w:sz="4" w:space="0"/>
              <w:right w:val="single" w:color="000000" w:sz="4" w:space="0"/>
            </w:tcBorders>
            <w:noWrap w:val="0"/>
            <w:vAlign w:val="center"/>
          </w:tcPr>
          <w:p w14:paraId="146C03DF">
            <w:pPr>
              <w:spacing w:line="360" w:lineRule="auto"/>
              <w:rPr>
                <w:rFonts w:hint="eastAsia" w:ascii="宋体" w:hAnsi="宋体" w:cs="宋体"/>
                <w:szCs w:val="24"/>
              </w:rPr>
            </w:pPr>
            <w:r>
              <w:rPr>
                <w:rFonts w:hint="eastAsia" w:ascii="宋体" w:hAnsi="宋体" w:cs="宋体"/>
                <w:szCs w:val="24"/>
              </w:rPr>
              <w:t>单位</w:t>
            </w:r>
          </w:p>
        </w:tc>
        <w:tc>
          <w:tcPr>
            <w:tcW w:w="378" w:type="pct"/>
            <w:tcBorders>
              <w:top w:val="single" w:color="000000" w:sz="4" w:space="0"/>
              <w:left w:val="single" w:color="000000" w:sz="4" w:space="0"/>
              <w:bottom w:val="single" w:color="000000" w:sz="4" w:space="0"/>
              <w:right w:val="single" w:color="000000" w:sz="4" w:space="0"/>
            </w:tcBorders>
            <w:noWrap w:val="0"/>
            <w:vAlign w:val="center"/>
          </w:tcPr>
          <w:p w14:paraId="0CAF299F">
            <w:pPr>
              <w:spacing w:line="360" w:lineRule="auto"/>
              <w:rPr>
                <w:rFonts w:hint="eastAsia" w:ascii="宋体" w:hAnsi="宋体" w:cs="宋体"/>
                <w:szCs w:val="24"/>
              </w:rPr>
            </w:pPr>
            <w:r>
              <w:rPr>
                <w:rFonts w:hint="eastAsia" w:ascii="宋体" w:hAnsi="宋体" w:cs="宋体"/>
                <w:szCs w:val="24"/>
              </w:rPr>
              <w:t>数量</w:t>
            </w:r>
          </w:p>
        </w:tc>
      </w:tr>
      <w:tr w14:paraId="30B64A90">
        <w:tblPrEx>
          <w:tblCellMar>
            <w:top w:w="0" w:type="dxa"/>
            <w:left w:w="108" w:type="dxa"/>
            <w:bottom w:w="0" w:type="dxa"/>
            <w:right w:w="108" w:type="dxa"/>
          </w:tblCellMar>
        </w:tblPrEx>
        <w:trPr>
          <w:trHeight w:val="442"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39AA2DEC">
            <w:pPr>
              <w:spacing w:line="360" w:lineRule="auto"/>
              <w:jc w:val="center"/>
              <w:rPr>
                <w:rFonts w:hint="eastAsia" w:ascii="宋体" w:hAnsi="宋体" w:cs="宋体"/>
                <w:szCs w:val="24"/>
              </w:rPr>
            </w:pPr>
            <w:r>
              <w:rPr>
                <w:rFonts w:hint="eastAsia" w:ascii="宋体" w:hAnsi="宋体" w:cs="宋体"/>
                <w:szCs w:val="24"/>
              </w:rPr>
              <w:t>1</w:t>
            </w:r>
          </w:p>
        </w:tc>
        <w:tc>
          <w:tcPr>
            <w:tcW w:w="1168" w:type="pct"/>
            <w:tcBorders>
              <w:top w:val="single" w:color="000000" w:sz="4" w:space="0"/>
              <w:left w:val="single" w:color="000000" w:sz="4" w:space="0"/>
              <w:bottom w:val="single" w:color="000000" w:sz="4" w:space="0"/>
              <w:right w:val="single" w:color="000000" w:sz="4" w:space="0"/>
            </w:tcBorders>
            <w:noWrap w:val="0"/>
            <w:vAlign w:val="center"/>
          </w:tcPr>
          <w:p w14:paraId="498A3865">
            <w:pPr>
              <w:spacing w:line="360" w:lineRule="auto"/>
              <w:jc w:val="center"/>
              <w:rPr>
                <w:rFonts w:hint="eastAsia" w:ascii="宋体" w:hAnsi="宋体" w:cs="宋体"/>
                <w:szCs w:val="24"/>
              </w:rPr>
            </w:pPr>
            <w:r>
              <w:rPr>
                <w:rFonts w:hint="eastAsia" w:ascii="宋体" w:hAnsi="宋体" w:cs="宋体"/>
                <w:szCs w:val="24"/>
              </w:rPr>
              <w:t>中央控制软件</w:t>
            </w:r>
          </w:p>
        </w:tc>
        <w:tc>
          <w:tcPr>
            <w:tcW w:w="2863" w:type="pct"/>
            <w:tcBorders>
              <w:top w:val="single" w:color="000000" w:sz="4" w:space="0"/>
              <w:left w:val="single" w:color="000000" w:sz="4" w:space="0"/>
              <w:bottom w:val="single" w:color="000000" w:sz="4" w:space="0"/>
              <w:right w:val="single" w:color="000000" w:sz="4" w:space="0"/>
            </w:tcBorders>
            <w:noWrap/>
            <w:vAlign w:val="center"/>
          </w:tcPr>
          <w:p w14:paraId="07DB60F4">
            <w:pPr>
              <w:spacing w:line="360" w:lineRule="auto"/>
              <w:rPr>
                <w:rFonts w:hint="eastAsia" w:ascii="宋体" w:hAnsi="宋体" w:cs="宋体"/>
                <w:szCs w:val="24"/>
              </w:rPr>
            </w:pPr>
            <w:r>
              <w:rPr>
                <w:rFonts w:hint="eastAsia" w:ascii="宋体" w:hAnsi="宋体" w:cs="宋体"/>
                <w:szCs w:val="24"/>
              </w:rPr>
              <w:t>RemoteMultiMediaServer V6.0-主控端/(禾麦科技开发（深圳）有限公司定制)</w:t>
            </w:r>
          </w:p>
        </w:tc>
        <w:tc>
          <w:tcPr>
            <w:tcW w:w="352" w:type="pct"/>
            <w:tcBorders>
              <w:top w:val="single" w:color="000000" w:sz="4" w:space="0"/>
              <w:left w:val="single" w:color="000000" w:sz="4" w:space="0"/>
              <w:bottom w:val="single" w:color="000000" w:sz="4" w:space="0"/>
              <w:right w:val="single" w:color="000000" w:sz="4" w:space="0"/>
            </w:tcBorders>
            <w:noWrap w:val="0"/>
            <w:vAlign w:val="center"/>
          </w:tcPr>
          <w:p w14:paraId="63F7FDF2">
            <w:pPr>
              <w:spacing w:line="360" w:lineRule="auto"/>
              <w:jc w:val="center"/>
              <w:rPr>
                <w:rFonts w:hint="eastAsia" w:ascii="宋体" w:hAnsi="宋体" w:cs="宋体"/>
                <w:szCs w:val="24"/>
              </w:rPr>
            </w:pPr>
            <w:r>
              <w:rPr>
                <w:rFonts w:hint="eastAsia" w:ascii="宋体" w:hAnsi="宋体" w:cs="宋体"/>
                <w:szCs w:val="24"/>
              </w:rPr>
              <w:t>套</w:t>
            </w:r>
          </w:p>
        </w:tc>
        <w:tc>
          <w:tcPr>
            <w:tcW w:w="378" w:type="pct"/>
            <w:tcBorders>
              <w:top w:val="single" w:color="000000" w:sz="4" w:space="0"/>
              <w:left w:val="single" w:color="000000" w:sz="4" w:space="0"/>
              <w:bottom w:val="single" w:color="000000" w:sz="4" w:space="0"/>
              <w:right w:val="single" w:color="000000" w:sz="4" w:space="0"/>
            </w:tcBorders>
            <w:noWrap w:val="0"/>
            <w:vAlign w:val="center"/>
          </w:tcPr>
          <w:p w14:paraId="30DD7587">
            <w:pPr>
              <w:spacing w:line="360" w:lineRule="auto"/>
              <w:jc w:val="center"/>
              <w:rPr>
                <w:rFonts w:hint="eastAsia" w:ascii="宋体" w:hAnsi="宋体" w:cs="宋体"/>
                <w:szCs w:val="24"/>
              </w:rPr>
            </w:pPr>
            <w:r>
              <w:rPr>
                <w:rFonts w:hint="eastAsia" w:ascii="宋体" w:hAnsi="宋体" w:cs="宋体"/>
                <w:szCs w:val="24"/>
              </w:rPr>
              <w:t>1</w:t>
            </w:r>
          </w:p>
        </w:tc>
      </w:tr>
      <w:tr w14:paraId="41242AB6">
        <w:tblPrEx>
          <w:tblCellMar>
            <w:top w:w="0" w:type="dxa"/>
            <w:left w:w="108" w:type="dxa"/>
            <w:bottom w:w="0" w:type="dxa"/>
            <w:right w:w="108" w:type="dxa"/>
          </w:tblCellMar>
        </w:tblPrEx>
        <w:trPr>
          <w:trHeight w:val="442"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2C901D95">
            <w:pPr>
              <w:spacing w:line="360" w:lineRule="auto"/>
              <w:jc w:val="center"/>
              <w:rPr>
                <w:rFonts w:hint="eastAsia" w:ascii="宋体" w:hAnsi="宋体" w:cs="宋体"/>
                <w:szCs w:val="24"/>
              </w:rPr>
            </w:pPr>
            <w:r>
              <w:rPr>
                <w:rFonts w:hint="eastAsia" w:ascii="宋体" w:hAnsi="宋体" w:cs="宋体"/>
                <w:szCs w:val="24"/>
              </w:rPr>
              <w:t>2</w:t>
            </w:r>
          </w:p>
        </w:tc>
        <w:tc>
          <w:tcPr>
            <w:tcW w:w="1168" w:type="pct"/>
            <w:tcBorders>
              <w:top w:val="single" w:color="000000" w:sz="4" w:space="0"/>
              <w:left w:val="single" w:color="000000" w:sz="4" w:space="0"/>
              <w:bottom w:val="single" w:color="000000" w:sz="4" w:space="0"/>
              <w:right w:val="single" w:color="000000" w:sz="4" w:space="0"/>
            </w:tcBorders>
            <w:noWrap w:val="0"/>
            <w:vAlign w:val="center"/>
          </w:tcPr>
          <w:p w14:paraId="5ED77F61">
            <w:pPr>
              <w:spacing w:line="360" w:lineRule="auto"/>
              <w:jc w:val="center"/>
              <w:rPr>
                <w:rFonts w:hint="eastAsia" w:ascii="宋体" w:hAnsi="宋体" w:cs="宋体"/>
                <w:szCs w:val="24"/>
              </w:rPr>
            </w:pPr>
            <w:r>
              <w:rPr>
                <w:rFonts w:hint="eastAsia" w:ascii="宋体" w:hAnsi="宋体" w:cs="宋体"/>
                <w:szCs w:val="24"/>
              </w:rPr>
              <w:t>显示端软件</w:t>
            </w:r>
          </w:p>
        </w:tc>
        <w:tc>
          <w:tcPr>
            <w:tcW w:w="2863" w:type="pct"/>
            <w:tcBorders>
              <w:top w:val="single" w:color="000000" w:sz="4" w:space="0"/>
              <w:left w:val="single" w:color="000000" w:sz="4" w:space="0"/>
              <w:bottom w:val="single" w:color="000000" w:sz="4" w:space="0"/>
              <w:right w:val="single" w:color="000000" w:sz="4" w:space="0"/>
            </w:tcBorders>
            <w:noWrap/>
            <w:vAlign w:val="center"/>
          </w:tcPr>
          <w:p w14:paraId="725D0AE9">
            <w:pPr>
              <w:spacing w:line="360" w:lineRule="auto"/>
              <w:rPr>
                <w:rFonts w:hint="eastAsia" w:ascii="宋体" w:hAnsi="宋体" w:cs="宋体"/>
                <w:szCs w:val="24"/>
              </w:rPr>
            </w:pPr>
            <w:r>
              <w:rPr>
                <w:rFonts w:hint="eastAsia" w:ascii="宋体" w:hAnsi="宋体" w:cs="宋体"/>
                <w:szCs w:val="24"/>
              </w:rPr>
              <w:t>RemoteMultiMediaClient V6.0-分控端/(禾麦科技开发（深圳）有限公司定制)</w:t>
            </w:r>
          </w:p>
        </w:tc>
        <w:tc>
          <w:tcPr>
            <w:tcW w:w="352" w:type="pct"/>
            <w:tcBorders>
              <w:top w:val="single" w:color="000000" w:sz="4" w:space="0"/>
              <w:left w:val="single" w:color="000000" w:sz="4" w:space="0"/>
              <w:bottom w:val="single" w:color="000000" w:sz="4" w:space="0"/>
              <w:right w:val="single" w:color="000000" w:sz="4" w:space="0"/>
            </w:tcBorders>
            <w:noWrap w:val="0"/>
            <w:vAlign w:val="center"/>
          </w:tcPr>
          <w:p w14:paraId="15169C5A">
            <w:pPr>
              <w:spacing w:line="360" w:lineRule="auto"/>
              <w:jc w:val="center"/>
              <w:rPr>
                <w:rFonts w:hint="eastAsia" w:ascii="宋体" w:hAnsi="宋体" w:cs="宋体"/>
                <w:szCs w:val="24"/>
              </w:rPr>
            </w:pPr>
            <w:r>
              <w:rPr>
                <w:rFonts w:hint="eastAsia" w:ascii="宋体" w:hAnsi="宋体" w:cs="宋体"/>
                <w:szCs w:val="24"/>
              </w:rPr>
              <w:t>套</w:t>
            </w:r>
          </w:p>
        </w:tc>
        <w:tc>
          <w:tcPr>
            <w:tcW w:w="378" w:type="pct"/>
            <w:tcBorders>
              <w:top w:val="single" w:color="000000" w:sz="4" w:space="0"/>
              <w:left w:val="single" w:color="000000" w:sz="4" w:space="0"/>
              <w:bottom w:val="single" w:color="000000" w:sz="4" w:space="0"/>
              <w:right w:val="single" w:color="000000" w:sz="4" w:space="0"/>
            </w:tcBorders>
            <w:noWrap w:val="0"/>
            <w:vAlign w:val="center"/>
          </w:tcPr>
          <w:p w14:paraId="66F64997">
            <w:pPr>
              <w:spacing w:line="360" w:lineRule="auto"/>
              <w:jc w:val="center"/>
              <w:rPr>
                <w:rFonts w:hint="eastAsia" w:ascii="宋体" w:hAnsi="宋体" w:cs="宋体"/>
                <w:szCs w:val="24"/>
              </w:rPr>
            </w:pPr>
            <w:r>
              <w:rPr>
                <w:rFonts w:hint="eastAsia" w:ascii="宋体" w:hAnsi="宋体" w:cs="宋体"/>
                <w:szCs w:val="24"/>
              </w:rPr>
              <w:t>119</w:t>
            </w:r>
          </w:p>
        </w:tc>
      </w:tr>
      <w:tr w14:paraId="59303F84">
        <w:tblPrEx>
          <w:tblCellMar>
            <w:top w:w="0" w:type="dxa"/>
            <w:left w:w="108" w:type="dxa"/>
            <w:bottom w:w="0" w:type="dxa"/>
            <w:right w:w="108" w:type="dxa"/>
          </w:tblCellMar>
        </w:tblPrEx>
        <w:trPr>
          <w:trHeight w:val="442"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22817ABC">
            <w:pPr>
              <w:spacing w:line="360" w:lineRule="auto"/>
              <w:jc w:val="center"/>
              <w:rPr>
                <w:rFonts w:hint="eastAsia" w:ascii="宋体" w:hAnsi="宋体" w:cs="宋体"/>
                <w:szCs w:val="24"/>
              </w:rPr>
            </w:pPr>
            <w:r>
              <w:rPr>
                <w:rFonts w:hint="eastAsia" w:ascii="宋体" w:hAnsi="宋体" w:cs="宋体"/>
                <w:szCs w:val="24"/>
              </w:rPr>
              <w:t>3</w:t>
            </w:r>
          </w:p>
        </w:tc>
        <w:tc>
          <w:tcPr>
            <w:tcW w:w="1168" w:type="pct"/>
            <w:tcBorders>
              <w:top w:val="single" w:color="000000" w:sz="4" w:space="0"/>
              <w:left w:val="single" w:color="000000" w:sz="4" w:space="0"/>
              <w:bottom w:val="single" w:color="000000" w:sz="4" w:space="0"/>
              <w:right w:val="single" w:color="000000" w:sz="4" w:space="0"/>
            </w:tcBorders>
            <w:noWrap w:val="0"/>
            <w:vAlign w:val="center"/>
          </w:tcPr>
          <w:p w14:paraId="72CBB7E1">
            <w:pPr>
              <w:spacing w:line="360" w:lineRule="auto"/>
              <w:jc w:val="center"/>
              <w:rPr>
                <w:rFonts w:hint="eastAsia" w:ascii="宋体" w:hAnsi="宋体" w:cs="宋体"/>
                <w:szCs w:val="24"/>
              </w:rPr>
            </w:pPr>
            <w:r>
              <w:rPr>
                <w:rFonts w:hint="eastAsia" w:ascii="宋体" w:hAnsi="宋体" w:cs="宋体"/>
                <w:szCs w:val="24"/>
              </w:rPr>
              <w:t>高清音视频编码器</w:t>
            </w:r>
          </w:p>
        </w:tc>
        <w:tc>
          <w:tcPr>
            <w:tcW w:w="2863" w:type="pct"/>
            <w:tcBorders>
              <w:top w:val="single" w:color="000000" w:sz="4" w:space="0"/>
              <w:left w:val="single" w:color="000000" w:sz="4" w:space="0"/>
              <w:bottom w:val="single" w:color="000000" w:sz="4" w:space="0"/>
              <w:right w:val="single" w:color="000000" w:sz="4" w:space="0"/>
            </w:tcBorders>
            <w:noWrap/>
            <w:vAlign w:val="center"/>
          </w:tcPr>
          <w:p w14:paraId="5A11BA5C">
            <w:pPr>
              <w:spacing w:line="360" w:lineRule="auto"/>
              <w:rPr>
                <w:rFonts w:hint="eastAsia" w:ascii="宋体" w:hAnsi="宋体" w:cs="宋体"/>
                <w:szCs w:val="24"/>
              </w:rPr>
            </w:pPr>
            <w:r>
              <w:rPr>
                <w:rFonts w:hint="eastAsia" w:ascii="宋体" w:hAnsi="宋体" w:cs="宋体"/>
                <w:szCs w:val="24"/>
              </w:rPr>
              <w:t>RM-LE-100H/(禾麦科技开发（深圳）有限公司定制)</w:t>
            </w:r>
          </w:p>
        </w:tc>
        <w:tc>
          <w:tcPr>
            <w:tcW w:w="352" w:type="pct"/>
            <w:tcBorders>
              <w:top w:val="single" w:color="000000" w:sz="4" w:space="0"/>
              <w:left w:val="single" w:color="000000" w:sz="4" w:space="0"/>
              <w:bottom w:val="single" w:color="000000" w:sz="4" w:space="0"/>
              <w:right w:val="single" w:color="000000" w:sz="4" w:space="0"/>
            </w:tcBorders>
            <w:noWrap w:val="0"/>
            <w:vAlign w:val="center"/>
          </w:tcPr>
          <w:p w14:paraId="38C1701B">
            <w:pPr>
              <w:spacing w:line="360" w:lineRule="auto"/>
              <w:jc w:val="center"/>
              <w:rPr>
                <w:rFonts w:hint="eastAsia" w:ascii="宋体" w:hAnsi="宋体" w:cs="宋体"/>
                <w:szCs w:val="24"/>
              </w:rPr>
            </w:pPr>
            <w:r>
              <w:rPr>
                <w:rFonts w:hint="eastAsia" w:ascii="宋体" w:hAnsi="宋体" w:cs="宋体"/>
                <w:szCs w:val="24"/>
              </w:rPr>
              <w:t>套</w:t>
            </w:r>
          </w:p>
        </w:tc>
        <w:tc>
          <w:tcPr>
            <w:tcW w:w="378" w:type="pct"/>
            <w:tcBorders>
              <w:top w:val="single" w:color="000000" w:sz="4" w:space="0"/>
              <w:left w:val="single" w:color="000000" w:sz="4" w:space="0"/>
              <w:bottom w:val="single" w:color="000000" w:sz="4" w:space="0"/>
              <w:right w:val="single" w:color="000000" w:sz="4" w:space="0"/>
            </w:tcBorders>
            <w:noWrap w:val="0"/>
            <w:vAlign w:val="center"/>
          </w:tcPr>
          <w:p w14:paraId="3E70DA68">
            <w:pPr>
              <w:spacing w:line="360" w:lineRule="auto"/>
              <w:jc w:val="center"/>
              <w:rPr>
                <w:rFonts w:hint="eastAsia" w:ascii="宋体" w:hAnsi="宋体" w:cs="宋体"/>
                <w:szCs w:val="24"/>
              </w:rPr>
            </w:pPr>
            <w:r>
              <w:rPr>
                <w:rFonts w:hint="eastAsia" w:ascii="宋体" w:hAnsi="宋体" w:cs="宋体"/>
                <w:szCs w:val="24"/>
              </w:rPr>
              <w:t>1</w:t>
            </w:r>
          </w:p>
        </w:tc>
      </w:tr>
      <w:tr w14:paraId="76DE1127">
        <w:tblPrEx>
          <w:tblCellMar>
            <w:top w:w="0" w:type="dxa"/>
            <w:left w:w="108" w:type="dxa"/>
            <w:bottom w:w="0" w:type="dxa"/>
            <w:right w:w="108" w:type="dxa"/>
          </w:tblCellMar>
        </w:tblPrEx>
        <w:trPr>
          <w:trHeight w:val="442"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23874A4D">
            <w:pPr>
              <w:spacing w:line="360" w:lineRule="auto"/>
              <w:jc w:val="center"/>
              <w:rPr>
                <w:rFonts w:hint="eastAsia" w:ascii="宋体" w:hAnsi="宋体" w:cs="宋体"/>
                <w:szCs w:val="24"/>
              </w:rPr>
            </w:pPr>
            <w:r>
              <w:rPr>
                <w:rFonts w:hint="eastAsia" w:ascii="宋体" w:hAnsi="宋体" w:cs="宋体"/>
                <w:szCs w:val="24"/>
              </w:rPr>
              <w:t>4</w:t>
            </w:r>
          </w:p>
        </w:tc>
        <w:tc>
          <w:tcPr>
            <w:tcW w:w="1168" w:type="pct"/>
            <w:tcBorders>
              <w:top w:val="single" w:color="000000" w:sz="4" w:space="0"/>
              <w:left w:val="single" w:color="000000" w:sz="4" w:space="0"/>
              <w:bottom w:val="single" w:color="000000" w:sz="4" w:space="0"/>
              <w:right w:val="single" w:color="000000" w:sz="4" w:space="0"/>
            </w:tcBorders>
            <w:noWrap w:val="0"/>
            <w:vAlign w:val="center"/>
          </w:tcPr>
          <w:p w14:paraId="1C53BCF9">
            <w:pPr>
              <w:spacing w:line="360" w:lineRule="auto"/>
              <w:jc w:val="center"/>
              <w:rPr>
                <w:rFonts w:hint="eastAsia" w:ascii="宋体" w:hAnsi="宋体" w:cs="宋体"/>
                <w:szCs w:val="24"/>
              </w:rPr>
            </w:pPr>
            <w:r>
              <w:rPr>
                <w:rFonts w:hint="eastAsia" w:ascii="宋体" w:hAnsi="宋体" w:cs="宋体"/>
                <w:szCs w:val="24"/>
              </w:rPr>
              <w:t>音视频流媒体服务器系统</w:t>
            </w:r>
          </w:p>
        </w:tc>
        <w:tc>
          <w:tcPr>
            <w:tcW w:w="2863" w:type="pct"/>
            <w:tcBorders>
              <w:top w:val="single" w:color="000000" w:sz="4" w:space="0"/>
              <w:left w:val="single" w:color="000000" w:sz="4" w:space="0"/>
              <w:bottom w:val="single" w:color="000000" w:sz="4" w:space="0"/>
              <w:right w:val="single" w:color="000000" w:sz="4" w:space="0"/>
            </w:tcBorders>
            <w:noWrap/>
            <w:vAlign w:val="center"/>
          </w:tcPr>
          <w:p w14:paraId="60F32080">
            <w:pPr>
              <w:spacing w:line="360" w:lineRule="auto"/>
              <w:rPr>
                <w:rFonts w:hint="eastAsia" w:ascii="宋体" w:hAnsi="宋体" w:cs="宋体"/>
                <w:szCs w:val="24"/>
              </w:rPr>
            </w:pPr>
            <w:r>
              <w:rPr>
                <w:rFonts w:hint="eastAsia" w:ascii="宋体" w:hAnsi="宋体" w:cs="宋体"/>
                <w:szCs w:val="24"/>
              </w:rPr>
              <w:t>RNS-8000/(禾麦科技开发（深圳）有限公司定制)</w:t>
            </w:r>
          </w:p>
        </w:tc>
        <w:tc>
          <w:tcPr>
            <w:tcW w:w="352" w:type="pct"/>
            <w:tcBorders>
              <w:top w:val="single" w:color="000000" w:sz="4" w:space="0"/>
              <w:left w:val="single" w:color="000000" w:sz="4" w:space="0"/>
              <w:bottom w:val="single" w:color="000000" w:sz="4" w:space="0"/>
              <w:right w:val="single" w:color="000000" w:sz="4" w:space="0"/>
            </w:tcBorders>
            <w:noWrap w:val="0"/>
            <w:vAlign w:val="center"/>
          </w:tcPr>
          <w:p w14:paraId="32E65436">
            <w:pPr>
              <w:spacing w:line="360" w:lineRule="auto"/>
              <w:jc w:val="center"/>
              <w:rPr>
                <w:rFonts w:hint="eastAsia" w:ascii="宋体" w:hAnsi="宋体" w:cs="宋体"/>
                <w:szCs w:val="24"/>
              </w:rPr>
            </w:pPr>
            <w:r>
              <w:rPr>
                <w:rFonts w:hint="eastAsia" w:ascii="宋体" w:hAnsi="宋体" w:cs="宋体"/>
                <w:szCs w:val="24"/>
              </w:rPr>
              <w:t>套</w:t>
            </w:r>
          </w:p>
        </w:tc>
        <w:tc>
          <w:tcPr>
            <w:tcW w:w="378" w:type="pct"/>
            <w:tcBorders>
              <w:top w:val="single" w:color="000000" w:sz="4" w:space="0"/>
              <w:left w:val="single" w:color="000000" w:sz="4" w:space="0"/>
              <w:bottom w:val="single" w:color="000000" w:sz="4" w:space="0"/>
              <w:right w:val="single" w:color="000000" w:sz="4" w:space="0"/>
            </w:tcBorders>
            <w:noWrap w:val="0"/>
            <w:vAlign w:val="center"/>
          </w:tcPr>
          <w:p w14:paraId="0F9BF1BD">
            <w:pPr>
              <w:spacing w:line="360" w:lineRule="auto"/>
              <w:jc w:val="center"/>
              <w:rPr>
                <w:rFonts w:hint="eastAsia" w:ascii="宋体" w:hAnsi="宋体" w:cs="宋体"/>
                <w:szCs w:val="24"/>
              </w:rPr>
            </w:pPr>
            <w:r>
              <w:rPr>
                <w:rFonts w:hint="eastAsia" w:ascii="宋体" w:hAnsi="宋体" w:cs="宋体"/>
                <w:szCs w:val="24"/>
              </w:rPr>
              <w:t>1</w:t>
            </w:r>
          </w:p>
        </w:tc>
      </w:tr>
      <w:tr w14:paraId="446374E0">
        <w:tblPrEx>
          <w:tblCellMar>
            <w:top w:w="0" w:type="dxa"/>
            <w:left w:w="108" w:type="dxa"/>
            <w:bottom w:w="0" w:type="dxa"/>
            <w:right w:w="108" w:type="dxa"/>
          </w:tblCellMar>
        </w:tblPrEx>
        <w:trPr>
          <w:trHeight w:val="442"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23B66B90">
            <w:pPr>
              <w:spacing w:line="360" w:lineRule="auto"/>
              <w:jc w:val="center"/>
              <w:rPr>
                <w:rFonts w:hint="eastAsia" w:ascii="宋体" w:hAnsi="宋体" w:cs="宋体"/>
                <w:szCs w:val="24"/>
              </w:rPr>
            </w:pPr>
            <w:r>
              <w:rPr>
                <w:rFonts w:hint="eastAsia" w:ascii="宋体" w:hAnsi="宋体" w:cs="宋体"/>
                <w:szCs w:val="24"/>
              </w:rPr>
              <w:t>5</w:t>
            </w:r>
          </w:p>
        </w:tc>
        <w:tc>
          <w:tcPr>
            <w:tcW w:w="1168" w:type="pct"/>
            <w:tcBorders>
              <w:top w:val="single" w:color="000000" w:sz="4" w:space="0"/>
              <w:left w:val="single" w:color="000000" w:sz="4" w:space="0"/>
              <w:bottom w:val="single" w:color="000000" w:sz="4" w:space="0"/>
              <w:right w:val="single" w:color="000000" w:sz="4" w:space="0"/>
            </w:tcBorders>
            <w:noWrap w:val="0"/>
            <w:vAlign w:val="center"/>
          </w:tcPr>
          <w:p w14:paraId="12CCD63F">
            <w:pPr>
              <w:spacing w:line="360" w:lineRule="auto"/>
              <w:jc w:val="center"/>
              <w:rPr>
                <w:rFonts w:hint="eastAsia" w:ascii="宋体" w:hAnsi="宋体" w:cs="宋体"/>
                <w:szCs w:val="24"/>
              </w:rPr>
            </w:pPr>
            <w:r>
              <w:rPr>
                <w:rFonts w:hint="eastAsia" w:ascii="宋体" w:hAnsi="宋体" w:cs="宋体"/>
                <w:szCs w:val="24"/>
              </w:rPr>
              <w:t>32"一体机屏</w:t>
            </w:r>
          </w:p>
        </w:tc>
        <w:tc>
          <w:tcPr>
            <w:tcW w:w="2863" w:type="pct"/>
            <w:tcBorders>
              <w:top w:val="single" w:color="000000" w:sz="4" w:space="0"/>
              <w:left w:val="single" w:color="000000" w:sz="4" w:space="0"/>
              <w:bottom w:val="single" w:color="000000" w:sz="4" w:space="0"/>
              <w:right w:val="single" w:color="000000" w:sz="4" w:space="0"/>
            </w:tcBorders>
            <w:noWrap/>
            <w:vAlign w:val="center"/>
          </w:tcPr>
          <w:p w14:paraId="5AB4EB0E">
            <w:pPr>
              <w:spacing w:line="360" w:lineRule="auto"/>
              <w:rPr>
                <w:rFonts w:hint="eastAsia" w:ascii="宋体" w:hAnsi="宋体" w:cs="宋体"/>
                <w:szCs w:val="24"/>
              </w:rPr>
            </w:pPr>
            <w:r>
              <w:rPr>
                <w:rFonts w:hint="eastAsia" w:ascii="宋体" w:hAnsi="宋体" w:cs="宋体"/>
                <w:szCs w:val="24"/>
              </w:rPr>
              <w:t>RM-AIO-AE-32CL/(禾麦科技开发（深圳）有限公司定制)</w:t>
            </w:r>
          </w:p>
        </w:tc>
        <w:tc>
          <w:tcPr>
            <w:tcW w:w="352" w:type="pct"/>
            <w:tcBorders>
              <w:top w:val="single" w:color="000000" w:sz="4" w:space="0"/>
              <w:left w:val="single" w:color="000000" w:sz="4" w:space="0"/>
              <w:bottom w:val="single" w:color="000000" w:sz="4" w:space="0"/>
              <w:right w:val="single" w:color="000000" w:sz="4" w:space="0"/>
            </w:tcBorders>
            <w:noWrap w:val="0"/>
            <w:vAlign w:val="center"/>
          </w:tcPr>
          <w:p w14:paraId="1AA8AA17">
            <w:pPr>
              <w:spacing w:line="360" w:lineRule="auto"/>
              <w:jc w:val="center"/>
              <w:rPr>
                <w:rFonts w:hint="eastAsia" w:ascii="宋体" w:hAnsi="宋体" w:cs="宋体"/>
                <w:szCs w:val="24"/>
              </w:rPr>
            </w:pPr>
            <w:r>
              <w:rPr>
                <w:rFonts w:hint="eastAsia" w:ascii="宋体" w:hAnsi="宋体" w:cs="宋体"/>
                <w:szCs w:val="24"/>
              </w:rPr>
              <w:t>台</w:t>
            </w:r>
          </w:p>
        </w:tc>
        <w:tc>
          <w:tcPr>
            <w:tcW w:w="378" w:type="pct"/>
            <w:tcBorders>
              <w:top w:val="single" w:color="000000" w:sz="4" w:space="0"/>
              <w:left w:val="single" w:color="000000" w:sz="4" w:space="0"/>
              <w:bottom w:val="single" w:color="000000" w:sz="4" w:space="0"/>
              <w:right w:val="single" w:color="000000" w:sz="4" w:space="0"/>
            </w:tcBorders>
            <w:noWrap w:val="0"/>
            <w:vAlign w:val="center"/>
          </w:tcPr>
          <w:p w14:paraId="3EC9207E">
            <w:pPr>
              <w:spacing w:line="360" w:lineRule="auto"/>
              <w:jc w:val="center"/>
              <w:rPr>
                <w:rFonts w:hint="eastAsia" w:ascii="宋体" w:hAnsi="宋体" w:cs="宋体"/>
                <w:szCs w:val="24"/>
              </w:rPr>
            </w:pPr>
            <w:r>
              <w:rPr>
                <w:rFonts w:hint="eastAsia" w:ascii="宋体" w:hAnsi="宋体" w:cs="宋体"/>
                <w:szCs w:val="24"/>
              </w:rPr>
              <w:t>110</w:t>
            </w:r>
          </w:p>
        </w:tc>
      </w:tr>
      <w:tr w14:paraId="4B8F041E">
        <w:tblPrEx>
          <w:tblCellMar>
            <w:top w:w="0" w:type="dxa"/>
            <w:left w:w="108" w:type="dxa"/>
            <w:bottom w:w="0" w:type="dxa"/>
            <w:right w:w="108" w:type="dxa"/>
          </w:tblCellMar>
        </w:tblPrEx>
        <w:trPr>
          <w:trHeight w:val="442"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241463B9">
            <w:pPr>
              <w:spacing w:line="360" w:lineRule="auto"/>
              <w:jc w:val="center"/>
              <w:rPr>
                <w:rFonts w:hint="eastAsia" w:ascii="宋体" w:hAnsi="宋体" w:cs="宋体"/>
                <w:szCs w:val="24"/>
              </w:rPr>
            </w:pPr>
            <w:r>
              <w:rPr>
                <w:rFonts w:hint="eastAsia" w:ascii="宋体" w:hAnsi="宋体" w:cs="宋体"/>
                <w:szCs w:val="24"/>
              </w:rPr>
              <w:t>6</w:t>
            </w:r>
          </w:p>
        </w:tc>
        <w:tc>
          <w:tcPr>
            <w:tcW w:w="1168" w:type="pct"/>
            <w:tcBorders>
              <w:top w:val="single" w:color="000000" w:sz="4" w:space="0"/>
              <w:left w:val="single" w:color="000000" w:sz="4" w:space="0"/>
              <w:bottom w:val="single" w:color="000000" w:sz="4" w:space="0"/>
              <w:right w:val="single" w:color="000000" w:sz="4" w:space="0"/>
            </w:tcBorders>
            <w:noWrap w:val="0"/>
            <w:vAlign w:val="center"/>
          </w:tcPr>
          <w:p w14:paraId="58AD2DBA">
            <w:pPr>
              <w:spacing w:line="360" w:lineRule="auto"/>
              <w:jc w:val="center"/>
              <w:rPr>
                <w:rFonts w:hint="eastAsia" w:ascii="宋体" w:hAnsi="宋体" w:cs="宋体"/>
                <w:szCs w:val="24"/>
              </w:rPr>
            </w:pPr>
            <w:r>
              <w:rPr>
                <w:rFonts w:hint="eastAsia" w:ascii="宋体" w:hAnsi="宋体" w:cs="宋体"/>
                <w:szCs w:val="24"/>
              </w:rPr>
              <w:t>55"一体机屏</w:t>
            </w:r>
          </w:p>
        </w:tc>
        <w:tc>
          <w:tcPr>
            <w:tcW w:w="2863" w:type="pct"/>
            <w:tcBorders>
              <w:top w:val="single" w:color="000000" w:sz="4" w:space="0"/>
              <w:left w:val="single" w:color="000000" w:sz="4" w:space="0"/>
              <w:bottom w:val="single" w:color="000000" w:sz="4" w:space="0"/>
              <w:right w:val="single" w:color="000000" w:sz="4" w:space="0"/>
            </w:tcBorders>
            <w:noWrap/>
            <w:vAlign w:val="center"/>
          </w:tcPr>
          <w:p w14:paraId="260D9F94">
            <w:pPr>
              <w:spacing w:line="360" w:lineRule="auto"/>
              <w:rPr>
                <w:rFonts w:hint="eastAsia" w:ascii="宋体" w:hAnsi="宋体" w:cs="宋体"/>
                <w:szCs w:val="24"/>
              </w:rPr>
            </w:pPr>
            <w:r>
              <w:rPr>
                <w:rFonts w:hint="eastAsia" w:ascii="宋体" w:hAnsi="宋体" w:cs="宋体"/>
                <w:szCs w:val="24"/>
              </w:rPr>
              <w:t>RM-AIO-X8-55CL/(禾麦科技开发（深圳）有限公司定制)</w:t>
            </w:r>
          </w:p>
        </w:tc>
        <w:tc>
          <w:tcPr>
            <w:tcW w:w="352" w:type="pct"/>
            <w:tcBorders>
              <w:top w:val="single" w:color="000000" w:sz="4" w:space="0"/>
              <w:left w:val="single" w:color="000000" w:sz="4" w:space="0"/>
              <w:bottom w:val="single" w:color="000000" w:sz="4" w:space="0"/>
              <w:right w:val="single" w:color="000000" w:sz="4" w:space="0"/>
            </w:tcBorders>
            <w:noWrap w:val="0"/>
            <w:vAlign w:val="center"/>
          </w:tcPr>
          <w:p w14:paraId="2F065F4E">
            <w:pPr>
              <w:spacing w:line="360" w:lineRule="auto"/>
              <w:jc w:val="center"/>
              <w:rPr>
                <w:rFonts w:hint="eastAsia" w:ascii="宋体" w:hAnsi="宋体" w:cs="宋体"/>
                <w:szCs w:val="24"/>
              </w:rPr>
            </w:pPr>
            <w:r>
              <w:rPr>
                <w:rFonts w:hint="eastAsia" w:ascii="宋体" w:hAnsi="宋体" w:cs="宋体"/>
                <w:szCs w:val="24"/>
              </w:rPr>
              <w:t>台</w:t>
            </w:r>
          </w:p>
        </w:tc>
        <w:tc>
          <w:tcPr>
            <w:tcW w:w="378" w:type="pct"/>
            <w:tcBorders>
              <w:top w:val="single" w:color="000000" w:sz="4" w:space="0"/>
              <w:left w:val="single" w:color="000000" w:sz="4" w:space="0"/>
              <w:bottom w:val="single" w:color="000000" w:sz="4" w:space="0"/>
              <w:right w:val="single" w:color="000000" w:sz="4" w:space="0"/>
            </w:tcBorders>
            <w:noWrap w:val="0"/>
            <w:vAlign w:val="center"/>
          </w:tcPr>
          <w:p w14:paraId="4A966020">
            <w:pPr>
              <w:spacing w:line="360" w:lineRule="auto"/>
              <w:jc w:val="center"/>
              <w:rPr>
                <w:rFonts w:hint="eastAsia" w:ascii="宋体" w:hAnsi="宋体" w:cs="宋体"/>
                <w:szCs w:val="24"/>
              </w:rPr>
            </w:pPr>
            <w:r>
              <w:rPr>
                <w:rFonts w:hint="eastAsia" w:ascii="宋体" w:hAnsi="宋体" w:cs="宋体"/>
                <w:szCs w:val="24"/>
              </w:rPr>
              <w:t>9</w:t>
            </w:r>
          </w:p>
        </w:tc>
      </w:tr>
      <w:tr w14:paraId="792EBAE7">
        <w:tblPrEx>
          <w:tblCellMar>
            <w:top w:w="0" w:type="dxa"/>
            <w:left w:w="108" w:type="dxa"/>
            <w:bottom w:w="0" w:type="dxa"/>
            <w:right w:w="108" w:type="dxa"/>
          </w:tblCellMar>
        </w:tblPrEx>
        <w:trPr>
          <w:trHeight w:val="442"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150593C2">
            <w:pPr>
              <w:spacing w:line="360" w:lineRule="auto"/>
              <w:jc w:val="center"/>
              <w:rPr>
                <w:rFonts w:hint="eastAsia" w:ascii="宋体" w:hAnsi="宋体" w:cs="宋体"/>
                <w:szCs w:val="24"/>
              </w:rPr>
            </w:pPr>
            <w:r>
              <w:rPr>
                <w:rFonts w:hint="eastAsia" w:ascii="宋体" w:hAnsi="宋体" w:cs="宋体"/>
                <w:szCs w:val="24"/>
              </w:rPr>
              <w:t>7</w:t>
            </w:r>
          </w:p>
        </w:tc>
        <w:tc>
          <w:tcPr>
            <w:tcW w:w="1168" w:type="pct"/>
            <w:tcBorders>
              <w:top w:val="single" w:color="000000" w:sz="4" w:space="0"/>
              <w:left w:val="single" w:color="000000" w:sz="4" w:space="0"/>
              <w:bottom w:val="single" w:color="000000" w:sz="4" w:space="0"/>
              <w:right w:val="single" w:color="000000" w:sz="4" w:space="0"/>
            </w:tcBorders>
            <w:noWrap w:val="0"/>
            <w:vAlign w:val="center"/>
          </w:tcPr>
          <w:p w14:paraId="1C29E646">
            <w:pPr>
              <w:spacing w:line="360" w:lineRule="auto"/>
              <w:jc w:val="center"/>
              <w:rPr>
                <w:rFonts w:hint="eastAsia" w:ascii="宋体" w:hAnsi="宋体" w:cs="宋体"/>
                <w:szCs w:val="24"/>
              </w:rPr>
            </w:pPr>
            <w:r>
              <w:rPr>
                <w:rFonts w:hint="eastAsia" w:ascii="宋体" w:hAnsi="宋体" w:cs="宋体"/>
                <w:szCs w:val="24"/>
              </w:rPr>
              <w:t>23英寸触摸一体机</w:t>
            </w:r>
          </w:p>
        </w:tc>
        <w:tc>
          <w:tcPr>
            <w:tcW w:w="2863" w:type="pct"/>
            <w:tcBorders>
              <w:top w:val="single" w:color="000000" w:sz="4" w:space="0"/>
              <w:left w:val="single" w:color="000000" w:sz="4" w:space="0"/>
              <w:bottom w:val="single" w:color="000000" w:sz="4" w:space="0"/>
              <w:right w:val="single" w:color="000000" w:sz="4" w:space="0"/>
            </w:tcBorders>
            <w:noWrap/>
            <w:vAlign w:val="center"/>
          </w:tcPr>
          <w:p w14:paraId="69BE757A">
            <w:pPr>
              <w:spacing w:line="360" w:lineRule="auto"/>
              <w:rPr>
                <w:rFonts w:hint="eastAsia" w:ascii="宋体" w:hAnsi="宋体" w:cs="宋体"/>
                <w:szCs w:val="24"/>
              </w:rPr>
            </w:pPr>
            <w:r>
              <w:rPr>
                <w:rFonts w:hint="eastAsia" w:ascii="宋体" w:hAnsi="宋体" w:cs="宋体"/>
                <w:szCs w:val="24"/>
              </w:rPr>
              <w:t>国产优质/(禾麦科技开发（深圳）有限公司定制)</w:t>
            </w:r>
          </w:p>
        </w:tc>
        <w:tc>
          <w:tcPr>
            <w:tcW w:w="352" w:type="pct"/>
            <w:tcBorders>
              <w:top w:val="single" w:color="000000" w:sz="4" w:space="0"/>
              <w:left w:val="single" w:color="000000" w:sz="4" w:space="0"/>
              <w:bottom w:val="single" w:color="000000" w:sz="4" w:space="0"/>
              <w:right w:val="single" w:color="000000" w:sz="4" w:space="0"/>
            </w:tcBorders>
            <w:noWrap w:val="0"/>
            <w:vAlign w:val="center"/>
          </w:tcPr>
          <w:p w14:paraId="6AA4CCAC">
            <w:pPr>
              <w:spacing w:line="360" w:lineRule="auto"/>
              <w:jc w:val="center"/>
              <w:rPr>
                <w:rFonts w:hint="eastAsia" w:ascii="宋体" w:hAnsi="宋体" w:cs="宋体"/>
                <w:szCs w:val="24"/>
              </w:rPr>
            </w:pPr>
            <w:r>
              <w:rPr>
                <w:rFonts w:hint="eastAsia" w:ascii="宋体" w:hAnsi="宋体" w:cs="宋体"/>
                <w:szCs w:val="24"/>
              </w:rPr>
              <w:t>台</w:t>
            </w:r>
          </w:p>
        </w:tc>
        <w:tc>
          <w:tcPr>
            <w:tcW w:w="378" w:type="pct"/>
            <w:tcBorders>
              <w:top w:val="single" w:color="000000" w:sz="4" w:space="0"/>
              <w:left w:val="single" w:color="000000" w:sz="4" w:space="0"/>
              <w:bottom w:val="single" w:color="000000" w:sz="4" w:space="0"/>
              <w:right w:val="single" w:color="000000" w:sz="4" w:space="0"/>
            </w:tcBorders>
            <w:noWrap w:val="0"/>
            <w:vAlign w:val="center"/>
          </w:tcPr>
          <w:p w14:paraId="221AF64A">
            <w:pPr>
              <w:spacing w:line="360" w:lineRule="auto"/>
              <w:jc w:val="center"/>
              <w:rPr>
                <w:rFonts w:hint="eastAsia" w:ascii="宋体" w:hAnsi="宋体" w:cs="宋体"/>
                <w:szCs w:val="24"/>
              </w:rPr>
            </w:pPr>
            <w:r>
              <w:rPr>
                <w:rFonts w:hint="eastAsia" w:ascii="宋体" w:hAnsi="宋体" w:cs="宋体"/>
                <w:szCs w:val="24"/>
              </w:rPr>
              <w:t>3</w:t>
            </w:r>
          </w:p>
        </w:tc>
      </w:tr>
      <w:tr w14:paraId="6BC8F3E6">
        <w:tblPrEx>
          <w:tblCellMar>
            <w:top w:w="0" w:type="dxa"/>
            <w:left w:w="108" w:type="dxa"/>
            <w:bottom w:w="0" w:type="dxa"/>
            <w:right w:w="108" w:type="dxa"/>
          </w:tblCellMar>
        </w:tblPrEx>
        <w:trPr>
          <w:trHeight w:val="442" w:hRule="atLeast"/>
        </w:trPr>
        <w:tc>
          <w:tcPr>
            <w:tcW w:w="236" w:type="pct"/>
            <w:tcBorders>
              <w:top w:val="single" w:color="000000" w:sz="4" w:space="0"/>
              <w:left w:val="single" w:color="000000" w:sz="4" w:space="0"/>
              <w:bottom w:val="single" w:color="000000" w:sz="4" w:space="0"/>
              <w:right w:val="single" w:color="000000" w:sz="4" w:space="0"/>
            </w:tcBorders>
            <w:noWrap/>
            <w:vAlign w:val="center"/>
          </w:tcPr>
          <w:p w14:paraId="20B80818">
            <w:pPr>
              <w:spacing w:line="360" w:lineRule="auto"/>
              <w:jc w:val="center"/>
              <w:rPr>
                <w:rFonts w:hint="eastAsia" w:ascii="宋体" w:hAnsi="宋体" w:cs="宋体"/>
                <w:szCs w:val="24"/>
              </w:rPr>
            </w:pPr>
            <w:r>
              <w:rPr>
                <w:rFonts w:hint="eastAsia" w:ascii="宋体" w:hAnsi="宋体" w:cs="宋体"/>
                <w:szCs w:val="24"/>
              </w:rPr>
              <w:t>8</w:t>
            </w:r>
          </w:p>
        </w:tc>
        <w:tc>
          <w:tcPr>
            <w:tcW w:w="1168" w:type="pct"/>
            <w:tcBorders>
              <w:top w:val="single" w:color="000000" w:sz="4" w:space="0"/>
              <w:left w:val="single" w:color="000000" w:sz="4" w:space="0"/>
              <w:bottom w:val="single" w:color="000000" w:sz="4" w:space="0"/>
              <w:right w:val="single" w:color="000000" w:sz="4" w:space="0"/>
            </w:tcBorders>
            <w:noWrap w:val="0"/>
            <w:vAlign w:val="center"/>
          </w:tcPr>
          <w:p w14:paraId="503D1B18">
            <w:pPr>
              <w:spacing w:line="360" w:lineRule="auto"/>
              <w:jc w:val="center"/>
              <w:rPr>
                <w:rFonts w:hint="eastAsia" w:ascii="宋体" w:hAnsi="宋体" w:cs="宋体"/>
                <w:szCs w:val="24"/>
              </w:rPr>
            </w:pPr>
            <w:r>
              <w:rPr>
                <w:rFonts w:hint="eastAsia" w:ascii="宋体" w:hAnsi="宋体" w:cs="宋体"/>
                <w:szCs w:val="24"/>
              </w:rPr>
              <w:t>32英寸液晶触摸一体机</w:t>
            </w:r>
          </w:p>
        </w:tc>
        <w:tc>
          <w:tcPr>
            <w:tcW w:w="2863" w:type="pct"/>
            <w:tcBorders>
              <w:top w:val="single" w:color="000000" w:sz="4" w:space="0"/>
              <w:left w:val="single" w:color="000000" w:sz="4" w:space="0"/>
              <w:bottom w:val="single" w:color="000000" w:sz="4" w:space="0"/>
              <w:right w:val="single" w:color="000000" w:sz="4" w:space="0"/>
            </w:tcBorders>
            <w:noWrap/>
            <w:vAlign w:val="center"/>
          </w:tcPr>
          <w:p w14:paraId="389ED135">
            <w:pPr>
              <w:spacing w:line="360" w:lineRule="auto"/>
              <w:rPr>
                <w:rFonts w:hint="eastAsia" w:ascii="宋体" w:hAnsi="宋体" w:cs="宋体"/>
                <w:szCs w:val="24"/>
              </w:rPr>
            </w:pPr>
            <w:r>
              <w:rPr>
                <w:rFonts w:hint="eastAsia" w:ascii="宋体" w:hAnsi="宋体" w:cs="宋体"/>
                <w:szCs w:val="24"/>
              </w:rPr>
              <w:t>32英寸液晶触摸一体机/(禾麦科技开发（深圳）有限公司定制)</w:t>
            </w:r>
          </w:p>
        </w:tc>
        <w:tc>
          <w:tcPr>
            <w:tcW w:w="352" w:type="pct"/>
            <w:tcBorders>
              <w:top w:val="single" w:color="000000" w:sz="4" w:space="0"/>
              <w:left w:val="single" w:color="000000" w:sz="4" w:space="0"/>
              <w:bottom w:val="single" w:color="000000" w:sz="4" w:space="0"/>
              <w:right w:val="single" w:color="000000" w:sz="4" w:space="0"/>
            </w:tcBorders>
            <w:noWrap w:val="0"/>
            <w:vAlign w:val="center"/>
          </w:tcPr>
          <w:p w14:paraId="2C897481">
            <w:pPr>
              <w:spacing w:line="360" w:lineRule="auto"/>
              <w:jc w:val="center"/>
              <w:rPr>
                <w:rFonts w:hint="eastAsia" w:ascii="宋体" w:hAnsi="宋体" w:cs="宋体"/>
                <w:szCs w:val="24"/>
              </w:rPr>
            </w:pPr>
            <w:r>
              <w:rPr>
                <w:rFonts w:hint="eastAsia" w:ascii="宋体" w:hAnsi="宋体" w:cs="宋体"/>
                <w:szCs w:val="24"/>
              </w:rPr>
              <w:t>台</w:t>
            </w:r>
          </w:p>
        </w:tc>
        <w:tc>
          <w:tcPr>
            <w:tcW w:w="378" w:type="pct"/>
            <w:tcBorders>
              <w:top w:val="single" w:color="000000" w:sz="4" w:space="0"/>
              <w:left w:val="single" w:color="000000" w:sz="4" w:space="0"/>
              <w:bottom w:val="single" w:color="000000" w:sz="4" w:space="0"/>
              <w:right w:val="single" w:color="000000" w:sz="4" w:space="0"/>
            </w:tcBorders>
            <w:noWrap w:val="0"/>
            <w:vAlign w:val="center"/>
          </w:tcPr>
          <w:p w14:paraId="543655B3">
            <w:pPr>
              <w:spacing w:line="360" w:lineRule="auto"/>
              <w:jc w:val="center"/>
              <w:rPr>
                <w:rFonts w:hint="eastAsia" w:ascii="宋体" w:hAnsi="宋体" w:cs="宋体"/>
                <w:szCs w:val="24"/>
              </w:rPr>
            </w:pPr>
            <w:r>
              <w:rPr>
                <w:rFonts w:hint="eastAsia" w:ascii="宋体" w:hAnsi="宋体" w:cs="宋体"/>
                <w:szCs w:val="24"/>
              </w:rPr>
              <w:t>1</w:t>
            </w:r>
          </w:p>
        </w:tc>
      </w:tr>
    </w:tbl>
    <w:p w14:paraId="3971F7B5">
      <w:pPr>
        <w:spacing w:line="360" w:lineRule="auto"/>
        <w:ind w:firstLine="480" w:firstLineChars="200"/>
        <w:rPr>
          <w:rFonts w:hint="eastAsia" w:ascii="宋体" w:hAnsi="宋体" w:cs="宋体"/>
          <w:szCs w:val="24"/>
        </w:rPr>
      </w:pPr>
      <w:r>
        <w:rPr>
          <w:rFonts w:hint="eastAsia" w:ascii="宋体" w:hAnsi="宋体" w:cs="宋体"/>
          <w:szCs w:val="24"/>
        </w:rPr>
        <w:t>三、换修要求</w:t>
      </w:r>
    </w:p>
    <w:p w14:paraId="2137E6B9">
      <w:pPr>
        <w:spacing w:line="360" w:lineRule="auto"/>
        <w:ind w:firstLine="480" w:firstLineChars="200"/>
        <w:rPr>
          <w:rFonts w:hint="eastAsia" w:ascii="宋体" w:hAnsi="宋体" w:cs="宋体"/>
          <w:szCs w:val="24"/>
        </w:rPr>
      </w:pPr>
      <w:r>
        <w:rPr>
          <w:rFonts w:hint="eastAsia" w:ascii="宋体" w:hAnsi="宋体" w:cs="宋体"/>
          <w:szCs w:val="24"/>
        </w:rPr>
        <w:t>1.维修报价</w:t>
      </w:r>
    </w:p>
    <w:p w14:paraId="5ED3648A">
      <w:pPr>
        <w:spacing w:line="360" w:lineRule="auto"/>
        <w:ind w:firstLine="480" w:firstLineChars="200"/>
        <w:rPr>
          <w:rFonts w:hint="eastAsia" w:ascii="宋体" w:hAnsi="宋体" w:cs="宋体"/>
          <w:szCs w:val="24"/>
          <w:highlight w:val="none"/>
        </w:rPr>
      </w:pPr>
      <w:r>
        <w:rPr>
          <w:rFonts w:hint="eastAsia" w:ascii="宋体" w:hAnsi="宋体" w:cs="宋体"/>
          <w:szCs w:val="24"/>
        </w:rPr>
        <w:t>参选人需对各个设备涉及的维修部件自行单独报价（全费用综合单价），按实际维修量结算。</w:t>
      </w:r>
    </w:p>
    <w:p w14:paraId="6DC9E1BB">
      <w:pPr>
        <w:spacing w:line="360" w:lineRule="auto"/>
        <w:ind w:firstLine="480" w:firstLineChars="200"/>
        <w:rPr>
          <w:rFonts w:hint="eastAsia" w:ascii="宋体" w:hAnsi="宋体" w:cs="宋体"/>
          <w:szCs w:val="24"/>
          <w:highlight w:val="none"/>
        </w:rPr>
      </w:pPr>
      <w:r>
        <w:rPr>
          <w:rFonts w:hint="eastAsia" w:ascii="宋体" w:hAnsi="宋体" w:cs="宋体"/>
          <w:szCs w:val="24"/>
          <w:highlight w:val="none"/>
        </w:rPr>
        <w:t>2.更换报价（并非全部更换，据实发生）</w:t>
      </w:r>
    </w:p>
    <w:p w14:paraId="152141ED">
      <w:pPr>
        <w:spacing w:line="360" w:lineRule="auto"/>
        <w:ind w:firstLine="480" w:firstLineChars="200"/>
        <w:rPr>
          <w:rFonts w:hint="eastAsia" w:ascii="宋体" w:hAnsi="宋体" w:cs="宋体"/>
          <w:szCs w:val="24"/>
          <w:highlight w:val="none"/>
        </w:rPr>
      </w:pPr>
      <w:r>
        <w:rPr>
          <w:rFonts w:hint="eastAsia" w:ascii="宋体" w:hAnsi="宋体" w:cs="宋体"/>
          <w:szCs w:val="24"/>
          <w:highlight w:val="none"/>
        </w:rPr>
        <w:t>参选人需对各个设备单独报价（全费用综合单价），据实结算。</w:t>
      </w:r>
    </w:p>
    <w:p w14:paraId="4CBB9B1D">
      <w:pPr>
        <w:spacing w:line="360" w:lineRule="auto"/>
        <w:ind w:firstLine="480" w:firstLineChars="200"/>
        <w:rPr>
          <w:rFonts w:hint="eastAsia" w:ascii="宋体" w:hAnsi="宋体" w:cs="宋体"/>
          <w:szCs w:val="24"/>
          <w:highlight w:val="none"/>
        </w:rPr>
      </w:pPr>
      <w:r>
        <w:rPr>
          <w:rFonts w:hint="eastAsia" w:ascii="宋体" w:hAnsi="宋体" w:cs="宋体"/>
          <w:szCs w:val="24"/>
          <w:highlight w:val="none"/>
        </w:rPr>
        <w:t>3.</w:t>
      </w:r>
      <w:r>
        <w:rPr>
          <w:rFonts w:hint="eastAsia" w:ascii="宋体" w:hAnsi="宋体" w:cs="宋体"/>
          <w:szCs w:val="24"/>
          <w:highlight w:val="none"/>
          <w:lang w:val="en-US" w:eastAsia="zh-CN"/>
        </w:rPr>
        <w:t>每次</w:t>
      </w:r>
      <w:r>
        <w:rPr>
          <w:rFonts w:hint="eastAsia" w:ascii="宋体" w:hAnsi="宋体" w:cs="宋体"/>
          <w:szCs w:val="24"/>
          <w:highlight w:val="none"/>
        </w:rPr>
        <w:t>维修及更换时间要求在医院发出正式通知后15天内完成。</w:t>
      </w:r>
    </w:p>
    <w:p w14:paraId="440276CF">
      <w:pPr>
        <w:spacing w:line="360" w:lineRule="auto"/>
        <w:ind w:firstLine="482" w:firstLineChars="200"/>
        <w:rPr>
          <w:rFonts w:hint="eastAsia"/>
          <w:b/>
          <w:color w:val="000000"/>
          <w:highlight w:val="none"/>
        </w:rPr>
      </w:pPr>
    </w:p>
    <w:p w14:paraId="1659D11D">
      <w:pPr>
        <w:spacing w:line="360" w:lineRule="auto"/>
        <w:ind w:firstLine="482" w:firstLineChars="200"/>
        <w:rPr>
          <w:rFonts w:hint="eastAsia" w:ascii="宋体" w:hAnsi="宋体" w:cs="宋体"/>
          <w:szCs w:val="24"/>
          <w:highlight w:val="none"/>
        </w:rPr>
      </w:pPr>
      <w:r>
        <w:rPr>
          <w:rFonts w:hint="eastAsia"/>
          <w:b/>
          <w:color w:val="000000"/>
          <w:highlight w:val="none"/>
        </w:rPr>
        <w:t>注：</w:t>
      </w:r>
      <w:r>
        <w:rPr>
          <w:b/>
          <w:color w:val="000000"/>
          <w:highlight w:val="none"/>
        </w:rPr>
        <w:t>（1）维保清单内的</w:t>
      </w:r>
      <w:r>
        <w:rPr>
          <w:rFonts w:hint="eastAsia"/>
          <w:b/>
          <w:color w:val="000000"/>
          <w:highlight w:val="none"/>
          <w:lang w:val="en-US" w:eastAsia="zh-CN"/>
        </w:rPr>
        <w:t>维修、</w:t>
      </w:r>
      <w:r>
        <w:rPr>
          <w:rFonts w:hint="eastAsia"/>
          <w:b/>
          <w:color w:val="000000"/>
          <w:highlight w:val="none"/>
        </w:rPr>
        <w:t>更换部分</w:t>
      </w:r>
      <w:r>
        <w:rPr>
          <w:b/>
          <w:color w:val="000000"/>
          <w:highlight w:val="none"/>
        </w:rPr>
        <w:t>服务期内总预算价为10万元，如本项目最终结算价超出上述总预算价，且超出部分超过了总预算价的10%，则超出总预算价10%以外的部分，</w:t>
      </w:r>
      <w:r>
        <w:rPr>
          <w:rFonts w:hint="eastAsia"/>
          <w:b/>
          <w:color w:val="000000"/>
          <w:highlight w:val="none"/>
        </w:rPr>
        <w:t>采购人</w:t>
      </w:r>
      <w:r>
        <w:rPr>
          <w:b/>
          <w:color w:val="000000"/>
          <w:highlight w:val="none"/>
        </w:rPr>
        <w:t>不予支付。（2）实际履约过程中，</w:t>
      </w:r>
      <w:r>
        <w:rPr>
          <w:rFonts w:hint="eastAsia"/>
          <w:b/>
          <w:color w:val="000000"/>
          <w:highlight w:val="none"/>
        </w:rPr>
        <w:t>成交人</w:t>
      </w:r>
      <w:r>
        <w:rPr>
          <w:b/>
          <w:color w:val="000000"/>
          <w:highlight w:val="none"/>
        </w:rPr>
        <w:t>应自行动态计算价款，当</w:t>
      </w:r>
      <w:r>
        <w:rPr>
          <w:rFonts w:hint="eastAsia"/>
          <w:b/>
          <w:color w:val="000000"/>
          <w:highlight w:val="none"/>
        </w:rPr>
        <w:t>采购人</w:t>
      </w:r>
      <w:r>
        <w:rPr>
          <w:b/>
          <w:color w:val="000000"/>
          <w:highlight w:val="none"/>
        </w:rPr>
        <w:t>要求提供货物（或服务）的据实结算价出现了以上序号（1）中不予支付的情形，</w:t>
      </w:r>
      <w:r>
        <w:rPr>
          <w:rFonts w:hint="eastAsia"/>
          <w:b/>
          <w:color w:val="000000"/>
          <w:highlight w:val="none"/>
        </w:rPr>
        <w:t>成交人</w:t>
      </w:r>
      <w:r>
        <w:rPr>
          <w:b/>
          <w:color w:val="000000"/>
          <w:highlight w:val="none"/>
        </w:rPr>
        <w:t>可以拒绝履约，如</w:t>
      </w:r>
      <w:r>
        <w:rPr>
          <w:rFonts w:hint="eastAsia"/>
          <w:b/>
          <w:color w:val="000000"/>
          <w:highlight w:val="none"/>
        </w:rPr>
        <w:t>成交人</w:t>
      </w:r>
      <w:r>
        <w:rPr>
          <w:b/>
          <w:color w:val="000000"/>
          <w:highlight w:val="none"/>
        </w:rPr>
        <w:t>选择继续履约，视为</w:t>
      </w:r>
      <w:r>
        <w:rPr>
          <w:rFonts w:hint="eastAsia"/>
          <w:b/>
          <w:color w:val="000000"/>
          <w:highlight w:val="none"/>
        </w:rPr>
        <w:t>成交人</w:t>
      </w:r>
      <w:r>
        <w:rPr>
          <w:b/>
          <w:color w:val="000000"/>
          <w:highlight w:val="none"/>
        </w:rPr>
        <w:t>让利，</w:t>
      </w:r>
      <w:r>
        <w:rPr>
          <w:rFonts w:hint="eastAsia"/>
          <w:b/>
          <w:color w:val="000000"/>
          <w:highlight w:val="none"/>
        </w:rPr>
        <w:t>采购人</w:t>
      </w:r>
      <w:r>
        <w:rPr>
          <w:b/>
          <w:color w:val="000000"/>
          <w:highlight w:val="none"/>
        </w:rPr>
        <w:t>不予支付部分的费用由</w:t>
      </w:r>
      <w:r>
        <w:rPr>
          <w:rFonts w:hint="eastAsia"/>
          <w:b/>
          <w:color w:val="000000"/>
          <w:highlight w:val="none"/>
        </w:rPr>
        <w:t>成交人</w:t>
      </w:r>
      <w:r>
        <w:rPr>
          <w:b/>
          <w:color w:val="000000"/>
          <w:highlight w:val="none"/>
        </w:rPr>
        <w:t>自行承担。</w:t>
      </w:r>
    </w:p>
    <w:p w14:paraId="1F741AC7">
      <w:pPr>
        <w:spacing w:line="360" w:lineRule="auto"/>
        <w:ind w:firstLine="480" w:firstLineChars="200"/>
        <w:rPr>
          <w:rFonts w:hint="eastAsia" w:ascii="宋体" w:hAnsi="宋体" w:cs="宋体"/>
          <w:szCs w:val="24"/>
          <w:highlight w:val="none"/>
        </w:rPr>
      </w:pPr>
    </w:p>
    <w:p w14:paraId="1D7F85C5">
      <w:pPr>
        <w:widowControl/>
        <w:spacing w:line="360" w:lineRule="auto"/>
        <w:ind w:firstLine="480" w:firstLineChars="200"/>
        <w:jc w:val="left"/>
        <w:rPr>
          <w:rFonts w:hint="eastAsia" w:ascii="宋体" w:hAnsi="宋体" w:cs="宋体"/>
          <w:szCs w:val="24"/>
          <w:highlight w:val="none"/>
        </w:rPr>
      </w:pPr>
    </w:p>
    <w:p w14:paraId="7B6A5084">
      <w:pPr>
        <w:pStyle w:val="6"/>
        <w:ind w:firstLine="0" w:firstLineChars="0"/>
        <w:jc w:val="left"/>
        <w:rPr>
          <w:rFonts w:hint="eastAsia" w:ascii="宋体" w:hAnsi="宋体" w:cs="宋体"/>
          <w:b/>
          <w:bCs/>
          <w:szCs w:val="24"/>
          <w:highlight w:val="none"/>
        </w:rPr>
      </w:pPr>
    </w:p>
    <w:p w14:paraId="6D6DA865">
      <w:pPr>
        <w:pStyle w:val="6"/>
        <w:ind w:firstLine="0" w:firstLineChars="0"/>
        <w:jc w:val="left"/>
        <w:rPr>
          <w:highlight w:val="none"/>
        </w:rPr>
      </w:pPr>
      <w:r>
        <w:rPr>
          <w:rFonts w:hint="eastAsia" w:ascii="宋体" w:hAnsi="宋体" w:cs="宋体"/>
          <w:b/>
          <w:bCs/>
          <w:szCs w:val="24"/>
          <w:highlight w:val="none"/>
        </w:rPr>
        <w:t>注：上述采购需求所有条款参选人必须全部响应满足，不得负偏离，否则做无效参选处理。</w:t>
      </w:r>
    </w:p>
    <w:p w14:paraId="383F033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japaneseCounting"/>
      <w:pStyle w:val="2"/>
      <w:lvlText w:val="第%1章"/>
      <w:lvlJc w:val="left"/>
      <w:pPr>
        <w:tabs>
          <w:tab w:val="left" w:pos="9497"/>
        </w:tabs>
        <w:ind w:left="9497" w:hanging="1275"/>
      </w:pPr>
      <w:rPr>
        <w:rFonts w:hint="default"/>
        <w:b/>
        <w:sz w:val="32"/>
        <w:szCs w:val="32"/>
      </w:rPr>
    </w:lvl>
    <w:lvl w:ilvl="1" w:tentative="0">
      <w:start w:val="1"/>
      <w:numFmt w:val="japaneseCounting"/>
      <w:lvlText w:val="%2、"/>
      <w:lvlJc w:val="left"/>
      <w:pPr>
        <w:tabs>
          <w:tab w:val="left" w:pos="1892"/>
        </w:tabs>
        <w:ind w:left="1920" w:hanging="480"/>
      </w:pPr>
      <w:rPr>
        <w:rFonts w:hint="default"/>
      </w:rPr>
    </w:lvl>
    <w:lvl w:ilvl="2" w:tentative="0">
      <w:start w:val="1"/>
      <w:numFmt w:val="lowerRoman"/>
      <w:lvlText w:val="%3."/>
      <w:lvlJc w:val="right"/>
      <w:pPr>
        <w:tabs>
          <w:tab w:val="left" w:pos="2252"/>
        </w:tabs>
        <w:ind w:left="2252" w:hanging="420"/>
      </w:pPr>
    </w:lvl>
    <w:lvl w:ilvl="3" w:tentative="0">
      <w:start w:val="1"/>
      <w:numFmt w:val="decimal"/>
      <w:lvlText w:val="%4."/>
      <w:lvlJc w:val="left"/>
      <w:pPr>
        <w:tabs>
          <w:tab w:val="left" w:pos="2672"/>
        </w:tabs>
        <w:ind w:left="2672" w:hanging="420"/>
      </w:pPr>
    </w:lvl>
    <w:lvl w:ilvl="4" w:tentative="0">
      <w:start w:val="1"/>
      <w:numFmt w:val="lowerLetter"/>
      <w:lvlText w:val="%5)"/>
      <w:lvlJc w:val="left"/>
      <w:pPr>
        <w:tabs>
          <w:tab w:val="left" w:pos="3092"/>
        </w:tabs>
        <w:ind w:left="3092" w:hanging="420"/>
      </w:pPr>
    </w:lvl>
    <w:lvl w:ilvl="5" w:tentative="0">
      <w:start w:val="1"/>
      <w:numFmt w:val="lowerRoman"/>
      <w:lvlText w:val="%6."/>
      <w:lvlJc w:val="right"/>
      <w:pPr>
        <w:tabs>
          <w:tab w:val="left" w:pos="3512"/>
        </w:tabs>
        <w:ind w:left="3512" w:hanging="420"/>
      </w:pPr>
    </w:lvl>
    <w:lvl w:ilvl="6" w:tentative="0">
      <w:start w:val="1"/>
      <w:numFmt w:val="decimal"/>
      <w:lvlText w:val="%7."/>
      <w:lvlJc w:val="left"/>
      <w:pPr>
        <w:tabs>
          <w:tab w:val="left" w:pos="3932"/>
        </w:tabs>
        <w:ind w:left="3932" w:hanging="420"/>
      </w:pPr>
    </w:lvl>
    <w:lvl w:ilvl="7" w:tentative="0">
      <w:start w:val="1"/>
      <w:numFmt w:val="lowerLetter"/>
      <w:lvlText w:val="%8)"/>
      <w:lvlJc w:val="left"/>
      <w:pPr>
        <w:tabs>
          <w:tab w:val="left" w:pos="4352"/>
        </w:tabs>
        <w:ind w:left="4352" w:hanging="420"/>
      </w:pPr>
    </w:lvl>
    <w:lvl w:ilvl="8" w:tentative="0">
      <w:start w:val="1"/>
      <w:numFmt w:val="lowerRoman"/>
      <w:lvlText w:val="%9."/>
      <w:lvlJc w:val="right"/>
      <w:pPr>
        <w:tabs>
          <w:tab w:val="left" w:pos="4772"/>
        </w:tabs>
        <w:ind w:left="477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833BE2"/>
    <w:rsid w:val="39833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keepLines/>
      <w:numPr>
        <w:ilvl w:val="0"/>
        <w:numId w:val="1"/>
      </w:numPr>
      <w:tabs>
        <w:tab w:val="left" w:pos="2693"/>
      </w:tabs>
      <w:adjustRightInd w:val="0"/>
      <w:spacing w:before="340" w:after="330" w:line="578" w:lineRule="atLeast"/>
      <w:textAlignment w:val="baseline"/>
      <w:outlineLvl w:val="0"/>
    </w:pPr>
    <w:rPr>
      <w:b/>
      <w:kern w:val="44"/>
      <w:sz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标题1 Ctrl+1"/>
    <w:basedOn w:val="2"/>
    <w:next w:val="6"/>
    <w:qFormat/>
    <w:uiPriority w:val="0"/>
    <w:pPr>
      <w:keepNext w:val="0"/>
      <w:keepLines w:val="0"/>
      <w:pageBreakBefore/>
      <w:tabs>
        <w:tab w:val="left" w:pos="1800"/>
      </w:tabs>
      <w:snapToGrid w:val="0"/>
      <w:spacing w:before="312" w:beforeLines="100" w:after="312" w:afterLines="100" w:line="240" w:lineRule="auto"/>
      <w:jc w:val="center"/>
      <w:textAlignment w:val="auto"/>
    </w:pPr>
    <w:rPr>
      <w:rFonts w:ascii="Arial" w:hAnsi="Arial" w:eastAsia="黑体"/>
      <w:bCs/>
      <w:kern w:val="2"/>
      <w:szCs w:val="44"/>
    </w:rPr>
  </w:style>
  <w:style w:type="paragraph" w:customStyle="1" w:styleId="6">
    <w:name w:val="!我的正文 Ctr+Q"/>
    <w:basedOn w:val="1"/>
    <w:qFormat/>
    <w:uiPriority w:val="0"/>
    <w:pPr>
      <w:adjustRightInd w:val="0"/>
      <w:snapToGrid w:val="0"/>
      <w:spacing w:line="360" w:lineRule="auto"/>
      <w:ind w:firstLine="480" w:firstLineChars="200"/>
    </w:pPr>
    <w:rPr>
      <w:rFonts w:ascii="Arial" w:hAnsi="Arial"/>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2026-07-22T07:31:00Z</dcterms:created>
  <dc:creator>w</dc:creator>
  <cp:lastModifiedBy>w</cp:lastModifiedBy>
  <dcterms:modified xsi:type="dcterms:W3CDTF">2026-07-22T07:32:15Z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CFA30B6DA8E54E62B5DBF361CD0FC759_11</vt:lpwstr>
  </property>
  <property fmtid="{D5CDD505-2E9C-101B-9397-08002B2CF9AE}" pid="4" name="KSOTemplateDocerSaveRecord">
    <vt:lpwstr>eyJoZGlkIjoiZWUyOTQ1NDM2Zjc0YjU0MjZhMWI3YTAyMzgxNTM2MDQiLCJ1c2VySWQiOiI0NjEyMTI0ODEifQ==</vt:lpwstr>
  </property>
</Properties>
</file>