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65D33">
      <w:pPr>
        <w:spacing w:line="360" w:lineRule="auto"/>
        <w:jc w:val="center"/>
        <w:outlineLvl w:val="0"/>
        <w:rPr>
          <w:rFonts w:hint="eastAsia" w:asciiTheme="minorEastAsia" w:hAnsiTheme="minorEastAsia" w:eastAsiaTheme="minorEastAsia"/>
          <w:b/>
          <w:sz w:val="28"/>
          <w:highlight w:val="none"/>
        </w:rPr>
      </w:pPr>
      <w:r>
        <w:rPr>
          <w:rFonts w:hint="eastAsia" w:asciiTheme="minorEastAsia" w:hAnsiTheme="minorEastAsia" w:eastAsiaTheme="minorEastAsia"/>
          <w:b/>
          <w:sz w:val="28"/>
          <w:highlight w:val="none"/>
        </w:rPr>
        <w:t>采购需求</w:t>
      </w:r>
    </w:p>
    <w:p w14:paraId="67C459E5">
      <w:pPr>
        <w:spacing w:line="360" w:lineRule="auto"/>
        <w:rPr>
          <w:rFonts w:hint="eastAsia" w:asciiTheme="minorEastAsia" w:hAnsiTheme="minorEastAsia" w:eastAsiaTheme="minorEastAsia"/>
          <w:b/>
          <w:sz w:val="24"/>
          <w:szCs w:val="24"/>
          <w:highlight w:val="none"/>
        </w:rPr>
      </w:pPr>
      <w:bookmarkStart w:id="0" w:name="_Hlk16461016"/>
      <w:r>
        <w:rPr>
          <w:rFonts w:hint="eastAsia" w:asciiTheme="minorEastAsia" w:hAnsiTheme="minorEastAsia" w:eastAsiaTheme="minorEastAsia"/>
          <w:b/>
          <w:sz w:val="24"/>
          <w:szCs w:val="24"/>
          <w:highlight w:val="none"/>
        </w:rPr>
        <w:t>前注：</w:t>
      </w:r>
    </w:p>
    <w:p w14:paraId="1A3561C9">
      <w:pPr>
        <w:spacing w:line="360" w:lineRule="auto"/>
        <w:rPr>
          <w:rFonts w:hint="eastAsia" w:ascii="宋体" w:hAnsi="宋体" w:eastAsia="宋体" w:cs="宋体"/>
          <w:b/>
          <w:color w:val="FF0000"/>
          <w:sz w:val="24"/>
          <w:szCs w:val="24"/>
          <w:highlight w:val="none"/>
        </w:rPr>
      </w:pPr>
      <w:bookmarkStart w:id="1" w:name="_Toc26330"/>
      <w:bookmarkStart w:id="2" w:name="_Toc9765"/>
      <w:r>
        <w:rPr>
          <w:rFonts w:hint="eastAsia" w:ascii="宋体" w:hAnsi="宋体" w:eastAsia="宋体" w:cs="宋体"/>
          <w:b/>
          <w:color w:val="FF0000"/>
          <w:sz w:val="24"/>
          <w:szCs w:val="24"/>
          <w:highlight w:val="none"/>
          <w:lang w:bidi="ar"/>
        </w:rPr>
        <w:t>要求：以下条款如供应商参与响应，视为供应商自动响应。</w:t>
      </w:r>
    </w:p>
    <w:p w14:paraId="482728AB">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1.按照响应方案提供配置清单，标明品牌、型号、产地、数量等并分项报价；</w:t>
      </w:r>
    </w:p>
    <w:p w14:paraId="42E2D2CC">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2.提供产品日常使用的所有配套专用耗材清单，确保产品正常使用。须标明品牌、型号、产地、规格、最小供货单位等并分项报价，报价不计入响应总价。在成交后如发现有漏报、瞒报的配套专用耗材，一律视为已包含在成交总价内，不得以赠送形式向采购人提供产品及服务。耗材供应期按照医院相关耗材管理规定执行；</w:t>
      </w:r>
    </w:p>
    <w:p w14:paraId="72383F08">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3.说明是否需要其他设备配套使用，请列出配套设备名称、数量等，如未说明一律视为已包含在响应总价内；</w:t>
      </w:r>
    </w:p>
    <w:p w14:paraId="72E16474">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4.供应商及产品须资质、证照齐全且在有效期内，如确无注册证的产品，须提供官方说明材料；</w:t>
      </w:r>
    </w:p>
    <w:p w14:paraId="0CB456D9">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5.若属安徽省医用耗材政策管理范围内产品，需满足相关要求（如“集采”、“两票制”等）；若为集采管理范围内产品，需在集采目录中，同类产品原则上选择限价产品，同类无替代选择备案产品；</w:t>
      </w:r>
    </w:p>
    <w:p w14:paraId="675EF87D">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6.</w:t>
      </w:r>
      <w:r>
        <w:rPr>
          <w:rFonts w:hint="eastAsia" w:ascii="宋体" w:hAnsi="宋体" w:eastAsia="宋体" w:cs="宋体"/>
          <w:b/>
          <w:bCs/>
          <w:sz w:val="24"/>
          <w:szCs w:val="24"/>
          <w:highlight w:val="none"/>
          <w:lang w:bidi="ar"/>
        </w:rPr>
        <w:t>成交人须将供应的医用物资包括但不限于医用耗材、检验试剂、后勤物资等，纳入采购人医用物资SPD智慧物流管理模式进行一元化管理，与采购人SPD服务商签订服务协议并承担相关的服务费。其中医用耗材、试剂的具体服务费率由成交人与SPD服务商协商，服务费率不高于医院与SPD服务商约定的收费标准（现行服务费率为供货金额的1%；如后期采购人与SPD服务商约定的服务费率发生变动，以采购人与SPD服务商签订合同约定的服务费率为准）；后勤物资等其他物资，成交人无需承担服务费。如成交人不予配合，采购人有权终止与成交人的医用物资供应关系或选择备选医用物资成交人</w:t>
      </w:r>
      <w:r>
        <w:rPr>
          <w:rFonts w:hint="eastAsia" w:ascii="宋体" w:hAnsi="宋体" w:eastAsia="宋体" w:cs="宋体"/>
          <w:b/>
          <w:sz w:val="24"/>
          <w:szCs w:val="24"/>
          <w:highlight w:val="none"/>
          <w:lang w:bidi="ar"/>
        </w:rPr>
        <w:t>；</w:t>
      </w:r>
    </w:p>
    <w:p w14:paraId="69511916">
      <w:pPr>
        <w:spacing w:line="360" w:lineRule="auto"/>
        <w:ind w:firstLine="472" w:firstLineChars="196"/>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7.根据医保政策，可单独收费医用耗材请提供安徽医保局下发的27位医保编码，并按编码进行报价；</w:t>
      </w:r>
    </w:p>
    <w:p w14:paraId="0E0E04F1">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8.需长期供应的医用耗材及试剂产品，成交后合同期内不得变更配送公司，否则取消该品牌成交资格。参选时生产厂家须出具长期授权函，并提供合同期内不变更配送公司的承诺函，如不提供的评审小组有权按无效响应处理。</w:t>
      </w:r>
    </w:p>
    <w:p w14:paraId="60521744">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9.医用耗材及配套使用的工具按医院规定需要消毒的，其相关费用由供应商自行承担。</w:t>
      </w:r>
    </w:p>
    <w:p w14:paraId="1CA2D488">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10.检验试剂项目和需配套检验试剂使用的检验设备项目，均须免费提供同品牌或第三方符合溯源要求的质控品。</w:t>
      </w:r>
    </w:p>
    <w:p w14:paraId="107933D4">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11.供应商需无条件接受因国家及安徽省相关政策（如医用耗材带量采购等）对比选结果带来的变动，供应商不得提出异议。</w:t>
      </w:r>
    </w:p>
    <w:p w14:paraId="3B490EA1">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12.供应商须保证此次供应产品，响应价格不得高于安徽省医药集中采购平台交易目录最高限价；后期安徽省医药集中采购平台交易目录最高限价如有降价，成交产品的成交人应于7个工作日内书面通知采购人启动协商程序。</w:t>
      </w:r>
    </w:p>
    <w:p w14:paraId="75706C3A">
      <w:pPr>
        <w:wordWrap w:val="0"/>
        <w:spacing w:line="360" w:lineRule="auto"/>
        <w:ind w:firstLine="482" w:firstLineChars="200"/>
        <w:jc w:val="left"/>
        <w:rPr>
          <w:rFonts w:hint="eastAsia" w:ascii="宋体" w:hAnsi="宋体" w:eastAsia="宋体" w:cs="宋体"/>
          <w:b/>
          <w:sz w:val="24"/>
          <w:szCs w:val="24"/>
          <w:highlight w:val="none"/>
        </w:rPr>
      </w:pPr>
      <w:r>
        <w:rPr>
          <w:rFonts w:hint="eastAsia" w:ascii="宋体" w:hAnsi="宋体" w:eastAsia="宋体" w:cs="宋体"/>
          <w:b/>
          <w:sz w:val="24"/>
          <w:szCs w:val="24"/>
          <w:highlight w:val="none"/>
          <w:lang w:bidi="ar"/>
        </w:rPr>
        <w:t>13.按收费价格费率投标的检验项目，如后期收费价格下调，试剂供货价格须按成交费率同比例下浮。</w:t>
      </w:r>
    </w:p>
    <w:p w14:paraId="496C4099">
      <w:pPr>
        <w:spacing w:line="360" w:lineRule="auto"/>
        <w:ind w:firstLine="470" w:firstLineChars="196"/>
        <w:rPr>
          <w:rFonts w:hint="eastAsia" w:ascii="宋体" w:hAnsi="宋体" w:eastAsia="宋体" w:cs="宋体"/>
          <w:b/>
          <w:sz w:val="24"/>
          <w:szCs w:val="24"/>
          <w:highlight w:val="none"/>
        </w:rPr>
      </w:pPr>
      <w:r>
        <w:rPr>
          <w:rFonts w:hint="eastAsia" w:ascii="宋体" w:hAnsi="宋体" w:eastAsia="宋体" w:cs="宋体"/>
          <w:sz w:val="24"/>
          <w:szCs w:val="24"/>
          <w:highlight w:val="none"/>
          <w:lang w:bidi="ar"/>
        </w:rPr>
        <w:t>备注：请列出易损件，耗材及其他相关产品清单，并注明编码报价。</w:t>
      </w:r>
    </w:p>
    <w:p w14:paraId="7DA3B6E3">
      <w:pPr>
        <w:spacing w:line="360" w:lineRule="auto"/>
        <w:ind w:firstLine="437"/>
        <w:outlineLvl w:val="1"/>
        <w:rPr>
          <w:rFonts w:hint="eastAsia" w:ascii="宋体" w:hAnsi="宋体" w:eastAsia="宋体"/>
          <w:b/>
          <w:sz w:val="24"/>
          <w:szCs w:val="18"/>
          <w:highlight w:val="none"/>
        </w:rPr>
      </w:pPr>
      <w:r>
        <w:rPr>
          <w:rFonts w:hint="eastAsia" w:ascii="宋体" w:hAnsi="宋体" w:eastAsia="宋体"/>
          <w:b/>
          <w:sz w:val="24"/>
          <w:szCs w:val="18"/>
          <w:highlight w:val="none"/>
        </w:rPr>
        <w:t>一、采购需求前附表</w:t>
      </w:r>
      <w:bookmarkEnd w:id="1"/>
      <w:bookmarkEnd w:id="2"/>
      <w:r>
        <w:rPr>
          <w:rFonts w:hint="eastAsia" w:ascii="宋体" w:hAnsi="宋体" w:eastAsia="宋体"/>
          <w:b/>
          <w:color w:val="FF0000"/>
          <w:sz w:val="24"/>
          <w:szCs w:val="18"/>
          <w:highlight w:val="none"/>
        </w:rPr>
        <w:t>（以下内容必须响应，否则视为无效响应）</w:t>
      </w:r>
    </w:p>
    <w:tbl>
      <w:tblPr>
        <w:tblStyle w:val="3"/>
        <w:tblW w:w="84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7"/>
        <w:gridCol w:w="2191"/>
        <w:gridCol w:w="5191"/>
      </w:tblGrid>
      <w:tr w14:paraId="56E31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06042438">
            <w:pPr>
              <w:pStyle w:val="5"/>
              <w:pBdr>
                <w:bottom w:val="none" w:color="auto" w:sz="0" w:space="0"/>
              </w:pBdr>
              <w:tabs>
                <w:tab w:val="clear" w:pos="4153"/>
                <w:tab w:val="clear" w:pos="8306"/>
              </w:tabs>
              <w:adjustRightInd/>
              <w:spacing w:line="240" w:lineRule="auto"/>
              <w:textAlignment w:val="auto"/>
              <w:rPr>
                <w:rFonts w:hint="eastAsia" w:ascii="宋体" w:hAnsi="宋体" w:eastAsia="宋体"/>
                <w:b/>
                <w:kern w:val="2"/>
                <w:highlight w:val="none"/>
              </w:rPr>
            </w:pPr>
            <w:r>
              <w:rPr>
                <w:rFonts w:hint="eastAsia" w:ascii="宋体" w:hAnsi="宋体" w:eastAsia="宋体"/>
                <w:b/>
                <w:kern w:val="2"/>
                <w:highlight w:val="none"/>
              </w:rPr>
              <w:t>序号</w:t>
            </w:r>
          </w:p>
        </w:tc>
        <w:tc>
          <w:tcPr>
            <w:tcW w:w="2191" w:type="dxa"/>
            <w:vAlign w:val="center"/>
          </w:tcPr>
          <w:p w14:paraId="7E8B51D2">
            <w:pPr>
              <w:pStyle w:val="6"/>
              <w:widowControl w:val="0"/>
              <w:spacing w:before="0" w:beforeAutospacing="0" w:after="0" w:afterAutospacing="0" w:line="360" w:lineRule="auto"/>
              <w:rPr>
                <w:rFonts w:hint="eastAsia" w:ascii="宋体" w:hAnsi="宋体" w:eastAsia="宋体"/>
                <w:bCs w:val="0"/>
                <w:sz w:val="24"/>
                <w:highlight w:val="none"/>
              </w:rPr>
            </w:pPr>
            <w:r>
              <w:rPr>
                <w:rFonts w:hint="eastAsia" w:ascii="宋体" w:hAnsi="宋体" w:eastAsia="宋体"/>
                <w:bCs w:val="0"/>
                <w:sz w:val="24"/>
                <w:highlight w:val="none"/>
              </w:rPr>
              <w:t>条款名称</w:t>
            </w:r>
          </w:p>
        </w:tc>
        <w:tc>
          <w:tcPr>
            <w:tcW w:w="5191" w:type="dxa"/>
            <w:vAlign w:val="center"/>
          </w:tcPr>
          <w:p w14:paraId="54EE450F">
            <w:pPr>
              <w:pStyle w:val="6"/>
              <w:widowControl w:val="0"/>
              <w:spacing w:before="0" w:beforeAutospacing="0" w:after="0" w:afterAutospacing="0" w:line="360" w:lineRule="auto"/>
              <w:rPr>
                <w:rFonts w:hint="eastAsia" w:ascii="宋体" w:hAnsi="宋体" w:eastAsia="宋体"/>
                <w:bCs w:val="0"/>
                <w:sz w:val="24"/>
                <w:highlight w:val="none"/>
              </w:rPr>
            </w:pPr>
            <w:r>
              <w:rPr>
                <w:rFonts w:hint="eastAsia" w:ascii="宋体" w:hAnsi="宋体" w:eastAsia="宋体"/>
                <w:bCs w:val="0"/>
                <w:sz w:val="24"/>
                <w:highlight w:val="none"/>
              </w:rPr>
              <w:t>内容、说明与要求</w:t>
            </w:r>
          </w:p>
        </w:tc>
      </w:tr>
      <w:tr w14:paraId="7DA58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5C4EEB4D">
            <w:pPr>
              <w:pStyle w:val="5"/>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1</w:t>
            </w:r>
          </w:p>
        </w:tc>
        <w:tc>
          <w:tcPr>
            <w:tcW w:w="2191" w:type="dxa"/>
            <w:vAlign w:val="center"/>
          </w:tcPr>
          <w:p w14:paraId="79F9A803">
            <w:pPr>
              <w:pStyle w:val="6"/>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付款方式</w:t>
            </w:r>
          </w:p>
        </w:tc>
        <w:tc>
          <w:tcPr>
            <w:tcW w:w="5191" w:type="dxa"/>
            <w:vAlign w:val="center"/>
          </w:tcPr>
          <w:p w14:paraId="4E9963C3">
            <w:pPr>
              <w:pStyle w:val="6"/>
              <w:widowControl w:val="0"/>
              <w:spacing w:before="0" w:beforeAutospacing="0" w:after="0" w:afterAutospacing="0" w:line="360" w:lineRule="auto"/>
              <w:jc w:val="both"/>
              <w:rPr>
                <w:rFonts w:hint="eastAsia" w:ascii="宋体" w:hAnsi="宋体" w:eastAsia="宋体"/>
                <w:b w:val="0"/>
                <w:sz w:val="24"/>
                <w:highlight w:val="none"/>
                <w:u w:val="single"/>
              </w:rPr>
            </w:pPr>
            <w:r>
              <w:rPr>
                <w:rFonts w:hint="eastAsia" w:ascii="宋体" w:hAnsi="宋体" w:eastAsia="宋体"/>
                <w:b w:val="0"/>
                <w:sz w:val="24"/>
                <w:highlight w:val="none"/>
                <w:u w:val="single"/>
              </w:rPr>
              <w:t>（1）货到安装验收合格，提供产品的使用、操作及维修人员的培训，并能独立操作且使用部门签字确认后，一次性付清。</w:t>
            </w:r>
          </w:p>
          <w:p w14:paraId="09B39CD6">
            <w:pPr>
              <w:pStyle w:val="6"/>
              <w:widowControl w:val="0"/>
              <w:spacing w:before="0" w:beforeAutospacing="0" w:after="0" w:afterAutospacing="0" w:line="360" w:lineRule="auto"/>
              <w:jc w:val="both"/>
              <w:rPr>
                <w:rFonts w:hint="eastAsia" w:ascii="宋体" w:hAnsi="宋体" w:eastAsia="宋体"/>
                <w:b w:val="0"/>
                <w:sz w:val="24"/>
                <w:highlight w:val="none"/>
                <w:u w:val="single"/>
              </w:rPr>
            </w:pPr>
            <w:r>
              <w:rPr>
                <w:rFonts w:hint="eastAsia" w:ascii="宋体" w:hAnsi="宋体" w:eastAsia="宋体"/>
                <w:b w:val="0"/>
                <w:sz w:val="24"/>
                <w:highlight w:val="none"/>
                <w:u w:val="single"/>
              </w:rPr>
              <w:t xml:space="preserve">（2）若采购人提前支付，成交人须提供与支付金额相等的不可撤销独立保函。 </w:t>
            </w:r>
          </w:p>
        </w:tc>
      </w:tr>
      <w:tr w14:paraId="19E47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614EB883">
            <w:pPr>
              <w:pStyle w:val="5"/>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2</w:t>
            </w:r>
          </w:p>
        </w:tc>
        <w:tc>
          <w:tcPr>
            <w:tcW w:w="2191" w:type="dxa"/>
            <w:vAlign w:val="center"/>
          </w:tcPr>
          <w:p w14:paraId="7C47183E">
            <w:pPr>
              <w:pStyle w:val="6"/>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供货及安装地点</w:t>
            </w:r>
          </w:p>
        </w:tc>
        <w:tc>
          <w:tcPr>
            <w:tcW w:w="5191" w:type="dxa"/>
            <w:vAlign w:val="center"/>
          </w:tcPr>
          <w:p w14:paraId="21CD4212">
            <w:pPr>
              <w:pStyle w:val="6"/>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lang w:eastAsia="zh-CN"/>
              </w:rPr>
              <w:t>中国科大附一院（安徽省立医院）</w:t>
            </w:r>
            <w:r>
              <w:rPr>
                <w:rFonts w:hint="eastAsia" w:ascii="宋体" w:hAnsi="宋体" w:eastAsia="宋体"/>
                <w:b w:val="0"/>
                <w:sz w:val="24"/>
                <w:highlight w:val="none"/>
                <w:u w:val="single"/>
              </w:rPr>
              <w:t>，采购人指定地点</w:t>
            </w:r>
          </w:p>
        </w:tc>
      </w:tr>
      <w:tr w14:paraId="7E8F7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0CBA33BF">
            <w:pPr>
              <w:pStyle w:val="5"/>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3</w:t>
            </w:r>
          </w:p>
        </w:tc>
        <w:tc>
          <w:tcPr>
            <w:tcW w:w="2191" w:type="dxa"/>
            <w:vAlign w:val="center"/>
          </w:tcPr>
          <w:p w14:paraId="631C958D">
            <w:pPr>
              <w:pStyle w:val="6"/>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供货及安装期限</w:t>
            </w:r>
          </w:p>
        </w:tc>
        <w:tc>
          <w:tcPr>
            <w:tcW w:w="5191" w:type="dxa"/>
            <w:vAlign w:val="center"/>
          </w:tcPr>
          <w:p w14:paraId="553AD3B8">
            <w:pPr>
              <w:pStyle w:val="6"/>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rPr>
              <w:t>详见比选公告</w:t>
            </w:r>
          </w:p>
        </w:tc>
      </w:tr>
      <w:tr w14:paraId="68E02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87" w:type="dxa"/>
            <w:vAlign w:val="center"/>
          </w:tcPr>
          <w:p w14:paraId="2F3E4128">
            <w:pPr>
              <w:pStyle w:val="5"/>
              <w:pBdr>
                <w:bottom w:val="none" w:color="auto" w:sz="0" w:space="0"/>
              </w:pBdr>
              <w:tabs>
                <w:tab w:val="clear" w:pos="4153"/>
                <w:tab w:val="clear" w:pos="8306"/>
              </w:tabs>
              <w:adjustRightInd/>
              <w:spacing w:line="240" w:lineRule="auto"/>
              <w:textAlignment w:val="auto"/>
              <w:rPr>
                <w:rFonts w:hint="eastAsia" w:ascii="宋体" w:hAnsi="宋体" w:eastAsia="宋体"/>
                <w:bCs/>
                <w:kern w:val="2"/>
                <w:highlight w:val="none"/>
              </w:rPr>
            </w:pPr>
            <w:r>
              <w:rPr>
                <w:rFonts w:hint="eastAsia" w:ascii="宋体" w:hAnsi="宋体" w:eastAsia="宋体"/>
                <w:bCs/>
                <w:kern w:val="2"/>
                <w:highlight w:val="none"/>
              </w:rPr>
              <w:t>4</w:t>
            </w:r>
          </w:p>
        </w:tc>
        <w:tc>
          <w:tcPr>
            <w:tcW w:w="2191" w:type="dxa"/>
            <w:vAlign w:val="center"/>
          </w:tcPr>
          <w:p w14:paraId="3B033300">
            <w:pPr>
              <w:pStyle w:val="6"/>
              <w:widowControl w:val="0"/>
              <w:spacing w:before="0" w:beforeAutospacing="0" w:after="0" w:afterAutospacing="0" w:line="360" w:lineRule="auto"/>
              <w:rPr>
                <w:rFonts w:hint="eastAsia" w:ascii="宋体" w:hAnsi="宋体" w:eastAsia="宋体"/>
                <w:b w:val="0"/>
                <w:sz w:val="24"/>
                <w:highlight w:val="none"/>
              </w:rPr>
            </w:pPr>
            <w:r>
              <w:rPr>
                <w:rFonts w:hint="eastAsia" w:ascii="宋体" w:hAnsi="宋体" w:eastAsia="宋体"/>
                <w:b w:val="0"/>
                <w:sz w:val="24"/>
                <w:highlight w:val="none"/>
              </w:rPr>
              <w:t>免费质保期</w:t>
            </w:r>
          </w:p>
        </w:tc>
        <w:tc>
          <w:tcPr>
            <w:tcW w:w="5191" w:type="dxa"/>
            <w:vAlign w:val="center"/>
          </w:tcPr>
          <w:p w14:paraId="1E6985C1">
            <w:pPr>
              <w:pStyle w:val="6"/>
              <w:widowControl w:val="0"/>
              <w:spacing w:before="0" w:beforeAutospacing="0" w:after="0" w:afterAutospacing="0" w:line="360" w:lineRule="auto"/>
              <w:jc w:val="both"/>
              <w:rPr>
                <w:rFonts w:hint="eastAsia" w:ascii="宋体" w:hAnsi="宋体" w:eastAsia="宋体"/>
                <w:b w:val="0"/>
                <w:sz w:val="24"/>
                <w:highlight w:val="none"/>
              </w:rPr>
            </w:pPr>
            <w:r>
              <w:rPr>
                <w:rFonts w:hint="eastAsia" w:ascii="宋体" w:hAnsi="宋体" w:eastAsia="宋体"/>
                <w:b w:val="0"/>
                <w:sz w:val="24"/>
                <w:highlight w:val="none"/>
                <w:u w:val="single"/>
              </w:rPr>
              <w:t>详见比选公告</w:t>
            </w:r>
          </w:p>
        </w:tc>
      </w:tr>
    </w:tbl>
    <w:p w14:paraId="0EDEBF5B">
      <w:pPr>
        <w:spacing w:line="360" w:lineRule="auto"/>
        <w:ind w:firstLine="437"/>
        <w:outlineLvl w:val="1"/>
        <w:rPr>
          <w:rFonts w:hint="eastAsia" w:ascii="宋体" w:hAnsi="宋体" w:eastAsia="宋体"/>
          <w:b/>
          <w:bCs/>
          <w:sz w:val="24"/>
          <w:szCs w:val="18"/>
          <w:highlight w:val="none"/>
        </w:rPr>
      </w:pPr>
      <w:r>
        <w:rPr>
          <w:rFonts w:hint="eastAsia" w:ascii="宋体" w:hAnsi="宋体" w:eastAsia="宋体"/>
          <w:b/>
          <w:bCs/>
          <w:sz w:val="24"/>
          <w:szCs w:val="18"/>
          <w:highlight w:val="none"/>
        </w:rPr>
        <w:t>二、</w:t>
      </w:r>
      <w:r>
        <w:rPr>
          <w:rFonts w:hint="eastAsia" w:ascii="宋体" w:hAnsi="宋体" w:eastAsia="宋体"/>
          <w:b/>
          <w:sz w:val="24"/>
          <w:szCs w:val="18"/>
          <w:highlight w:val="none"/>
        </w:rPr>
        <w:t>货物</w:t>
      </w:r>
      <w:r>
        <w:rPr>
          <w:rFonts w:hint="eastAsia" w:ascii="宋体" w:hAnsi="宋体" w:eastAsia="宋体"/>
          <w:b/>
          <w:bCs/>
          <w:sz w:val="24"/>
          <w:szCs w:val="18"/>
          <w:highlight w:val="none"/>
        </w:rPr>
        <w:t>需求</w:t>
      </w:r>
    </w:p>
    <w:p w14:paraId="53C6DE50">
      <w:pPr>
        <w:widowControl/>
        <w:ind w:firstLine="482" w:firstLineChars="200"/>
        <w:outlineLvl w:val="2"/>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（一）标识符号</w:t>
      </w:r>
    </w:p>
    <w:tbl>
      <w:tblPr>
        <w:tblStyle w:val="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4"/>
        <w:gridCol w:w="1365"/>
        <w:gridCol w:w="5363"/>
      </w:tblGrid>
      <w:tr w14:paraId="0FCFD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94" w:type="dxa"/>
            <w:vAlign w:val="center"/>
          </w:tcPr>
          <w:p w14:paraId="66496B31">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标识类型</w:t>
            </w:r>
          </w:p>
        </w:tc>
        <w:tc>
          <w:tcPr>
            <w:tcW w:w="1365" w:type="dxa"/>
            <w:vAlign w:val="center"/>
          </w:tcPr>
          <w:p w14:paraId="7180F163">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标识符号</w:t>
            </w:r>
          </w:p>
        </w:tc>
        <w:tc>
          <w:tcPr>
            <w:tcW w:w="5363" w:type="dxa"/>
            <w:vAlign w:val="center"/>
          </w:tcPr>
          <w:p w14:paraId="4D15BB18">
            <w:pPr>
              <w:spacing w:line="300" w:lineRule="auto"/>
              <w:jc w:val="center"/>
              <w:rPr>
                <w:rFonts w:hint="eastAsia" w:ascii="宋体" w:hAnsi="宋体" w:eastAsia="宋体" w:cs="宋体"/>
                <w:b/>
                <w:sz w:val="24"/>
                <w:szCs w:val="24"/>
                <w:highlight w:val="none"/>
              </w:rPr>
            </w:pPr>
            <w:r>
              <w:rPr>
                <w:rFonts w:hint="eastAsia" w:ascii="宋体" w:hAnsi="宋体" w:eastAsia="宋体" w:cs="宋体"/>
                <w:b/>
                <w:sz w:val="24"/>
                <w:szCs w:val="24"/>
                <w:highlight w:val="none"/>
              </w:rPr>
              <w:t>标识符号含义</w:t>
            </w:r>
          </w:p>
        </w:tc>
      </w:tr>
      <w:tr w14:paraId="197B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794" w:type="dxa"/>
            <w:vAlign w:val="center"/>
          </w:tcPr>
          <w:p w14:paraId="3DE2FCE5">
            <w:pPr>
              <w:spacing w:line="300" w:lineRule="auto"/>
              <w:jc w:val="center"/>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重要指标项（如有）</w:t>
            </w:r>
          </w:p>
        </w:tc>
        <w:tc>
          <w:tcPr>
            <w:tcW w:w="1365" w:type="dxa"/>
            <w:vAlign w:val="center"/>
          </w:tcPr>
          <w:p w14:paraId="6CD66D9C">
            <w:pPr>
              <w:wordWrap w:val="0"/>
              <w:adjustRightInd w:val="0"/>
              <w:snapToGrid w:val="0"/>
              <w:spacing w:line="300" w:lineRule="auto"/>
              <w:jc w:val="center"/>
              <w:rPr>
                <w:rFonts w:hint="eastAsia" w:ascii="宋体" w:hAnsi="宋体" w:eastAsia="宋体" w:cs="宋体"/>
                <w:bCs/>
                <w:color w:val="000000"/>
                <w:sz w:val="24"/>
                <w:szCs w:val="24"/>
                <w:highlight w:val="none"/>
              </w:rPr>
            </w:pPr>
            <w:r>
              <w:rPr>
                <w:rFonts w:hint="eastAsia" w:ascii="宋体" w:hAnsi="宋体" w:eastAsia="宋体" w:cs="宋体"/>
                <w:color w:val="000000"/>
                <w:sz w:val="24"/>
                <w:szCs w:val="24"/>
                <w:highlight w:val="none"/>
              </w:rPr>
              <w:t>★</w:t>
            </w:r>
          </w:p>
        </w:tc>
        <w:tc>
          <w:tcPr>
            <w:tcW w:w="5363" w:type="dxa"/>
            <w:vAlign w:val="center"/>
          </w:tcPr>
          <w:p w14:paraId="5D4068F8">
            <w:pPr>
              <w:wordWrap w:val="0"/>
              <w:adjustRightInd w:val="0"/>
              <w:snapToGrid w:val="0"/>
              <w:spacing w:line="300" w:lineRule="auto"/>
              <w:jc w:val="left"/>
              <w:rPr>
                <w:rFonts w:hint="eastAsia" w:ascii="宋体" w:hAnsi="宋体" w:eastAsia="宋体" w:cs="宋体"/>
                <w:bCs/>
                <w:color w:val="000000"/>
                <w:sz w:val="24"/>
                <w:szCs w:val="24"/>
                <w:highlight w:val="none"/>
              </w:rPr>
            </w:pPr>
            <w:r>
              <w:rPr>
                <w:rFonts w:hint="eastAsia" w:ascii="宋体" w:hAnsi="宋体" w:eastAsia="宋体" w:cs="宋体"/>
                <w:bCs/>
                <w:color w:val="000000"/>
                <w:sz w:val="24"/>
                <w:szCs w:val="24"/>
                <w:highlight w:val="none"/>
              </w:rPr>
              <w:t>不满足技术要求中“★”参数（如有）的,属于重大偏离，会对最终评审产生较大影响。</w:t>
            </w:r>
          </w:p>
        </w:tc>
      </w:tr>
      <w:tr w14:paraId="1EA42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8522" w:type="dxa"/>
            <w:gridSpan w:val="3"/>
            <w:vAlign w:val="center"/>
          </w:tcPr>
          <w:p w14:paraId="7B48C025">
            <w:pPr>
              <w:spacing w:line="30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注：</w:t>
            </w:r>
          </w:p>
          <w:p w14:paraId="38ACF8A3">
            <w:pPr>
              <w:spacing w:line="300" w:lineRule="auto"/>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如某项标识中包含多条技术参数或要求，则该项标识所含内容均需满足或优于比选文件要求，否则不予认可。</w:t>
            </w:r>
          </w:p>
        </w:tc>
      </w:tr>
    </w:tbl>
    <w:p w14:paraId="43D300E6">
      <w:pPr>
        <w:widowControl/>
        <w:snapToGrid w:val="0"/>
        <w:spacing w:line="360" w:lineRule="auto"/>
        <w:ind w:firstLine="482" w:firstLineChars="200"/>
        <w:outlineLvl w:val="2"/>
        <w:rPr>
          <w:rFonts w:hint="eastAsia" w:ascii="宋体" w:hAnsi="宋体" w:eastAsia="宋体" w:cs="宋体"/>
          <w:b/>
          <w:bCs/>
          <w:sz w:val="24"/>
          <w:szCs w:val="24"/>
          <w:highlight w:val="none"/>
        </w:rPr>
      </w:pPr>
    </w:p>
    <w:p w14:paraId="1D82C565">
      <w:pPr>
        <w:widowControl/>
        <w:snapToGrid w:val="0"/>
        <w:spacing w:line="360" w:lineRule="auto"/>
        <w:ind w:firstLine="482" w:firstLineChars="200"/>
        <w:outlineLvl w:val="2"/>
        <w:rPr>
          <w:rFonts w:hint="eastAsia" w:ascii="宋体" w:hAnsi="宋体" w:eastAsia="宋体"/>
          <w:b/>
          <w:bCs/>
          <w:sz w:val="24"/>
          <w:szCs w:val="18"/>
          <w:highlight w:val="none"/>
        </w:rPr>
      </w:pPr>
      <w:r>
        <w:rPr>
          <w:rFonts w:hint="eastAsia" w:ascii="宋体" w:hAnsi="宋体" w:eastAsia="宋体" w:cs="宋体"/>
          <w:b/>
          <w:bCs/>
          <w:sz w:val="24"/>
          <w:szCs w:val="24"/>
          <w:highlight w:val="none"/>
        </w:rPr>
        <w:t>（二）技术参数</w:t>
      </w:r>
    </w:p>
    <w:bookmarkEnd w:id="0"/>
    <w:tbl>
      <w:tblPr>
        <w:tblStyle w:val="3"/>
        <w:tblW w:w="821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1"/>
        <w:gridCol w:w="7328"/>
      </w:tblGrid>
      <w:tr w14:paraId="31622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C9FAD">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1</w:t>
            </w:r>
          </w:p>
        </w:tc>
        <w:tc>
          <w:tcPr>
            <w:tcW w:w="7328" w:type="dxa"/>
            <w:tcBorders>
              <w:top w:val="single" w:color="000000" w:sz="4" w:space="0"/>
              <w:left w:val="nil"/>
              <w:bottom w:val="single" w:color="000000" w:sz="4" w:space="0"/>
              <w:right w:val="single" w:color="000000" w:sz="4" w:space="0"/>
            </w:tcBorders>
            <w:shd w:val="clear" w:color="auto" w:fill="auto"/>
            <w:noWrap/>
            <w:vAlign w:val="center"/>
          </w:tcPr>
          <w:p w14:paraId="73E92124">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主机彩色液晶屏显示；触摸屏控制；马达接口数量≥2；马达自动识别功能；术前可设定不同参数；实时显示马达钻速、转动方向</w:t>
            </w:r>
          </w:p>
        </w:tc>
      </w:tr>
      <w:tr w14:paraId="312AA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9FDF0">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2</w:t>
            </w:r>
          </w:p>
        </w:tc>
        <w:tc>
          <w:tcPr>
            <w:tcW w:w="7328" w:type="dxa"/>
            <w:tcBorders>
              <w:top w:val="single" w:color="000000" w:sz="4" w:space="0"/>
              <w:left w:val="nil"/>
              <w:bottom w:val="single" w:color="000000" w:sz="4" w:space="0"/>
              <w:right w:val="single" w:color="000000" w:sz="4" w:space="0"/>
            </w:tcBorders>
            <w:shd w:val="clear" w:color="auto" w:fill="auto"/>
            <w:noWrap/>
            <w:vAlign w:val="center"/>
          </w:tcPr>
          <w:p w14:paraId="37B98487">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主机多语言选择，图形化操作界面</w:t>
            </w:r>
          </w:p>
        </w:tc>
      </w:tr>
      <w:tr w14:paraId="7617D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4545A">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3</w:t>
            </w:r>
          </w:p>
        </w:tc>
        <w:tc>
          <w:tcPr>
            <w:tcW w:w="7328" w:type="dxa"/>
            <w:tcBorders>
              <w:top w:val="single" w:color="000000" w:sz="4" w:space="0"/>
              <w:left w:val="nil"/>
              <w:bottom w:val="single" w:color="000000" w:sz="4" w:space="0"/>
              <w:right w:val="single" w:color="000000" w:sz="4" w:space="0"/>
            </w:tcBorders>
            <w:shd w:val="clear" w:color="auto" w:fill="auto"/>
            <w:noWrap/>
            <w:vAlign w:val="center"/>
          </w:tcPr>
          <w:p w14:paraId="7003779A">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主机可调节转速控制</w:t>
            </w:r>
          </w:p>
        </w:tc>
      </w:tr>
      <w:tr w14:paraId="61CEF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C607D">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4</w:t>
            </w:r>
          </w:p>
        </w:tc>
        <w:tc>
          <w:tcPr>
            <w:tcW w:w="7328" w:type="dxa"/>
            <w:tcBorders>
              <w:top w:val="single" w:color="000000" w:sz="4" w:space="0"/>
              <w:left w:val="nil"/>
              <w:bottom w:val="single" w:color="000000" w:sz="4" w:space="0"/>
              <w:right w:val="single" w:color="000000" w:sz="4" w:space="0"/>
            </w:tcBorders>
            <w:shd w:val="clear" w:color="auto" w:fill="auto"/>
            <w:noWrap/>
            <w:vAlign w:val="center"/>
          </w:tcPr>
          <w:p w14:paraId="706B0FF2">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单一主机兼容≥12手柄</w:t>
            </w:r>
          </w:p>
        </w:tc>
      </w:tr>
      <w:tr w14:paraId="4CBA8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194A5">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6</w:t>
            </w:r>
          </w:p>
        </w:tc>
        <w:tc>
          <w:tcPr>
            <w:tcW w:w="7328" w:type="dxa"/>
            <w:tcBorders>
              <w:top w:val="single" w:color="000000" w:sz="4" w:space="0"/>
              <w:left w:val="nil"/>
              <w:bottom w:val="single" w:color="000000" w:sz="4" w:space="0"/>
              <w:right w:val="single" w:color="000000" w:sz="4" w:space="0"/>
            </w:tcBorders>
            <w:shd w:val="clear" w:color="auto" w:fill="auto"/>
            <w:noWrap/>
            <w:vAlign w:val="center"/>
          </w:tcPr>
          <w:p w14:paraId="5C4B25EB">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主机－马达线缆具备“开启/停止”的安全开关，</w:t>
            </w:r>
          </w:p>
        </w:tc>
      </w:tr>
      <w:tr w14:paraId="48FB8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74D9D">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7</w:t>
            </w:r>
          </w:p>
        </w:tc>
        <w:tc>
          <w:tcPr>
            <w:tcW w:w="7328" w:type="dxa"/>
            <w:tcBorders>
              <w:top w:val="single" w:color="000000" w:sz="4" w:space="0"/>
              <w:left w:val="nil"/>
              <w:bottom w:val="single" w:color="000000" w:sz="4" w:space="0"/>
              <w:right w:val="single" w:color="000000" w:sz="4" w:space="0"/>
            </w:tcBorders>
            <w:shd w:val="clear" w:color="auto" w:fill="auto"/>
            <w:noWrap/>
            <w:vAlign w:val="center"/>
          </w:tcPr>
          <w:p w14:paraId="4E8879B8">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主机－马达线缆允许使用碱性清洁剂清洁表面；可高温高压灭菌</w:t>
            </w:r>
          </w:p>
        </w:tc>
      </w:tr>
      <w:tr w14:paraId="7518A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56010">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8</w:t>
            </w:r>
          </w:p>
        </w:tc>
        <w:tc>
          <w:tcPr>
            <w:tcW w:w="7328" w:type="dxa"/>
            <w:tcBorders>
              <w:top w:val="single" w:color="000000" w:sz="4" w:space="0"/>
              <w:left w:val="nil"/>
              <w:bottom w:val="single" w:color="000000" w:sz="4" w:space="0"/>
              <w:right w:val="single" w:color="000000" w:sz="4" w:space="0"/>
            </w:tcBorders>
            <w:shd w:val="clear" w:color="auto" w:fill="auto"/>
            <w:noWrap/>
            <w:vAlign w:val="center"/>
          </w:tcPr>
          <w:p w14:paraId="1644F916">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★磨钻最高转速≥80000转/分钟</w:t>
            </w:r>
          </w:p>
        </w:tc>
      </w:tr>
      <w:tr w14:paraId="44656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241A0">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9</w:t>
            </w:r>
          </w:p>
        </w:tc>
        <w:tc>
          <w:tcPr>
            <w:tcW w:w="7328" w:type="dxa"/>
            <w:tcBorders>
              <w:top w:val="single" w:color="000000" w:sz="4" w:space="0"/>
              <w:left w:val="nil"/>
              <w:bottom w:val="single" w:color="000000" w:sz="4" w:space="0"/>
              <w:right w:val="single" w:color="000000" w:sz="4" w:space="0"/>
            </w:tcBorders>
            <w:shd w:val="clear" w:color="auto" w:fill="auto"/>
            <w:noWrap/>
            <w:vAlign w:val="center"/>
          </w:tcPr>
          <w:p w14:paraId="0E7C2E6C">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★铣刀最高转速≥80000转/分钟</w:t>
            </w:r>
          </w:p>
        </w:tc>
      </w:tr>
      <w:tr w14:paraId="77592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1694E">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10</w:t>
            </w:r>
          </w:p>
        </w:tc>
        <w:tc>
          <w:tcPr>
            <w:tcW w:w="7328" w:type="dxa"/>
            <w:tcBorders>
              <w:top w:val="single" w:color="000000" w:sz="4" w:space="0"/>
              <w:left w:val="nil"/>
              <w:bottom w:val="single" w:color="000000" w:sz="4" w:space="0"/>
              <w:right w:val="single" w:color="000000" w:sz="4" w:space="0"/>
            </w:tcBorders>
            <w:shd w:val="clear" w:color="auto" w:fill="auto"/>
            <w:noWrap/>
            <w:vAlign w:val="center"/>
          </w:tcPr>
          <w:p w14:paraId="031CBFD7">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磨钻手柄马达前置式设计，马达位于成角结构前方。</w:t>
            </w:r>
          </w:p>
        </w:tc>
      </w:tr>
      <w:tr w14:paraId="16CED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42BCB">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11</w:t>
            </w:r>
          </w:p>
        </w:tc>
        <w:tc>
          <w:tcPr>
            <w:tcW w:w="7328" w:type="dxa"/>
            <w:tcBorders>
              <w:top w:val="single" w:color="000000" w:sz="4" w:space="0"/>
              <w:left w:val="nil"/>
              <w:bottom w:val="single" w:color="000000" w:sz="4" w:space="0"/>
              <w:right w:val="single" w:color="000000" w:sz="4" w:space="0"/>
            </w:tcBorders>
            <w:shd w:val="clear" w:color="auto" w:fill="auto"/>
            <w:noWrap/>
            <w:vAlign w:val="center"/>
          </w:tcPr>
          <w:p w14:paraId="2ECDBD50">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所有手柄与马达一体式设计，方便临床快速组装使用。</w:t>
            </w:r>
          </w:p>
        </w:tc>
      </w:tr>
      <w:tr w14:paraId="27B8C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F13A6">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12</w:t>
            </w:r>
          </w:p>
        </w:tc>
        <w:tc>
          <w:tcPr>
            <w:tcW w:w="7328" w:type="dxa"/>
            <w:tcBorders>
              <w:top w:val="single" w:color="000000" w:sz="4" w:space="0"/>
              <w:left w:val="nil"/>
              <w:bottom w:val="single" w:color="000000" w:sz="4" w:space="0"/>
              <w:right w:val="single" w:color="000000" w:sz="4" w:space="0"/>
            </w:tcBorders>
            <w:shd w:val="clear" w:color="auto" w:fill="auto"/>
            <w:noWrap/>
            <w:vAlign w:val="center"/>
          </w:tcPr>
          <w:p w14:paraId="65784760">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★动力手柄马达数量≥3。</w:t>
            </w:r>
          </w:p>
        </w:tc>
      </w:tr>
      <w:tr w14:paraId="67863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73CA7">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13</w:t>
            </w:r>
          </w:p>
        </w:tc>
        <w:tc>
          <w:tcPr>
            <w:tcW w:w="7328" w:type="dxa"/>
            <w:tcBorders>
              <w:top w:val="single" w:color="000000" w:sz="4" w:space="0"/>
              <w:left w:val="nil"/>
              <w:bottom w:val="single" w:color="000000" w:sz="4" w:space="0"/>
              <w:right w:val="single" w:color="000000" w:sz="4" w:space="0"/>
            </w:tcBorders>
            <w:shd w:val="clear" w:color="auto" w:fill="auto"/>
            <w:noWrap/>
            <w:vAlign w:val="center"/>
          </w:tcPr>
          <w:p w14:paraId="74F57D3B">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★手柄马达可一体化清洁/酶洗、浸泡</w:t>
            </w:r>
          </w:p>
        </w:tc>
      </w:tr>
      <w:tr w14:paraId="2DAA3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61913">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14</w:t>
            </w:r>
          </w:p>
        </w:tc>
        <w:tc>
          <w:tcPr>
            <w:tcW w:w="7328" w:type="dxa"/>
            <w:tcBorders>
              <w:top w:val="single" w:color="000000" w:sz="4" w:space="0"/>
              <w:left w:val="nil"/>
              <w:bottom w:val="single" w:color="000000" w:sz="4" w:space="0"/>
              <w:right w:val="single" w:color="000000" w:sz="4" w:space="0"/>
            </w:tcBorders>
            <w:shd w:val="clear" w:color="auto" w:fill="auto"/>
            <w:noWrap/>
            <w:vAlign w:val="center"/>
          </w:tcPr>
          <w:p w14:paraId="6CDD4523">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手柄可高温高压灭菌</w:t>
            </w:r>
          </w:p>
        </w:tc>
      </w:tr>
      <w:tr w14:paraId="1389C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6D0D7">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15</w:t>
            </w:r>
          </w:p>
        </w:tc>
        <w:tc>
          <w:tcPr>
            <w:tcW w:w="7328" w:type="dxa"/>
            <w:tcBorders>
              <w:top w:val="single" w:color="000000" w:sz="4" w:space="0"/>
              <w:left w:val="nil"/>
              <w:bottom w:val="single" w:color="000000" w:sz="4" w:space="0"/>
              <w:right w:val="single" w:color="000000" w:sz="4" w:space="0"/>
            </w:tcBorders>
            <w:shd w:val="clear" w:color="auto" w:fill="auto"/>
            <w:noWrap/>
            <w:vAlign w:val="center"/>
          </w:tcPr>
          <w:p w14:paraId="78493E6C">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同一根电缆可兼容所有一体式设计磨钻手柄，手术时无需更换</w:t>
            </w:r>
          </w:p>
        </w:tc>
      </w:tr>
      <w:tr w14:paraId="0DB1C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60870">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16</w:t>
            </w:r>
          </w:p>
        </w:tc>
        <w:tc>
          <w:tcPr>
            <w:tcW w:w="7328" w:type="dxa"/>
            <w:tcBorders>
              <w:top w:val="single" w:color="000000" w:sz="4" w:space="0"/>
              <w:left w:val="nil"/>
              <w:bottom w:val="single" w:color="000000" w:sz="4" w:space="0"/>
              <w:right w:val="single" w:color="000000" w:sz="4" w:space="0"/>
            </w:tcBorders>
            <w:shd w:val="clear" w:color="auto" w:fill="auto"/>
            <w:noWrap/>
            <w:vAlign w:val="center"/>
          </w:tcPr>
          <w:p w14:paraId="1782BF87">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开颅钻头安全自停式，与主机同品牌。</w:t>
            </w:r>
          </w:p>
        </w:tc>
      </w:tr>
      <w:tr w14:paraId="21D0C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5F7C7">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17</w:t>
            </w:r>
          </w:p>
        </w:tc>
        <w:tc>
          <w:tcPr>
            <w:tcW w:w="7328" w:type="dxa"/>
            <w:tcBorders>
              <w:top w:val="single" w:color="000000" w:sz="4" w:space="0"/>
              <w:left w:val="nil"/>
              <w:bottom w:val="single" w:color="000000" w:sz="4" w:space="0"/>
              <w:right w:val="single" w:color="000000" w:sz="4" w:space="0"/>
            </w:tcBorders>
            <w:shd w:val="clear" w:color="auto" w:fill="auto"/>
            <w:noWrap/>
            <w:vAlign w:val="center"/>
          </w:tcPr>
          <w:p w14:paraId="44E29987">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开颅钻头可重复性使用、可高温高压灭菌</w:t>
            </w:r>
          </w:p>
        </w:tc>
      </w:tr>
      <w:tr w14:paraId="0FA48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7FE4E">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18</w:t>
            </w:r>
          </w:p>
        </w:tc>
        <w:tc>
          <w:tcPr>
            <w:tcW w:w="7328" w:type="dxa"/>
            <w:tcBorders>
              <w:top w:val="single" w:color="000000" w:sz="4" w:space="0"/>
              <w:left w:val="nil"/>
              <w:bottom w:val="single" w:color="000000" w:sz="4" w:space="0"/>
              <w:right w:val="single" w:color="000000" w:sz="4" w:space="0"/>
            </w:tcBorders>
            <w:shd w:val="clear" w:color="auto" w:fill="auto"/>
            <w:noWrap/>
            <w:vAlign w:val="center"/>
          </w:tcPr>
          <w:p w14:paraId="0990142B">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★铣刀片具备可重复性使用和一次性使用供临床选择</w:t>
            </w:r>
          </w:p>
        </w:tc>
      </w:tr>
      <w:tr w14:paraId="2592C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36897">
            <w:pPr>
              <w:keepNext w:val="0"/>
              <w:keepLines w:val="0"/>
              <w:widowControl/>
              <w:suppressLineNumbers w:val="0"/>
              <w:spacing w:before="0" w:beforeAutospacing="0" w:after="0" w:afterAutospacing="0" w:line="360" w:lineRule="auto"/>
              <w:ind w:left="0" w:right="0"/>
              <w:jc w:val="left"/>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19</w:t>
            </w:r>
          </w:p>
        </w:tc>
        <w:tc>
          <w:tcPr>
            <w:tcW w:w="7328" w:type="dxa"/>
            <w:tcBorders>
              <w:top w:val="single" w:color="000000" w:sz="4" w:space="0"/>
              <w:left w:val="nil"/>
              <w:bottom w:val="single" w:color="000000" w:sz="4" w:space="0"/>
              <w:right w:val="single" w:color="000000" w:sz="4" w:space="0"/>
            </w:tcBorders>
            <w:shd w:val="clear" w:color="auto" w:fill="auto"/>
            <w:noWrap/>
            <w:vAlign w:val="center"/>
          </w:tcPr>
          <w:p w14:paraId="383B7A83">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★磨头具备可重复性使用和一次性使用供临床选择</w:t>
            </w:r>
          </w:p>
        </w:tc>
      </w:tr>
      <w:tr w14:paraId="35162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FB2C4">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20</w:t>
            </w:r>
          </w:p>
        </w:tc>
        <w:tc>
          <w:tcPr>
            <w:tcW w:w="7328" w:type="dxa"/>
            <w:tcBorders>
              <w:top w:val="single" w:color="000000" w:sz="4" w:space="0"/>
              <w:left w:val="nil"/>
              <w:bottom w:val="single" w:color="000000" w:sz="4" w:space="0"/>
              <w:right w:val="single" w:color="000000" w:sz="4" w:space="0"/>
            </w:tcBorders>
            <w:shd w:val="clear" w:color="auto" w:fill="auto"/>
            <w:noWrap/>
            <w:vAlign w:val="center"/>
          </w:tcPr>
          <w:p w14:paraId="7B494497">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磨头具备西瓜磨头、金刚砂磨头、粗糙金刚砂磨头、特粗糙金刚砂磨头、桶状磨头、锥形磨头等多种型号供临床选择</w:t>
            </w:r>
          </w:p>
        </w:tc>
      </w:tr>
      <w:tr w14:paraId="46258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895AC">
            <w:pPr>
              <w:keepNext w:val="0"/>
              <w:keepLines w:val="0"/>
              <w:widowControl/>
              <w:suppressLineNumbers w:val="0"/>
              <w:spacing w:before="0" w:beforeAutospacing="0" w:after="0" w:afterAutospacing="0" w:line="360" w:lineRule="auto"/>
              <w:ind w:left="0" w:right="0"/>
              <w:jc w:val="center"/>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21</w:t>
            </w:r>
          </w:p>
        </w:tc>
        <w:tc>
          <w:tcPr>
            <w:tcW w:w="7328" w:type="dxa"/>
            <w:tcBorders>
              <w:top w:val="single" w:color="000000" w:sz="4" w:space="0"/>
              <w:left w:val="nil"/>
              <w:bottom w:val="single" w:color="000000" w:sz="4" w:space="0"/>
              <w:right w:val="single" w:color="000000" w:sz="4" w:space="0"/>
            </w:tcBorders>
            <w:shd w:val="clear" w:color="auto" w:fill="auto"/>
            <w:noWrap/>
            <w:vAlign w:val="center"/>
          </w:tcPr>
          <w:p w14:paraId="28C4D0C8">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磨钻头长度统一，同一刀头可匹配不同长度手柄</w:t>
            </w:r>
          </w:p>
        </w:tc>
      </w:tr>
      <w:tr w14:paraId="5D8B4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91" w:type="dxa"/>
            <w:vMerge w:val="restart"/>
            <w:tcBorders>
              <w:top w:val="nil"/>
              <w:left w:val="nil"/>
              <w:right w:val="nil"/>
            </w:tcBorders>
            <w:shd w:val="clear" w:color="auto" w:fill="auto"/>
            <w:vAlign w:val="center"/>
          </w:tcPr>
          <w:p w14:paraId="6383152E">
            <w:pPr>
              <w:keepNext w:val="0"/>
              <w:keepLines w:val="0"/>
              <w:widowControl w:val="0"/>
              <w:suppressLineNumbers w:val="0"/>
              <w:spacing w:before="0" w:beforeAutospacing="0" w:after="0" w:afterAutospacing="0" w:line="360" w:lineRule="auto"/>
              <w:ind w:left="0" w:right="0"/>
              <w:jc w:val="center"/>
              <w:rPr>
                <w:rFonts w:hint="default" w:ascii="宋体" w:hAnsi="宋体" w:eastAsia="宋体" w:cs="宋体"/>
                <w:color w:val="000000"/>
                <w:kern w:val="2"/>
                <w:sz w:val="24"/>
                <w:szCs w:val="24"/>
                <w:lang w:val="en-US" w:eastAsia="zh-CN"/>
              </w:rPr>
            </w:pPr>
            <w:r>
              <w:rPr>
                <w:rFonts w:hint="eastAsia" w:ascii="宋体" w:hAnsi="宋体" w:eastAsia="宋体" w:cs="宋体"/>
                <w:color w:val="000000"/>
                <w:kern w:val="2"/>
                <w:sz w:val="24"/>
                <w:szCs w:val="24"/>
                <w:lang w:val="en-US" w:eastAsia="zh-CN"/>
              </w:rPr>
              <w:t>必须满足</w:t>
            </w:r>
          </w:p>
        </w:tc>
        <w:tc>
          <w:tcPr>
            <w:tcW w:w="7328" w:type="dxa"/>
            <w:tcBorders>
              <w:top w:val="nil"/>
              <w:left w:val="nil"/>
              <w:bottom w:val="nil"/>
              <w:right w:val="nil"/>
            </w:tcBorders>
            <w:shd w:val="clear" w:color="auto" w:fill="auto"/>
            <w:noWrap/>
            <w:vAlign w:val="center"/>
          </w:tcPr>
          <w:p w14:paraId="1F882F8E">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配置清单</w:t>
            </w:r>
            <w:r>
              <w:rPr>
                <w:rStyle w:val="7"/>
                <w:rFonts w:hint="eastAsia" w:ascii="宋体" w:hAnsi="宋体" w:eastAsia="宋体" w:cs="宋体"/>
                <w:color w:val="000000"/>
                <w:kern w:val="2"/>
                <w:sz w:val="24"/>
                <w:szCs w:val="24"/>
                <w:lang w:val="en-US" w:eastAsia="zh-CN" w:bidi="ar"/>
              </w:rPr>
              <w:t xml:space="preserve"> 数量</w:t>
            </w:r>
          </w:p>
        </w:tc>
      </w:tr>
      <w:tr w14:paraId="516A8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91" w:type="dxa"/>
            <w:vMerge w:val="continue"/>
            <w:tcBorders>
              <w:left w:val="nil"/>
              <w:right w:val="nil"/>
            </w:tcBorders>
            <w:shd w:val="clear" w:color="auto" w:fill="auto"/>
            <w:vAlign w:val="center"/>
          </w:tcPr>
          <w:p w14:paraId="0ADB335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000000"/>
                <w:kern w:val="2"/>
                <w:sz w:val="24"/>
                <w:szCs w:val="24"/>
              </w:rPr>
            </w:pPr>
          </w:p>
        </w:tc>
        <w:tc>
          <w:tcPr>
            <w:tcW w:w="7328" w:type="dxa"/>
            <w:tcBorders>
              <w:top w:val="nil"/>
              <w:left w:val="nil"/>
              <w:bottom w:val="nil"/>
              <w:right w:val="nil"/>
            </w:tcBorders>
            <w:shd w:val="clear" w:color="auto" w:fill="auto"/>
            <w:noWrap/>
            <w:vAlign w:val="center"/>
          </w:tcPr>
          <w:p w14:paraId="5A46F99D">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电动系统主机</w:t>
            </w:r>
            <w:r>
              <w:rPr>
                <w:rStyle w:val="7"/>
                <w:rFonts w:hint="eastAsia" w:ascii="宋体" w:hAnsi="宋体" w:eastAsia="宋体" w:cs="宋体"/>
                <w:color w:val="000000"/>
                <w:kern w:val="2"/>
                <w:sz w:val="24"/>
                <w:szCs w:val="24"/>
                <w:lang w:val="en-US" w:eastAsia="zh-CN" w:bidi="ar"/>
              </w:rPr>
              <w:t xml:space="preserve"> 1</w:t>
            </w:r>
          </w:p>
        </w:tc>
      </w:tr>
      <w:tr w14:paraId="6B77D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91" w:type="dxa"/>
            <w:vMerge w:val="continue"/>
            <w:tcBorders>
              <w:left w:val="nil"/>
              <w:right w:val="nil"/>
            </w:tcBorders>
            <w:shd w:val="clear" w:color="auto" w:fill="auto"/>
            <w:vAlign w:val="center"/>
          </w:tcPr>
          <w:p w14:paraId="521B44B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000000"/>
                <w:kern w:val="2"/>
                <w:sz w:val="24"/>
                <w:szCs w:val="24"/>
              </w:rPr>
            </w:pPr>
          </w:p>
        </w:tc>
        <w:tc>
          <w:tcPr>
            <w:tcW w:w="7328" w:type="dxa"/>
            <w:tcBorders>
              <w:top w:val="nil"/>
              <w:left w:val="nil"/>
              <w:bottom w:val="nil"/>
              <w:right w:val="nil"/>
            </w:tcBorders>
            <w:shd w:val="clear" w:color="auto" w:fill="auto"/>
            <w:noWrap/>
            <w:vAlign w:val="center"/>
          </w:tcPr>
          <w:p w14:paraId="11850080">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马达导线</w:t>
            </w:r>
            <w:r>
              <w:rPr>
                <w:rStyle w:val="7"/>
                <w:rFonts w:hint="eastAsia" w:ascii="宋体" w:hAnsi="宋体" w:eastAsia="宋体" w:cs="宋体"/>
                <w:color w:val="000000"/>
                <w:kern w:val="2"/>
                <w:sz w:val="24"/>
                <w:szCs w:val="24"/>
                <w:lang w:val="en-US" w:eastAsia="zh-CN" w:bidi="ar"/>
              </w:rPr>
              <w:t xml:space="preserve"> 1</w:t>
            </w:r>
          </w:p>
        </w:tc>
      </w:tr>
      <w:tr w14:paraId="2F702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91" w:type="dxa"/>
            <w:vMerge w:val="continue"/>
            <w:tcBorders>
              <w:left w:val="nil"/>
              <w:right w:val="nil"/>
            </w:tcBorders>
            <w:shd w:val="clear" w:color="auto" w:fill="auto"/>
            <w:vAlign w:val="center"/>
          </w:tcPr>
          <w:p w14:paraId="22E730B6">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000000"/>
                <w:kern w:val="2"/>
                <w:sz w:val="24"/>
                <w:szCs w:val="24"/>
              </w:rPr>
            </w:pPr>
          </w:p>
        </w:tc>
        <w:tc>
          <w:tcPr>
            <w:tcW w:w="7328" w:type="dxa"/>
            <w:tcBorders>
              <w:top w:val="nil"/>
              <w:left w:val="nil"/>
              <w:bottom w:val="nil"/>
              <w:right w:val="nil"/>
            </w:tcBorders>
            <w:shd w:val="clear" w:color="auto" w:fill="auto"/>
            <w:noWrap/>
            <w:vAlign w:val="center"/>
          </w:tcPr>
          <w:p w14:paraId="08208EF5">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脚踏开关</w:t>
            </w:r>
            <w:r>
              <w:rPr>
                <w:rStyle w:val="7"/>
                <w:rFonts w:hint="eastAsia" w:ascii="宋体" w:hAnsi="宋体" w:eastAsia="宋体" w:cs="宋体"/>
                <w:color w:val="000000"/>
                <w:kern w:val="2"/>
                <w:sz w:val="24"/>
                <w:szCs w:val="24"/>
                <w:lang w:val="en-US" w:eastAsia="zh-CN" w:bidi="ar"/>
              </w:rPr>
              <w:t xml:space="preserve"> 1</w:t>
            </w:r>
          </w:p>
        </w:tc>
      </w:tr>
      <w:tr w14:paraId="79EA5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91" w:type="dxa"/>
            <w:vMerge w:val="continue"/>
            <w:tcBorders>
              <w:left w:val="nil"/>
              <w:right w:val="nil"/>
            </w:tcBorders>
            <w:shd w:val="clear" w:color="auto" w:fill="auto"/>
            <w:vAlign w:val="center"/>
          </w:tcPr>
          <w:p w14:paraId="185EDED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000000"/>
                <w:kern w:val="2"/>
                <w:sz w:val="24"/>
                <w:szCs w:val="24"/>
              </w:rPr>
            </w:pPr>
          </w:p>
        </w:tc>
        <w:tc>
          <w:tcPr>
            <w:tcW w:w="7328" w:type="dxa"/>
            <w:tcBorders>
              <w:top w:val="nil"/>
              <w:left w:val="nil"/>
              <w:bottom w:val="nil"/>
              <w:right w:val="nil"/>
            </w:tcBorders>
            <w:shd w:val="clear" w:color="auto" w:fill="auto"/>
            <w:noWrap/>
            <w:vAlign w:val="center"/>
          </w:tcPr>
          <w:p w14:paraId="4B8FCD2C">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开颅钻马达手柄</w:t>
            </w:r>
            <w:r>
              <w:rPr>
                <w:rStyle w:val="7"/>
                <w:rFonts w:hint="eastAsia" w:ascii="宋体" w:hAnsi="宋体" w:eastAsia="宋体" w:cs="宋体"/>
                <w:color w:val="000000"/>
                <w:kern w:val="2"/>
                <w:sz w:val="24"/>
                <w:szCs w:val="24"/>
                <w:lang w:val="en-US" w:eastAsia="zh-CN" w:bidi="ar"/>
              </w:rPr>
              <w:t xml:space="preserve"> 1</w:t>
            </w:r>
          </w:p>
        </w:tc>
      </w:tr>
      <w:tr w14:paraId="34ED0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91" w:type="dxa"/>
            <w:vMerge w:val="continue"/>
            <w:tcBorders>
              <w:left w:val="nil"/>
              <w:right w:val="nil"/>
            </w:tcBorders>
            <w:shd w:val="clear" w:color="auto" w:fill="auto"/>
            <w:vAlign w:val="center"/>
          </w:tcPr>
          <w:p w14:paraId="585D9AE7">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000000"/>
                <w:kern w:val="2"/>
                <w:sz w:val="24"/>
                <w:szCs w:val="24"/>
              </w:rPr>
            </w:pPr>
          </w:p>
        </w:tc>
        <w:tc>
          <w:tcPr>
            <w:tcW w:w="7328" w:type="dxa"/>
            <w:tcBorders>
              <w:top w:val="nil"/>
              <w:left w:val="nil"/>
              <w:bottom w:val="nil"/>
              <w:right w:val="nil"/>
            </w:tcBorders>
            <w:shd w:val="clear" w:color="auto" w:fill="auto"/>
            <w:noWrap/>
            <w:vAlign w:val="center"/>
          </w:tcPr>
          <w:p w14:paraId="49448A51">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多功能马达手柄（铣刀）</w:t>
            </w:r>
            <w:r>
              <w:rPr>
                <w:rStyle w:val="7"/>
                <w:rFonts w:hint="eastAsia" w:ascii="宋体" w:hAnsi="宋体" w:eastAsia="宋体" w:cs="宋体"/>
                <w:color w:val="000000"/>
                <w:kern w:val="2"/>
                <w:sz w:val="24"/>
                <w:szCs w:val="24"/>
                <w:lang w:val="en-US" w:eastAsia="zh-CN" w:bidi="ar"/>
              </w:rPr>
              <w:t xml:space="preserve"> 1</w:t>
            </w:r>
          </w:p>
        </w:tc>
      </w:tr>
      <w:tr w14:paraId="665EA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91" w:type="dxa"/>
            <w:vMerge w:val="continue"/>
            <w:tcBorders>
              <w:left w:val="nil"/>
              <w:right w:val="nil"/>
            </w:tcBorders>
            <w:shd w:val="clear" w:color="auto" w:fill="auto"/>
            <w:vAlign w:val="center"/>
          </w:tcPr>
          <w:p w14:paraId="687E3B4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000000"/>
                <w:kern w:val="2"/>
                <w:sz w:val="24"/>
                <w:szCs w:val="24"/>
              </w:rPr>
            </w:pPr>
          </w:p>
        </w:tc>
        <w:tc>
          <w:tcPr>
            <w:tcW w:w="7328" w:type="dxa"/>
            <w:tcBorders>
              <w:top w:val="nil"/>
              <w:left w:val="nil"/>
              <w:bottom w:val="nil"/>
              <w:right w:val="nil"/>
            </w:tcBorders>
            <w:shd w:val="clear" w:color="auto" w:fill="auto"/>
            <w:noWrap/>
            <w:vAlign w:val="center"/>
          </w:tcPr>
          <w:p w14:paraId="53AD6D98">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10cm磨钻马达手柄</w:t>
            </w:r>
            <w:r>
              <w:rPr>
                <w:rStyle w:val="7"/>
                <w:rFonts w:hint="eastAsia" w:ascii="宋体" w:hAnsi="宋体" w:eastAsia="宋体" w:cs="宋体"/>
                <w:color w:val="000000"/>
                <w:kern w:val="2"/>
                <w:sz w:val="24"/>
                <w:szCs w:val="24"/>
                <w:lang w:val="en-US" w:eastAsia="zh-CN" w:bidi="ar"/>
              </w:rPr>
              <w:t xml:space="preserve"> 1</w:t>
            </w:r>
          </w:p>
        </w:tc>
      </w:tr>
      <w:tr w14:paraId="61D2B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91" w:type="dxa"/>
            <w:vMerge w:val="continue"/>
            <w:tcBorders>
              <w:left w:val="nil"/>
              <w:right w:val="nil"/>
            </w:tcBorders>
            <w:shd w:val="clear" w:color="auto" w:fill="auto"/>
            <w:vAlign w:val="center"/>
          </w:tcPr>
          <w:p w14:paraId="19392039">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000000"/>
                <w:kern w:val="2"/>
                <w:sz w:val="24"/>
                <w:szCs w:val="24"/>
              </w:rPr>
            </w:pPr>
          </w:p>
        </w:tc>
        <w:tc>
          <w:tcPr>
            <w:tcW w:w="7328" w:type="dxa"/>
            <w:tcBorders>
              <w:top w:val="nil"/>
              <w:left w:val="nil"/>
              <w:bottom w:val="nil"/>
              <w:right w:val="nil"/>
            </w:tcBorders>
            <w:shd w:val="clear" w:color="auto" w:fill="auto"/>
            <w:noWrap/>
            <w:vAlign w:val="center"/>
          </w:tcPr>
          <w:p w14:paraId="786A7972">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铣刀固定保护鞘 - 标准型</w:t>
            </w:r>
            <w:r>
              <w:rPr>
                <w:rStyle w:val="7"/>
                <w:rFonts w:hint="eastAsia" w:ascii="宋体" w:hAnsi="宋体" w:eastAsia="宋体" w:cs="宋体"/>
                <w:color w:val="000000"/>
                <w:kern w:val="2"/>
                <w:sz w:val="24"/>
                <w:szCs w:val="24"/>
                <w:lang w:val="en-US" w:eastAsia="zh-CN" w:bidi="ar"/>
              </w:rPr>
              <w:t xml:space="preserve"> 1</w:t>
            </w:r>
          </w:p>
        </w:tc>
      </w:tr>
      <w:tr w14:paraId="1E9DF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91" w:type="dxa"/>
            <w:vMerge w:val="continue"/>
            <w:tcBorders>
              <w:left w:val="nil"/>
              <w:right w:val="nil"/>
            </w:tcBorders>
            <w:shd w:val="clear" w:color="auto" w:fill="auto"/>
            <w:vAlign w:val="center"/>
          </w:tcPr>
          <w:p w14:paraId="45440D31">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000000"/>
                <w:kern w:val="2"/>
                <w:sz w:val="24"/>
                <w:szCs w:val="24"/>
              </w:rPr>
            </w:pPr>
          </w:p>
        </w:tc>
        <w:tc>
          <w:tcPr>
            <w:tcW w:w="7328" w:type="dxa"/>
            <w:tcBorders>
              <w:top w:val="nil"/>
              <w:left w:val="nil"/>
              <w:bottom w:val="nil"/>
              <w:right w:val="nil"/>
            </w:tcBorders>
            <w:shd w:val="clear" w:color="auto" w:fill="auto"/>
            <w:noWrap/>
            <w:vAlign w:val="center"/>
          </w:tcPr>
          <w:p w14:paraId="5738E20A">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铣刀手柄磨头套筒</w:t>
            </w:r>
            <w:r>
              <w:rPr>
                <w:rStyle w:val="7"/>
                <w:rFonts w:hint="eastAsia" w:ascii="宋体" w:hAnsi="宋体" w:eastAsia="宋体" w:cs="宋体"/>
                <w:color w:val="000000"/>
                <w:kern w:val="2"/>
                <w:sz w:val="24"/>
                <w:szCs w:val="24"/>
                <w:lang w:val="en-US" w:eastAsia="zh-CN" w:bidi="ar"/>
              </w:rPr>
              <w:t xml:space="preserve"> 1</w:t>
            </w:r>
          </w:p>
        </w:tc>
      </w:tr>
      <w:tr w14:paraId="76C54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91" w:type="dxa"/>
            <w:vMerge w:val="continue"/>
            <w:tcBorders>
              <w:left w:val="nil"/>
              <w:right w:val="nil"/>
            </w:tcBorders>
            <w:shd w:val="clear" w:color="auto" w:fill="auto"/>
            <w:vAlign w:val="center"/>
          </w:tcPr>
          <w:p w14:paraId="4EF2DD8F">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000000"/>
                <w:kern w:val="2"/>
                <w:sz w:val="24"/>
                <w:szCs w:val="24"/>
              </w:rPr>
            </w:pPr>
          </w:p>
        </w:tc>
        <w:tc>
          <w:tcPr>
            <w:tcW w:w="7328" w:type="dxa"/>
            <w:tcBorders>
              <w:top w:val="nil"/>
              <w:left w:val="nil"/>
              <w:bottom w:val="nil"/>
              <w:right w:val="nil"/>
            </w:tcBorders>
            <w:shd w:val="clear" w:color="auto" w:fill="auto"/>
            <w:noWrap/>
            <w:vAlign w:val="center"/>
          </w:tcPr>
          <w:p w14:paraId="2F58127B">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冲洗转接头</w:t>
            </w:r>
            <w:r>
              <w:rPr>
                <w:rStyle w:val="7"/>
                <w:rFonts w:hint="eastAsia" w:ascii="宋体" w:hAnsi="宋体" w:eastAsia="宋体" w:cs="宋体"/>
                <w:color w:val="000000"/>
                <w:kern w:val="2"/>
                <w:sz w:val="24"/>
                <w:szCs w:val="24"/>
                <w:lang w:val="en-US" w:eastAsia="zh-CN" w:bidi="ar"/>
              </w:rPr>
              <w:t xml:space="preserve"> 1</w:t>
            </w:r>
          </w:p>
        </w:tc>
      </w:tr>
      <w:tr w14:paraId="1E498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891" w:type="dxa"/>
            <w:vMerge w:val="continue"/>
            <w:tcBorders>
              <w:left w:val="nil"/>
              <w:right w:val="nil"/>
            </w:tcBorders>
            <w:shd w:val="clear" w:color="auto" w:fill="auto"/>
            <w:vAlign w:val="center"/>
          </w:tcPr>
          <w:p w14:paraId="3D128BF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000000"/>
                <w:kern w:val="2"/>
                <w:sz w:val="24"/>
                <w:szCs w:val="24"/>
              </w:rPr>
            </w:pPr>
          </w:p>
        </w:tc>
        <w:tc>
          <w:tcPr>
            <w:tcW w:w="7328" w:type="dxa"/>
            <w:tcBorders>
              <w:top w:val="nil"/>
              <w:left w:val="nil"/>
              <w:bottom w:val="nil"/>
              <w:right w:val="nil"/>
            </w:tcBorders>
            <w:shd w:val="clear" w:color="auto" w:fill="auto"/>
            <w:noWrap/>
            <w:vAlign w:val="center"/>
          </w:tcPr>
          <w:p w14:paraId="747E01F7">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开颅钻头</w:t>
            </w:r>
            <w:r>
              <w:rPr>
                <w:rStyle w:val="7"/>
                <w:rFonts w:hint="eastAsia" w:ascii="宋体" w:hAnsi="宋体" w:eastAsia="宋体" w:cs="宋体"/>
                <w:color w:val="000000"/>
                <w:kern w:val="2"/>
                <w:sz w:val="24"/>
                <w:szCs w:val="24"/>
                <w:lang w:val="en-US" w:eastAsia="zh-CN" w:bidi="ar"/>
              </w:rPr>
              <w:t xml:space="preserve"> 1</w:t>
            </w:r>
          </w:p>
        </w:tc>
      </w:tr>
      <w:tr w14:paraId="5AEB6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891" w:type="dxa"/>
            <w:vMerge w:val="continue"/>
            <w:tcBorders>
              <w:left w:val="nil"/>
              <w:bottom w:val="nil"/>
              <w:right w:val="nil"/>
            </w:tcBorders>
            <w:shd w:val="clear" w:color="auto" w:fill="auto"/>
            <w:vAlign w:val="center"/>
          </w:tcPr>
          <w:p w14:paraId="5D5EE7BD">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color w:val="000000"/>
                <w:kern w:val="2"/>
                <w:sz w:val="24"/>
                <w:szCs w:val="24"/>
              </w:rPr>
            </w:pPr>
          </w:p>
        </w:tc>
        <w:tc>
          <w:tcPr>
            <w:tcW w:w="7328" w:type="dxa"/>
            <w:tcBorders>
              <w:top w:val="nil"/>
              <w:left w:val="nil"/>
              <w:bottom w:val="nil"/>
              <w:right w:val="nil"/>
            </w:tcBorders>
            <w:shd w:val="clear" w:color="auto" w:fill="auto"/>
            <w:noWrap/>
            <w:vAlign w:val="center"/>
          </w:tcPr>
          <w:p w14:paraId="5D00D1CF">
            <w:pPr>
              <w:keepNext w:val="0"/>
              <w:keepLines w:val="0"/>
              <w:widowControl/>
              <w:suppressLineNumbers w:val="0"/>
              <w:spacing w:before="0" w:beforeAutospacing="0" w:after="0" w:afterAutospacing="0" w:line="360" w:lineRule="auto"/>
              <w:ind w:left="0" w:right="0"/>
              <w:jc w:val="both"/>
              <w:textAlignment w:val="center"/>
              <w:rPr>
                <w:rFonts w:hint="eastAsia" w:ascii="宋体" w:hAnsi="宋体" w:eastAsia="宋体" w:cs="宋体"/>
                <w:color w:val="000000"/>
                <w:kern w:val="2"/>
                <w:sz w:val="24"/>
                <w:szCs w:val="24"/>
              </w:rPr>
            </w:pPr>
            <w:r>
              <w:rPr>
                <w:rFonts w:hint="eastAsia" w:ascii="宋体" w:hAnsi="宋体" w:eastAsia="宋体" w:cs="宋体"/>
                <w:color w:val="000000"/>
                <w:kern w:val="0"/>
                <w:sz w:val="24"/>
                <w:szCs w:val="24"/>
                <w:lang w:val="en-US" w:eastAsia="zh-CN" w:bidi="ar"/>
              </w:rPr>
              <w:t>可复用西瓜磨头 D4.0</w:t>
            </w:r>
            <w:r>
              <w:rPr>
                <w:rStyle w:val="7"/>
                <w:rFonts w:hint="eastAsia" w:ascii="宋体" w:hAnsi="宋体" w:eastAsia="宋体" w:cs="宋体"/>
                <w:color w:val="000000"/>
                <w:kern w:val="2"/>
                <w:sz w:val="24"/>
                <w:szCs w:val="24"/>
                <w:lang w:val="en-US" w:eastAsia="zh-CN" w:bidi="ar"/>
              </w:rPr>
              <w:t xml:space="preserve"> 3。</w:t>
            </w:r>
          </w:p>
        </w:tc>
      </w:tr>
    </w:tbl>
    <w:p w14:paraId="5D9B5D2C">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C57C2E"/>
    <w:rsid w:val="75C57C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customStyle="1" w:styleId="5">
    <w:name w:val="D&amp;L"/>
    <w:basedOn w:val="2"/>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paragraph" w:customStyle="1" w:styleId="6">
    <w:name w:val="xl31"/>
    <w:basedOn w:val="1"/>
    <w:autoRedefine/>
    <w:qFormat/>
    <w:uiPriority w:val="0"/>
    <w:pPr>
      <w:widowControl/>
      <w:spacing w:before="100" w:beforeAutospacing="1" w:after="100" w:afterAutospacing="1"/>
      <w:jc w:val="center"/>
    </w:pPr>
    <w:rPr>
      <w:b/>
      <w:bCs/>
      <w:kern w:val="0"/>
      <w:sz w:val="28"/>
      <w:szCs w:val="28"/>
    </w:rPr>
  </w:style>
  <w:style w:type="character" w:customStyle="1" w:styleId="7">
    <w:name w:val="15"/>
    <w:basedOn w:val="4"/>
    <w:qFormat/>
    <w:uiPriority w:val="0"/>
    <w:rPr>
      <w:rFonts w:hint="eastAsia" w:ascii="宋体" w:hAnsi="宋体" w:eastAsia="宋体" w:cs="宋体"/>
      <w:color w:val="000000"/>
      <w:sz w:val="21"/>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2026-08-07T08:56:00Z</dcterms:created>
  <dc:creator>w</dc:creator>
  <cp:lastModifiedBy>w</cp:lastModifiedBy>
  <dcterms:modified xsi:type="dcterms:W3CDTF">2026-08-07T08:56:31Z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24CEAFFF737A4F6EB3D7F5FF3714F808_11</vt:lpwstr>
  </property>
  <property fmtid="{D5CDD505-2E9C-101B-9397-08002B2CF9AE}" pid="4" name="KSOTemplateDocerSaveRecord">
    <vt:lpwstr>eyJoZGlkIjoiZWUyOTQ1NDM2Zjc0YjU0MjZhMWI3YTAyMzgxNTM2MDQiLCJ1c2VySWQiOiI0NjEyMTI0ODEifQ==</vt:lpwstr>
  </property>
</Properties>
</file>