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65D33">
      <w:pPr>
        <w:spacing w:line="360" w:lineRule="auto"/>
        <w:jc w:val="center"/>
        <w:outlineLvl w:val="0"/>
        <w:rPr>
          <w:rFonts w:hint="eastAsia" w:asciiTheme="minorEastAsia" w:hAnsiTheme="minorEastAsia" w:eastAsiaTheme="minorEastAsia"/>
          <w:b/>
          <w:sz w:val="28"/>
          <w:highlight w:val="none"/>
        </w:rPr>
      </w:pPr>
      <w:r>
        <w:rPr>
          <w:rFonts w:hint="eastAsia" w:asciiTheme="minorEastAsia" w:hAnsiTheme="minorEastAsia" w:eastAsiaTheme="minorEastAsia"/>
          <w:b/>
          <w:sz w:val="28"/>
          <w:highlight w:val="none"/>
        </w:rPr>
        <w:t>采购需求</w:t>
      </w:r>
    </w:p>
    <w:p w14:paraId="67C459E5">
      <w:pPr>
        <w:spacing w:line="360" w:lineRule="auto"/>
        <w:rPr>
          <w:rFonts w:hint="eastAsia" w:asciiTheme="minorEastAsia" w:hAnsiTheme="minorEastAsia" w:eastAsiaTheme="minorEastAsia"/>
          <w:b/>
          <w:sz w:val="24"/>
          <w:szCs w:val="24"/>
          <w:highlight w:val="none"/>
        </w:rPr>
      </w:pPr>
      <w:bookmarkStart w:id="0" w:name="_Hlk16461016"/>
      <w:r>
        <w:rPr>
          <w:rFonts w:hint="eastAsia" w:asciiTheme="minorEastAsia" w:hAnsiTheme="minorEastAsia" w:eastAsiaTheme="minorEastAsia"/>
          <w:b/>
          <w:sz w:val="24"/>
          <w:szCs w:val="24"/>
          <w:highlight w:val="none"/>
        </w:rPr>
        <w:t>前注：</w:t>
      </w:r>
    </w:p>
    <w:p w14:paraId="1A3561C9">
      <w:pPr>
        <w:spacing w:line="360" w:lineRule="auto"/>
        <w:rPr>
          <w:rFonts w:hint="eastAsia" w:ascii="宋体" w:hAnsi="宋体" w:eastAsia="宋体" w:cs="宋体"/>
          <w:b/>
          <w:color w:val="FF0000"/>
          <w:sz w:val="24"/>
          <w:szCs w:val="24"/>
          <w:highlight w:val="none"/>
        </w:rPr>
      </w:pPr>
      <w:bookmarkStart w:id="1" w:name="_Toc9765"/>
      <w:bookmarkStart w:id="2" w:name="_Toc26330"/>
      <w:r>
        <w:rPr>
          <w:rFonts w:hint="eastAsia" w:ascii="宋体" w:hAnsi="宋体" w:eastAsia="宋体" w:cs="宋体"/>
          <w:b/>
          <w:color w:val="FF0000"/>
          <w:sz w:val="24"/>
          <w:szCs w:val="24"/>
          <w:highlight w:val="none"/>
          <w:lang w:bidi="ar"/>
        </w:rPr>
        <w:t>要求：以下条款如供应商参与响应，视为供应商自动响应。</w:t>
      </w:r>
    </w:p>
    <w:p w14:paraId="482728AB">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1.按照响应方案提供配置清单，标明品牌、型号、产地、数量等并分项报价；</w:t>
      </w:r>
    </w:p>
    <w:p w14:paraId="42E2D2CC">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2.提供产品日常使用的所有配套专用耗材清单，确保产品正常使用。须标明品牌、型号、产地、规格、最小供货单位等并分项报价，报价不计入响应总价。在成交后如发现有漏报、瞒报的配套专用耗材，一律视为已包含在成交总价内，不得以赠送形式向采购人提供产品及服务。耗材供应期按照医院相关耗材管理规定执行；</w:t>
      </w:r>
    </w:p>
    <w:p w14:paraId="72383F08">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3.说明是否需要其他设备配套使用，请列出配套设备名称、数量等，如未说明一律视为已包含在响应总价内；</w:t>
      </w:r>
    </w:p>
    <w:p w14:paraId="72E16474">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4.供应商及产品须资质、证照齐全且在有效期内，如确无注册证的产品，须提供官方说明材料；</w:t>
      </w:r>
    </w:p>
    <w:p w14:paraId="0CB456D9">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5.若属安徽省医用耗材政策管理范围内产品，需满足相关要求（如“集采”、“两票制”等）；若为集采管理范围内产品，需在集采目录中，同类产品原则上选择限价产品，同类无替代选择备案产品；</w:t>
      </w:r>
    </w:p>
    <w:p w14:paraId="675EF87D">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6.</w:t>
      </w:r>
      <w:r>
        <w:rPr>
          <w:rFonts w:hint="eastAsia" w:ascii="宋体" w:hAnsi="宋体" w:eastAsia="宋体" w:cs="宋体"/>
          <w:b/>
          <w:bCs/>
          <w:sz w:val="24"/>
          <w:szCs w:val="24"/>
          <w:highlight w:val="none"/>
          <w:lang w:bidi="ar"/>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eastAsia="宋体" w:cs="宋体"/>
          <w:b/>
          <w:sz w:val="24"/>
          <w:szCs w:val="24"/>
          <w:highlight w:val="none"/>
          <w:lang w:bidi="ar"/>
        </w:rPr>
        <w:t>；</w:t>
      </w:r>
    </w:p>
    <w:p w14:paraId="69511916">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7.根据医保政策，可单独收费医用耗材请提供安徽医保局下发的27位医保编码，并按编码进行报价；</w:t>
      </w:r>
    </w:p>
    <w:p w14:paraId="0E0E04F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8.需长期供应的医用耗材及试剂产品，成交后合同期内不得变更配送公司，否则取消该品牌成交资格。参选时生产厂家须出具长期授权函，并提供合同期内不变更配送公司的承诺函，如不提供的评审小组有权按无效响应处理。</w:t>
      </w:r>
    </w:p>
    <w:p w14:paraId="6052174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9.医用耗材及配套使用的工具按医院规定需要消毒的，其相关费用由供应商自行承担。</w:t>
      </w:r>
    </w:p>
    <w:p w14:paraId="1CA2D488">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10.检验试剂项目和需配套检验试剂使用的检验设备项目，均须免费提供同品牌或第三方符合溯源要求的质控品。</w:t>
      </w:r>
    </w:p>
    <w:p w14:paraId="107933D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11.供应商需无条件接受因国家及安徽省相关政策（如医用耗材带量采购等）对比选结果带来的变动，供应商不得提出异议。</w:t>
      </w:r>
    </w:p>
    <w:p w14:paraId="3B490EA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12.供应商须保证此次供应产品，响应价格不得高于安徽省医药集中采购平台交易目录最高限价；后期安徽省医药集中采购平台交易目录最高限价如有降价，成交产品的成交人应于7个工作日内书面通知采购人启动协商程序。</w:t>
      </w:r>
    </w:p>
    <w:p w14:paraId="75706C3A">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13.按收费价格费率投标的检验项目，如后期收费价格下调，试剂供货价格须按成交费率同比例下浮。</w:t>
      </w:r>
    </w:p>
    <w:p w14:paraId="496C4099">
      <w:pPr>
        <w:spacing w:line="360" w:lineRule="auto"/>
        <w:ind w:firstLine="470" w:firstLineChars="196"/>
        <w:rPr>
          <w:rFonts w:hint="eastAsia" w:ascii="宋体" w:hAnsi="宋体" w:eastAsia="宋体" w:cs="宋体"/>
          <w:b/>
          <w:sz w:val="24"/>
          <w:szCs w:val="24"/>
          <w:highlight w:val="none"/>
        </w:rPr>
      </w:pPr>
      <w:r>
        <w:rPr>
          <w:rFonts w:hint="eastAsia" w:ascii="宋体" w:hAnsi="宋体" w:eastAsia="宋体" w:cs="宋体"/>
          <w:sz w:val="24"/>
          <w:szCs w:val="24"/>
          <w:highlight w:val="none"/>
          <w:lang w:bidi="ar"/>
        </w:rPr>
        <w:t>备注：请列出易损件，耗材及其他相关产品清单，并注明编码报价。</w:t>
      </w:r>
    </w:p>
    <w:p w14:paraId="7DA3B6E3">
      <w:pPr>
        <w:spacing w:line="360" w:lineRule="auto"/>
        <w:ind w:firstLine="437"/>
        <w:outlineLvl w:val="1"/>
        <w:rPr>
          <w:rFonts w:hint="eastAsia" w:ascii="宋体" w:hAnsi="宋体" w:eastAsia="宋体"/>
          <w:b/>
          <w:sz w:val="24"/>
          <w:szCs w:val="18"/>
          <w:highlight w:val="none"/>
        </w:rPr>
      </w:pPr>
      <w:r>
        <w:rPr>
          <w:rFonts w:hint="eastAsia" w:ascii="宋体" w:hAnsi="宋体" w:eastAsia="宋体"/>
          <w:b/>
          <w:sz w:val="24"/>
          <w:szCs w:val="18"/>
          <w:highlight w:val="none"/>
        </w:rPr>
        <w:t>一、采购需求前附表</w:t>
      </w:r>
      <w:bookmarkEnd w:id="1"/>
      <w:bookmarkEnd w:id="2"/>
      <w:r>
        <w:rPr>
          <w:rFonts w:hint="eastAsia" w:ascii="宋体" w:hAnsi="宋体" w:eastAsia="宋体"/>
          <w:b/>
          <w:color w:val="FF0000"/>
          <w:sz w:val="24"/>
          <w:szCs w:val="18"/>
          <w:highlight w:val="none"/>
        </w:rPr>
        <w:t>（以下内容必须响应，否则视为无效响应）</w:t>
      </w:r>
    </w:p>
    <w:tbl>
      <w:tblPr>
        <w:tblStyle w:val="3"/>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191"/>
      </w:tblGrid>
      <w:tr w14:paraId="56E3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6042438">
            <w:pPr>
              <w:pStyle w:val="5"/>
              <w:pBdr>
                <w:bottom w:val="none" w:color="auto" w:sz="0" w:space="0"/>
              </w:pBdr>
              <w:tabs>
                <w:tab w:val="clear" w:pos="4153"/>
                <w:tab w:val="clear" w:pos="8306"/>
              </w:tabs>
              <w:adjustRightInd/>
              <w:spacing w:line="240" w:lineRule="auto"/>
              <w:textAlignment w:val="auto"/>
              <w:rPr>
                <w:rFonts w:hint="eastAsia" w:ascii="宋体" w:hAnsi="宋体" w:eastAsia="宋体"/>
                <w:b/>
                <w:kern w:val="2"/>
                <w:highlight w:val="none"/>
              </w:rPr>
            </w:pPr>
            <w:r>
              <w:rPr>
                <w:rFonts w:hint="eastAsia" w:ascii="宋体" w:hAnsi="宋体" w:eastAsia="宋体"/>
                <w:b/>
                <w:kern w:val="2"/>
                <w:highlight w:val="none"/>
              </w:rPr>
              <w:t>序号</w:t>
            </w:r>
          </w:p>
        </w:tc>
        <w:tc>
          <w:tcPr>
            <w:tcW w:w="2191" w:type="dxa"/>
            <w:vAlign w:val="center"/>
          </w:tcPr>
          <w:p w14:paraId="7E8B51D2">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条款名称</w:t>
            </w:r>
          </w:p>
        </w:tc>
        <w:tc>
          <w:tcPr>
            <w:tcW w:w="5191" w:type="dxa"/>
            <w:vAlign w:val="center"/>
          </w:tcPr>
          <w:p w14:paraId="54EE450F">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内容、说明与要求</w:t>
            </w:r>
          </w:p>
        </w:tc>
      </w:tr>
      <w:tr w14:paraId="7DA5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5C4EEB4D">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1</w:t>
            </w:r>
          </w:p>
        </w:tc>
        <w:tc>
          <w:tcPr>
            <w:tcW w:w="2191" w:type="dxa"/>
            <w:vAlign w:val="center"/>
          </w:tcPr>
          <w:p w14:paraId="79F9A803">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付款方式</w:t>
            </w:r>
          </w:p>
        </w:tc>
        <w:tc>
          <w:tcPr>
            <w:tcW w:w="5191" w:type="dxa"/>
            <w:vAlign w:val="center"/>
          </w:tcPr>
          <w:p w14:paraId="4E9963C3">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09B39CD6">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19E4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614EB883">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2</w:t>
            </w:r>
          </w:p>
        </w:tc>
        <w:tc>
          <w:tcPr>
            <w:tcW w:w="2191" w:type="dxa"/>
            <w:vAlign w:val="center"/>
          </w:tcPr>
          <w:p w14:paraId="7C47183E">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供货及安装地点</w:t>
            </w:r>
          </w:p>
        </w:tc>
        <w:tc>
          <w:tcPr>
            <w:tcW w:w="5191" w:type="dxa"/>
            <w:vAlign w:val="center"/>
          </w:tcPr>
          <w:p w14:paraId="21CD4212">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lang w:eastAsia="zh-CN"/>
              </w:rPr>
              <w:t>中国科大附一院（安徽省立医院）</w:t>
            </w:r>
            <w:r>
              <w:rPr>
                <w:rFonts w:hint="eastAsia" w:ascii="宋体" w:hAnsi="宋体" w:eastAsia="宋体"/>
                <w:b w:val="0"/>
                <w:sz w:val="24"/>
                <w:highlight w:val="none"/>
                <w:u w:val="single"/>
              </w:rPr>
              <w:t>，采购人指定地点</w:t>
            </w:r>
          </w:p>
        </w:tc>
      </w:tr>
      <w:tr w14:paraId="7E8F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CBA33BF">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3</w:t>
            </w:r>
          </w:p>
        </w:tc>
        <w:tc>
          <w:tcPr>
            <w:tcW w:w="2191" w:type="dxa"/>
            <w:vAlign w:val="center"/>
          </w:tcPr>
          <w:p w14:paraId="631C958D">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供货及安装期限</w:t>
            </w:r>
          </w:p>
        </w:tc>
        <w:tc>
          <w:tcPr>
            <w:tcW w:w="5191" w:type="dxa"/>
            <w:vAlign w:val="center"/>
          </w:tcPr>
          <w:p w14:paraId="553AD3B8">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rPr>
              <w:t>详见比选公告</w:t>
            </w:r>
          </w:p>
        </w:tc>
      </w:tr>
      <w:tr w14:paraId="68E0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2F3E4128">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4</w:t>
            </w:r>
          </w:p>
        </w:tc>
        <w:tc>
          <w:tcPr>
            <w:tcW w:w="2191" w:type="dxa"/>
            <w:vAlign w:val="center"/>
          </w:tcPr>
          <w:p w14:paraId="3B033300">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免费质保期</w:t>
            </w:r>
          </w:p>
        </w:tc>
        <w:tc>
          <w:tcPr>
            <w:tcW w:w="5191" w:type="dxa"/>
            <w:vAlign w:val="center"/>
          </w:tcPr>
          <w:p w14:paraId="1E6985C1">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rPr>
              <w:t>详见比选公告</w:t>
            </w:r>
          </w:p>
        </w:tc>
      </w:tr>
    </w:tbl>
    <w:p w14:paraId="0EDEBF5B">
      <w:pPr>
        <w:spacing w:line="360" w:lineRule="auto"/>
        <w:ind w:firstLine="437"/>
        <w:outlineLvl w:val="1"/>
        <w:rPr>
          <w:rFonts w:hint="eastAsia" w:ascii="宋体" w:hAnsi="宋体" w:eastAsia="宋体"/>
          <w:b/>
          <w:bCs/>
          <w:sz w:val="24"/>
          <w:szCs w:val="18"/>
          <w:highlight w:val="none"/>
        </w:rPr>
      </w:pPr>
      <w:r>
        <w:rPr>
          <w:rFonts w:hint="eastAsia" w:ascii="宋体" w:hAnsi="宋体" w:eastAsia="宋体"/>
          <w:b/>
          <w:bCs/>
          <w:sz w:val="24"/>
          <w:szCs w:val="18"/>
          <w:highlight w:val="none"/>
        </w:rPr>
        <w:t>二、</w:t>
      </w:r>
      <w:r>
        <w:rPr>
          <w:rFonts w:hint="eastAsia" w:ascii="宋体" w:hAnsi="宋体" w:eastAsia="宋体"/>
          <w:b/>
          <w:sz w:val="24"/>
          <w:szCs w:val="18"/>
          <w:highlight w:val="none"/>
        </w:rPr>
        <w:t>货物</w:t>
      </w:r>
      <w:r>
        <w:rPr>
          <w:rFonts w:hint="eastAsia" w:ascii="宋体" w:hAnsi="宋体" w:eastAsia="宋体"/>
          <w:b/>
          <w:bCs/>
          <w:sz w:val="24"/>
          <w:szCs w:val="18"/>
          <w:highlight w:val="none"/>
        </w:rPr>
        <w:t>需求</w:t>
      </w:r>
    </w:p>
    <w:p w14:paraId="53C6DE50">
      <w:pPr>
        <w:widowControl/>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（一）标识符号</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0FCF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14:paraId="66496B31">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vAlign w:val="center"/>
          </w:tcPr>
          <w:p w14:paraId="7180F163">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vAlign w:val="center"/>
          </w:tcPr>
          <w:p w14:paraId="4D15BB18">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197B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vAlign w:val="center"/>
          </w:tcPr>
          <w:p w14:paraId="3DE2FCE5">
            <w:pPr>
              <w:spacing w:line="30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重要指标项（如有）</w:t>
            </w:r>
          </w:p>
        </w:tc>
        <w:tc>
          <w:tcPr>
            <w:tcW w:w="1365" w:type="dxa"/>
            <w:vAlign w:val="center"/>
          </w:tcPr>
          <w:p w14:paraId="6CD66D9C">
            <w:pPr>
              <w:wordWrap w:val="0"/>
              <w:adjustRightInd w:val="0"/>
              <w:snapToGrid w:val="0"/>
              <w:spacing w:line="300" w:lineRule="auto"/>
              <w:jc w:val="center"/>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p>
        </w:tc>
        <w:tc>
          <w:tcPr>
            <w:tcW w:w="5363" w:type="dxa"/>
            <w:vAlign w:val="center"/>
          </w:tcPr>
          <w:p w14:paraId="5D4068F8">
            <w:pPr>
              <w:wordWrap w:val="0"/>
              <w:adjustRightInd w:val="0"/>
              <w:snapToGrid w:val="0"/>
              <w:spacing w:line="300" w:lineRule="auto"/>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不满足技术要求中“★”参数（如有）的,属于重大偏离，会对最终评审产生较大影响。</w:t>
            </w:r>
          </w:p>
        </w:tc>
      </w:tr>
      <w:tr w14:paraId="1EA4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vAlign w:val="center"/>
          </w:tcPr>
          <w:p w14:paraId="7B48C025">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38ACF8A3">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如某项标识中包含多条技术参数或要求，则该项标识所含内容均需满足或优于比选文件要求，否则不予认可。</w:t>
            </w:r>
          </w:p>
        </w:tc>
      </w:tr>
    </w:tbl>
    <w:p w14:paraId="43D300E6">
      <w:pPr>
        <w:widowControl/>
        <w:snapToGrid w:val="0"/>
        <w:spacing w:line="360" w:lineRule="auto"/>
        <w:ind w:firstLine="482" w:firstLineChars="200"/>
        <w:outlineLvl w:val="2"/>
        <w:rPr>
          <w:rFonts w:hint="eastAsia" w:ascii="宋体" w:hAnsi="宋体" w:eastAsia="宋体" w:cs="宋体"/>
          <w:b/>
          <w:bCs/>
          <w:sz w:val="24"/>
          <w:szCs w:val="24"/>
          <w:highlight w:val="none"/>
        </w:rPr>
      </w:pPr>
    </w:p>
    <w:p w14:paraId="1D82C565">
      <w:pPr>
        <w:widowControl/>
        <w:snapToGrid w:val="0"/>
        <w:spacing w:line="360" w:lineRule="auto"/>
        <w:ind w:firstLine="482" w:firstLineChars="200"/>
        <w:outlineLvl w:val="2"/>
        <w:rPr>
          <w:rFonts w:hint="eastAsia" w:ascii="宋体" w:hAnsi="宋体" w:eastAsia="宋体"/>
          <w:b/>
          <w:bCs/>
          <w:sz w:val="24"/>
          <w:szCs w:val="18"/>
          <w:highlight w:val="none"/>
        </w:rPr>
      </w:pPr>
      <w:r>
        <w:rPr>
          <w:rFonts w:hint="eastAsia" w:ascii="宋体" w:hAnsi="宋体" w:eastAsia="宋体" w:cs="宋体"/>
          <w:b/>
          <w:bCs/>
          <w:sz w:val="24"/>
          <w:szCs w:val="24"/>
          <w:highlight w:val="none"/>
        </w:rPr>
        <w:t>（二）技术参数</w:t>
      </w:r>
    </w:p>
    <w:bookmarkEnd w:id="0"/>
    <w:p w14:paraId="545F2B7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1.便携一体式主机，TCD主机，内置触摸显示屏（非外接触摸屏）；</w:t>
      </w:r>
    </w:p>
    <w:p w14:paraId="3C0CB1A3">
      <w:pPr>
        <w:keepNext w:val="0"/>
        <w:keepLines w:val="0"/>
        <w:widowControl w:val="0"/>
        <w:suppressLineNumbers w:val="0"/>
        <w:wordWrap w:val="0"/>
        <w:spacing w:before="0" w:beforeAutospacing="0" w:after="0" w:afterAutospacing="0" w:line="360" w:lineRule="auto"/>
        <w:ind w:left="210" w:right="0" w:hanging="240" w:hangingChars="100"/>
        <w:jc w:val="left"/>
        <w:rPr>
          <w:rFonts w:hint="eastAsia" w:ascii="宋体" w:hAnsi="宋体" w:eastAsia="宋体" w:cs="Times New Roman"/>
          <w:bCs/>
          <w:color w:val="auto"/>
          <w:kern w:val="2"/>
          <w:sz w:val="24"/>
          <w:szCs w:val="24"/>
        </w:rPr>
      </w:pPr>
      <w:r>
        <w:rPr>
          <w:rFonts w:hint="eastAsia" w:ascii="宋体" w:hAnsi="宋体" w:eastAsia="宋体" w:cs="宋体"/>
          <w:color w:val="000000"/>
          <w:sz w:val="24"/>
          <w:szCs w:val="24"/>
          <w:highlight w:val="none"/>
        </w:rPr>
        <w:t>★</w:t>
      </w:r>
      <w:r>
        <w:rPr>
          <w:rFonts w:hint="eastAsia" w:ascii="宋体" w:hAnsi="宋体" w:eastAsia="宋体" w:cs="宋体"/>
          <w:bCs/>
          <w:color w:val="auto"/>
          <w:kern w:val="2"/>
          <w:sz w:val="24"/>
          <w:szCs w:val="24"/>
          <w:lang w:val="en-US" w:eastAsia="zh-CN" w:bidi="ar"/>
        </w:rPr>
        <w:t>2.中心频率为1.6MHz或者2MHz探头的最大工作距离≥200mm</w:t>
      </w:r>
    </w:p>
    <w:p w14:paraId="2CB4FD6E">
      <w:pPr>
        <w:keepNext w:val="0"/>
        <w:keepLines w:val="0"/>
        <w:widowControl w:val="0"/>
        <w:suppressLineNumbers w:val="0"/>
        <w:wordWrap w:val="0"/>
        <w:spacing w:before="0" w:beforeAutospacing="0" w:after="0" w:afterAutospacing="0" w:line="360" w:lineRule="auto"/>
        <w:ind w:left="210" w:right="0" w:hanging="240" w:hangingChars="100"/>
        <w:jc w:val="left"/>
        <w:rPr>
          <w:rFonts w:hint="eastAsia" w:ascii="宋体" w:hAnsi="宋体" w:eastAsia="宋体" w:cs="Times New Roman"/>
          <w:bCs/>
          <w:color w:val="auto"/>
          <w:kern w:val="2"/>
          <w:sz w:val="24"/>
          <w:szCs w:val="24"/>
        </w:rPr>
      </w:pPr>
      <w:r>
        <w:rPr>
          <w:rFonts w:hint="eastAsia" w:ascii="宋体" w:hAnsi="宋体" w:eastAsia="宋体" w:cs="宋体"/>
          <w:color w:val="000000"/>
          <w:sz w:val="24"/>
          <w:szCs w:val="24"/>
          <w:highlight w:val="none"/>
        </w:rPr>
        <w:t>★</w:t>
      </w:r>
      <w:r>
        <w:rPr>
          <w:rFonts w:hint="eastAsia" w:ascii="宋体" w:hAnsi="宋体" w:eastAsia="宋体" w:cs="宋体"/>
          <w:bCs/>
          <w:color w:val="auto"/>
          <w:kern w:val="2"/>
          <w:sz w:val="24"/>
          <w:szCs w:val="24"/>
          <w:lang w:val="en-US" w:eastAsia="zh-CN" w:bidi="ar"/>
        </w:rPr>
        <w:t xml:space="preserve">3.中心频率4MHz的探头工作距离≥85mm。 </w:t>
      </w:r>
    </w:p>
    <w:p w14:paraId="649162D6">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4.输出功率：0-100%可调</w:t>
      </w:r>
      <w:r>
        <w:rPr>
          <w:rFonts w:hint="eastAsia" w:ascii="宋体" w:hAnsi="宋体" w:eastAsia="宋体" w:cs="Times New Roman"/>
          <w:bCs/>
          <w:color w:val="auto"/>
          <w:kern w:val="2"/>
          <w:sz w:val="24"/>
          <w:szCs w:val="24"/>
          <w:lang w:val="en-US" w:eastAsia="zh-CN" w:bidi="ar"/>
        </w:rPr>
        <w:t xml:space="preserve"> </w:t>
      </w:r>
    </w:p>
    <w:p w14:paraId="629DB026">
      <w:pPr>
        <w:keepNext w:val="0"/>
        <w:keepLines w:val="0"/>
        <w:widowControl w:val="0"/>
        <w:suppressLineNumbers w:val="0"/>
        <w:wordWrap w:val="0"/>
        <w:spacing w:before="0" w:beforeAutospacing="0" w:after="0" w:afterAutospacing="0" w:line="360" w:lineRule="auto"/>
        <w:ind w:left="210" w:right="0" w:hanging="240" w:hangingChars="10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 xml:space="preserve">5.支持包含但不少于 4MHZ 、8MHZ、16MHZ 频率TCD探头 </w:t>
      </w:r>
    </w:p>
    <w:p w14:paraId="1BAD9B9C">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 xml:space="preserve">6.FFT 采样率包含但不少于： 128 、256 、512 、1024 </w:t>
      </w:r>
    </w:p>
    <w:p w14:paraId="0796EE38">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7.经颅多普勒探头(TCD)专用接口≥4个</w:t>
      </w:r>
    </w:p>
    <w:p w14:paraId="0DEB965C">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8.配备TCD专用小键盘（非电脑键盘），</w:t>
      </w:r>
    </w:p>
    <w:p w14:paraId="20821AD9">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9.双通道模式：双侧血流速度量程、深度、取样容积均可单独调节；单通道检查支持同步显示八个深度的频谱图，并可以任意选择频谱放大并保存。</w:t>
      </w:r>
    </w:p>
    <w:p w14:paraId="5A5118B4">
      <w:pPr>
        <w:keepNext w:val="0"/>
        <w:keepLines w:val="0"/>
        <w:widowControl w:val="0"/>
        <w:suppressLineNumbers w:val="0"/>
        <w:wordWrap w:val="0"/>
        <w:spacing w:before="0" w:beforeAutospacing="0" w:after="0" w:afterAutospacing="0" w:line="360" w:lineRule="auto"/>
        <w:ind w:left="210" w:right="0" w:hanging="240" w:hangingChars="100"/>
        <w:jc w:val="left"/>
        <w:rPr>
          <w:rFonts w:hint="eastAsia" w:ascii="宋体" w:hAnsi="宋体" w:eastAsia="宋体" w:cs="Times New Roman"/>
          <w:bCs/>
          <w:color w:val="auto"/>
          <w:kern w:val="2"/>
          <w:sz w:val="24"/>
          <w:szCs w:val="24"/>
        </w:rPr>
      </w:pPr>
      <w:r>
        <w:rPr>
          <w:rFonts w:hint="eastAsia" w:ascii="宋体" w:hAnsi="宋体" w:eastAsia="宋体" w:cs="宋体"/>
          <w:color w:val="000000"/>
          <w:sz w:val="24"/>
          <w:szCs w:val="24"/>
          <w:highlight w:val="none"/>
        </w:rPr>
        <w:t>★</w:t>
      </w:r>
      <w:r>
        <w:rPr>
          <w:rFonts w:hint="eastAsia" w:ascii="宋体" w:hAnsi="宋体" w:eastAsia="宋体" w:cs="宋体"/>
          <w:bCs/>
          <w:color w:val="auto"/>
          <w:kern w:val="2"/>
          <w:sz w:val="24"/>
          <w:szCs w:val="24"/>
          <w:lang w:val="en-US" w:eastAsia="zh-CN" w:bidi="ar"/>
        </w:rPr>
        <w:t>10.流速测量：1.6M/2M探头角度设置为0、探测深度50mm的情况下测量≥560cm/s</w:t>
      </w:r>
      <w:r>
        <w:rPr>
          <w:rFonts w:hint="eastAsia" w:ascii="宋体" w:hAnsi="宋体" w:eastAsia="宋体" w:cs="Times New Roman"/>
          <w:bCs/>
          <w:color w:val="auto"/>
          <w:kern w:val="2"/>
          <w:sz w:val="24"/>
          <w:szCs w:val="24"/>
          <w:lang w:val="en-US" w:eastAsia="zh-CN" w:bidi="ar"/>
        </w:rPr>
        <w:t xml:space="preserve"> </w:t>
      </w:r>
    </w:p>
    <w:p w14:paraId="0B11EC14">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 xml:space="preserve">11.检测参数：Vs 、Vd 、Vm 、PI 、RI 、S/D 、HR 、HITS 、TI 、Dmean 指数、 lindegaard 指数。 </w:t>
      </w:r>
    </w:p>
    <w:p w14:paraId="55B10A0F">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12.高通滤波： 0-2000H</w:t>
      </w:r>
      <w:r>
        <w:rPr>
          <w:rFonts w:hint="eastAsia" w:ascii="宋体" w:hAnsi="宋体" w:eastAsia="宋体" w:cs="Times New Roman"/>
          <w:bCs/>
          <w:color w:val="auto"/>
          <w:kern w:val="2"/>
          <w:sz w:val="24"/>
          <w:szCs w:val="24"/>
          <w:lang w:val="en-US" w:eastAsia="zh-CN" w:bidi="ar"/>
        </w:rPr>
        <w:t>z</w:t>
      </w:r>
      <w:r>
        <w:rPr>
          <w:rFonts w:hint="eastAsia" w:ascii="宋体" w:hAnsi="宋体" w:eastAsia="宋体" w:cs="宋体"/>
          <w:bCs/>
          <w:color w:val="auto"/>
          <w:kern w:val="2"/>
          <w:sz w:val="24"/>
          <w:szCs w:val="24"/>
          <w:lang w:val="en-US" w:eastAsia="zh-CN" w:bidi="ar"/>
        </w:rPr>
        <w:t>范围多档可调</w:t>
      </w:r>
    </w:p>
    <w:p w14:paraId="2842E6C5">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13具备降噪功能：标识当前信号噪声处理状态。</w:t>
      </w:r>
    </w:p>
    <w:p w14:paraId="76D318B5">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14.具备无限时记录原始血流信息，任何状态下可以实现每1mm间隔的血流信息回放、测量，回放数据在任何电脑上都可以播放。</w:t>
      </w:r>
      <w:r>
        <w:rPr>
          <w:rFonts w:hint="eastAsia" w:ascii="宋体" w:hAnsi="宋体" w:eastAsia="宋体" w:cs="Times New Roman"/>
          <w:bCs/>
          <w:color w:val="auto"/>
          <w:kern w:val="2"/>
          <w:sz w:val="24"/>
          <w:szCs w:val="24"/>
          <w:lang w:val="en-US" w:eastAsia="zh-CN" w:bidi="ar"/>
        </w:rPr>
        <w:t xml:space="preserve"> </w:t>
      </w:r>
    </w:p>
    <w:p w14:paraId="4A34C314">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15.具备快照功能</w:t>
      </w:r>
    </w:p>
    <w:p w14:paraId="68C45CFA">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16.快照频谱都可以进行栓子分析，并且可以添加栓子事件。</w:t>
      </w:r>
    </w:p>
    <w:p w14:paraId="2CA1A18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17.快照频谱数据可以再次分析，并且可以手动标示。</w:t>
      </w:r>
    </w:p>
    <w:p w14:paraId="4C05A74B">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18.具备IWM POWER PEAK 实时输出与显示</w:t>
      </w:r>
    </w:p>
    <w:p w14:paraId="6F02757F">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 xml:space="preserve">19.具备DICOM接口，可免费连接医院网络。 </w:t>
      </w:r>
    </w:p>
    <w:p w14:paraId="0A3734EA">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20.监护系统：全程多参数记录曲线、六种参数进行趋势监护事件标识、自动报警功能、TCD 报告显示监护曲线和监护图谱。</w:t>
      </w:r>
    </w:p>
    <w:p w14:paraId="632A9D3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21.微栓子监测系统：具备栓子图、声谱图、统计直方图等。可进行时间差测量，并可手动添加栓子事件。自动识别栓子和伪差，自动计数。TCD 报告同时显示栓子图、声谱图、直方图。</w:t>
      </w:r>
    </w:p>
    <w:p w14:paraId="251086B5">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eastAsia="宋体" w:cs="Times New Roman"/>
          <w:bCs/>
          <w:color w:val="auto"/>
          <w:kern w:val="2"/>
          <w:sz w:val="24"/>
          <w:szCs w:val="24"/>
          <w:lang w:val="en-US" w:eastAsia="zh-CN" w:bidi="ar"/>
        </w:rPr>
        <w:t>2</w:t>
      </w:r>
      <w:r>
        <w:rPr>
          <w:rFonts w:hint="eastAsia" w:ascii="宋体" w:hAnsi="宋体" w:eastAsia="宋体" w:cs="宋体"/>
          <w:bCs/>
          <w:color w:val="auto"/>
          <w:kern w:val="2"/>
          <w:sz w:val="24"/>
          <w:szCs w:val="24"/>
          <w:lang w:val="en-US" w:eastAsia="zh-CN" w:bidi="ar"/>
        </w:rPr>
        <w:t>.具备发泡试验软件：自动计时、</w:t>
      </w:r>
      <w:bookmarkStart w:id="3" w:name="_GoBack"/>
      <w:bookmarkEnd w:id="3"/>
      <w:r>
        <w:rPr>
          <w:rFonts w:hint="eastAsia" w:ascii="宋体" w:hAnsi="宋体" w:eastAsia="宋体" w:cs="宋体"/>
          <w:bCs/>
          <w:color w:val="auto"/>
          <w:kern w:val="2"/>
          <w:sz w:val="24"/>
          <w:szCs w:val="24"/>
          <w:lang w:val="en-US" w:eastAsia="zh-CN" w:bidi="ar"/>
        </w:rPr>
        <w:t>自动计数、自动去除伪差。</w:t>
      </w:r>
    </w:p>
    <w:p w14:paraId="05F1A88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eastAsia="宋体" w:cs="Times New Roman"/>
          <w:bCs/>
          <w:color w:val="auto"/>
          <w:kern w:val="2"/>
          <w:sz w:val="24"/>
          <w:szCs w:val="24"/>
          <w:lang w:val="en-US" w:eastAsia="zh-CN" w:bidi="ar"/>
        </w:rPr>
        <w:t>3</w:t>
      </w:r>
      <w:r>
        <w:rPr>
          <w:rFonts w:hint="eastAsia" w:ascii="宋体" w:hAnsi="宋体" w:eastAsia="宋体" w:cs="宋体"/>
          <w:bCs/>
          <w:color w:val="auto"/>
          <w:kern w:val="2"/>
          <w:sz w:val="24"/>
          <w:szCs w:val="24"/>
          <w:lang w:val="en-US" w:eastAsia="zh-CN" w:bidi="ar"/>
        </w:rPr>
        <w:t>.基线自适应调节：基线会根据血流速度的增加、减少，进行自适应调整。</w:t>
      </w:r>
    </w:p>
    <w:p w14:paraId="14F3AA52">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eastAsia="宋体" w:cs="Times New Roman"/>
          <w:bCs/>
          <w:color w:val="auto"/>
          <w:kern w:val="2"/>
          <w:sz w:val="24"/>
          <w:szCs w:val="24"/>
          <w:lang w:val="en-US" w:eastAsia="zh-CN" w:bidi="ar"/>
        </w:rPr>
        <w:t>4</w:t>
      </w:r>
      <w:r>
        <w:rPr>
          <w:rFonts w:hint="eastAsia" w:ascii="宋体" w:hAnsi="宋体" w:eastAsia="宋体" w:cs="宋体"/>
          <w:bCs/>
          <w:color w:val="auto"/>
          <w:kern w:val="2"/>
          <w:sz w:val="24"/>
          <w:szCs w:val="24"/>
          <w:lang w:val="en-US" w:eastAsia="zh-CN" w:bidi="ar"/>
        </w:rPr>
        <w:t>.标尺自适应调节：速度量程会根据血流速度的增加、减少，进行自动的切换和调整。</w:t>
      </w:r>
    </w:p>
    <w:p w14:paraId="34CC69F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auto"/>
          <w:kern w:val="2"/>
          <w:sz w:val="24"/>
          <w:szCs w:val="24"/>
        </w:rPr>
      </w:pPr>
      <w:r>
        <w:rPr>
          <w:rFonts w:hint="eastAsia" w:ascii="宋体" w:hAnsi="宋体" w:eastAsia="宋体" w:cs="宋体"/>
          <w:bCs/>
          <w:color w:val="auto"/>
          <w:kern w:val="2"/>
          <w:sz w:val="24"/>
          <w:szCs w:val="24"/>
          <w:lang w:val="en-US" w:eastAsia="zh-CN" w:bidi="ar"/>
        </w:rPr>
        <w:t>2</w:t>
      </w:r>
      <w:r>
        <w:rPr>
          <w:rFonts w:hint="eastAsia" w:ascii="宋体" w:hAnsi="宋体" w:eastAsia="宋体" w:cs="Times New Roman"/>
          <w:bCs/>
          <w:color w:val="auto"/>
          <w:kern w:val="2"/>
          <w:sz w:val="24"/>
          <w:szCs w:val="24"/>
          <w:lang w:val="en-US" w:eastAsia="zh-CN" w:bidi="ar"/>
        </w:rPr>
        <w:t>5</w:t>
      </w:r>
      <w:r>
        <w:rPr>
          <w:rFonts w:hint="eastAsia" w:ascii="宋体" w:hAnsi="宋体" w:eastAsia="宋体" w:cs="宋体"/>
          <w:bCs/>
          <w:color w:val="auto"/>
          <w:kern w:val="2"/>
          <w:sz w:val="24"/>
          <w:szCs w:val="24"/>
          <w:lang w:val="en-US" w:eastAsia="zh-CN" w:bidi="ar"/>
        </w:rPr>
        <w:t>.双通道监护的时候可以分别调节每个通道的增益、采样容积、功率、深度等参数</w:t>
      </w:r>
    </w:p>
    <w:p w14:paraId="023ADEE8">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Cs/>
          <w:color w:val="auto"/>
          <w:kern w:val="2"/>
          <w:sz w:val="24"/>
          <w:szCs w:val="24"/>
          <w:lang w:val="en-US" w:eastAsia="zh-CN" w:bidi="ar"/>
        </w:rPr>
      </w:pPr>
    </w:p>
    <w:p w14:paraId="553576E6">
      <w:pPr>
        <w:jc w:val="left"/>
      </w:pPr>
      <w:r>
        <w:rPr>
          <w:rFonts w:hint="eastAsia" w:ascii="宋体" w:hAnsi="宋体" w:eastAsia="宋体" w:cs="宋体"/>
          <w:bCs/>
          <w:color w:val="auto"/>
          <w:kern w:val="2"/>
          <w:sz w:val="24"/>
          <w:szCs w:val="24"/>
          <w:lang w:val="en-US" w:eastAsia="zh-CN" w:bidi="ar"/>
        </w:rPr>
        <w:t>配置（商务条款，必须满足）：便携式一体机1个、手持探头1.6MHz 探头1个、手持探头4.0MHz 探头1个，16MHz探头 1个，TCD小键盘1个、专用台车1台、彩色打印机1台。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8673E"/>
    <w:rsid w:val="502E071A"/>
    <w:rsid w:val="7E286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D&amp;L"/>
    <w:basedOn w:val="2"/>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2026-08-17T10:31:00Z</dcterms:created>
  <dc:creator>省招-w</dc:creator>
  <cp:lastModifiedBy>省招-w</cp:lastModifiedBy>
  <dcterms:modified xsi:type="dcterms:W3CDTF">2026-08-17T10:34:46Z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A7A703E7421B4C99A5E3E4848B579AE8_11</vt:lpwstr>
  </property>
  <property fmtid="{D5CDD505-2E9C-101B-9397-08002B2CF9AE}" pid="4" name="KSOTemplateDocerSaveRecord">
    <vt:lpwstr>eyJoZGlkIjoiZWUyOTQ1NDM2Zjc0YjU0MjZhMWI3YTAyMzgxNTM2MDQiLCJ1c2VySWQiOiI0NjEyMTI0ODEifQ==</vt:lpwstr>
  </property>
</Properties>
</file>