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479F6">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68CB0E49">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1DFFE387">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745EED2F">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3F73970E">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576B0BAF">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434A4394">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18A7EE61">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1253EDF8">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2F91A4AC">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35013BD9">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578EFA18">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4BF08BE4">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73FCC469">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6FD7BB89">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620B19B8">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6F5FBB6D">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50272C2F">
      <w:pPr>
        <w:rPr>
          <w:rFonts w:hint="eastAsia"/>
          <w:highlight w:val="none"/>
        </w:rPr>
      </w:pPr>
    </w:p>
    <w:p w14:paraId="47C5E7AE">
      <w:pPr>
        <w:spacing w:line="360" w:lineRule="auto"/>
        <w:ind w:firstLine="437"/>
        <w:jc w:val="both"/>
        <w:outlineLvl w:val="1"/>
        <w:rPr>
          <w:rFonts w:hint="eastAsia" w:ascii="宋体" w:hAnsi="宋体" w:cs="@仿宋_GB2312"/>
          <w:b/>
          <w:sz w:val="24"/>
          <w:szCs w:val="24"/>
          <w:highlight w:val="none"/>
        </w:rPr>
      </w:pPr>
      <w:bookmarkStart w:id="1" w:name="_Toc26330"/>
      <w:bookmarkStart w:id="2" w:name="_Toc9765"/>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6357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AA3562A">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797F078C">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5DEB2BC2">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6219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661FBD8">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42CA5B55">
            <w:pPr>
              <w:pStyle w:val="5"/>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75B6CA3D">
            <w:pPr>
              <w:pStyle w:val="5"/>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20307F56">
            <w:pPr>
              <w:pStyle w:val="5"/>
              <w:widowControl w:val="0"/>
              <w:spacing w:before="0" w:beforeAutospacing="0" w:after="0" w:afterAutospacing="0" w:line="360" w:lineRule="auto"/>
              <w:jc w:val="both"/>
              <w:rPr>
                <w:rFonts w:hint="eastAsia" w:ascii="宋体" w:hAnsi="宋体" w:cs="@仿宋_GB2312"/>
                <w:bCs w:val="0"/>
                <w:kern w:val="0"/>
                <w:sz w:val="24"/>
                <w:szCs w:val="24"/>
                <w:highlight w:val="non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674C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1EB1850">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0F64754A">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3D3AB9A2">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39D3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9480884">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62252E0D">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76E2358E">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03C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ABDBF56">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0E268861">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08506AAC">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4807A737">
      <w:pPr>
        <w:spacing w:line="360" w:lineRule="auto"/>
        <w:ind w:firstLine="437"/>
        <w:jc w:val="both"/>
        <w:outlineLvl w:val="1"/>
        <w:rPr>
          <w:rFonts w:hint="eastAsia" w:ascii="宋体" w:hAnsi="宋体" w:cs="@仿宋_GB2312"/>
          <w:b/>
          <w:bCs/>
          <w:sz w:val="24"/>
          <w:szCs w:val="24"/>
          <w:highlight w:val="none"/>
        </w:rPr>
      </w:pPr>
    </w:p>
    <w:p w14:paraId="0318AA0D">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24D57411">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3993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D1B99EE">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5CB7AC89">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167D108C">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5189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1AB220D8">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682F70A7">
            <w:pPr>
              <w:snapToGrid w:val="0"/>
              <w:spacing w:line="360" w:lineRule="auto"/>
              <w:jc w:val="center"/>
              <w:rPr>
                <w:rFonts w:hint="eastAsia" w:ascii="宋体" w:hAnsi="宋体" w:cs="宋体"/>
                <w:bCs/>
                <w:color w:val="000000"/>
                <w:sz w:val="24"/>
                <w:szCs w:val="24"/>
                <w:highlight w:val="none"/>
              </w:rPr>
            </w:pPr>
            <w:r>
              <w:rPr>
                <w:rFonts w:hint="eastAsia" w:ascii="宋体" w:hAnsi="宋体" w:cs="宋体"/>
                <w:bCs/>
                <w:sz w:val="24"/>
                <w:szCs w:val="24"/>
                <w:highlight w:val="none"/>
              </w:rPr>
              <w:t>★</w:t>
            </w:r>
          </w:p>
        </w:tc>
        <w:tc>
          <w:tcPr>
            <w:tcW w:w="5561" w:type="dxa"/>
            <w:noWrap w:val="0"/>
            <w:vAlign w:val="center"/>
          </w:tcPr>
          <w:p w14:paraId="2333C345">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05FD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0B3408D4">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038310AE">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0386F7ED">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4407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30721E22">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7BCEAC57">
      <w:pPr>
        <w:widowControl/>
        <w:snapToGrid w:val="0"/>
        <w:spacing w:line="360" w:lineRule="auto"/>
        <w:ind w:firstLine="482" w:firstLineChars="200"/>
        <w:jc w:val="both"/>
        <w:outlineLvl w:val="2"/>
        <w:rPr>
          <w:rFonts w:hint="eastAsia" w:ascii="宋体" w:hAnsi="宋体" w:cs="宋体"/>
          <w:b/>
          <w:bCs/>
          <w:sz w:val="24"/>
          <w:szCs w:val="24"/>
          <w:highlight w:val="none"/>
        </w:rPr>
      </w:pPr>
    </w:p>
    <w:p w14:paraId="2484873A">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2555C598">
      <w:pPr>
        <w:widowControl/>
        <w:snapToGrid w:val="0"/>
        <w:spacing w:line="360" w:lineRule="auto"/>
        <w:ind w:firstLine="482" w:firstLineChars="200"/>
        <w:jc w:val="both"/>
        <w:outlineLvl w:val="2"/>
        <w:rPr>
          <w:rFonts w:hint="eastAsia" w:ascii="宋体" w:hAnsi="宋体" w:eastAsia="宋体" w:cs="宋体"/>
          <w:b/>
          <w:bCs/>
          <w:sz w:val="24"/>
          <w:szCs w:val="24"/>
          <w:highlight w:val="none"/>
          <w:lang w:val="en-US" w:eastAsia="zh-CN"/>
        </w:rPr>
      </w:pPr>
    </w:p>
    <w:p w14:paraId="06909C5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bookmarkStart w:id="3" w:name="_Toc4843"/>
      <w:bookmarkStart w:id="4" w:name="_Toc7421"/>
      <w:r>
        <w:rPr>
          <w:rFonts w:hint="eastAsia" w:ascii="宋体" w:hAnsi="宋体" w:eastAsia="宋体" w:cs="宋体"/>
          <w:b w:val="0"/>
          <w:bCs/>
          <w:kern w:val="2"/>
          <w:sz w:val="24"/>
          <w:szCs w:val="24"/>
          <w:highlight w:val="none"/>
          <w:lang w:val="en-US" w:eastAsia="zh-CN" w:bidi="ar"/>
        </w:rPr>
        <w:t>1.设备安全性：可以防止内镜的压力过大，手术中如果泵头打开，设备有自动关闭功能。</w:t>
      </w:r>
    </w:p>
    <w:p w14:paraId="5B8F6F5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2.微处理器控制确保了准确而精密的流速。</w:t>
      </w:r>
    </w:p>
    <w:p w14:paraId="5B56A32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3.具备触摸按钮。</w:t>
      </w:r>
    </w:p>
    <w:p w14:paraId="70539AD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4.LED显示。</w:t>
      </w:r>
    </w:p>
    <w:p w14:paraId="46A247E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5.具备自动计时器能够控制灌流量</w:t>
      </w:r>
      <w:r>
        <w:rPr>
          <w:rFonts w:hint="eastAsia" w:ascii="宋体" w:hAnsi="宋体" w:cs="宋体"/>
          <w:b w:val="0"/>
          <w:bCs/>
          <w:kern w:val="2"/>
          <w:sz w:val="24"/>
          <w:szCs w:val="24"/>
          <w:highlight w:val="none"/>
          <w:lang w:val="en-US" w:eastAsia="zh-CN" w:bidi="ar"/>
        </w:rPr>
        <w:t>。</w:t>
      </w:r>
    </w:p>
    <w:p w14:paraId="1BBE3CAE">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p w14:paraId="012F55D9">
      <w:pPr>
        <w:spacing w:line="360" w:lineRule="auto"/>
        <w:ind w:firstLine="437"/>
        <w:jc w:val="both"/>
        <w:outlineLvl w:val="1"/>
        <w:rPr>
          <w:rFonts w:hint="eastAsia" w:ascii="宋体" w:hAnsi="宋体" w:eastAsia="宋体" w:cs="宋体"/>
          <w:bCs/>
          <w:kern w:val="2"/>
          <w:sz w:val="24"/>
          <w:szCs w:val="24"/>
          <w:highlight w:val="none"/>
          <w:lang w:val="en-US" w:eastAsia="zh-CN" w:bidi="ar"/>
        </w:rPr>
      </w:pPr>
    </w:p>
    <w:p w14:paraId="114AD886">
      <w:pPr>
        <w:spacing w:line="360" w:lineRule="auto"/>
        <w:ind w:firstLine="437"/>
        <w:jc w:val="both"/>
        <w:outlineLvl w:val="1"/>
        <w:rPr>
          <w:rFonts w:hint="eastAsia" w:ascii="宋体" w:hAnsi="宋体" w:eastAsia="宋体" w:cs="宋体"/>
          <w:bCs/>
          <w:kern w:val="2"/>
          <w:sz w:val="24"/>
          <w:szCs w:val="24"/>
          <w:highlight w:val="none"/>
          <w:lang w:val="en-US" w:eastAsia="zh-CN" w:bidi="ar"/>
        </w:rPr>
      </w:pPr>
    </w:p>
    <w:bookmarkEnd w:id="3"/>
    <w:bookmarkEnd w:id="4"/>
    <w:p w14:paraId="770AD28E">
      <w:pPr>
        <w:spacing w:line="360" w:lineRule="auto"/>
        <w:ind w:firstLine="437"/>
        <w:jc w:val="both"/>
        <w:outlineLvl w:val="1"/>
        <w:rPr>
          <w:rFonts w:hint="eastAsia" w:ascii="宋体" w:hAnsi="宋体" w:cs="@仿宋_GB2312"/>
          <w:b/>
          <w:bCs/>
          <w:sz w:val="24"/>
          <w:szCs w:val="24"/>
          <w:highlight w:val="none"/>
        </w:rPr>
      </w:pPr>
    </w:p>
    <w:p w14:paraId="5577126D">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78C75CAC">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E777E9"/>
    <w:rsid w:val="6DE77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2026-08-19T06:02:00Z</dcterms:created>
  <dc:creator>省招-w</dc:creator>
  <cp:lastModifiedBy>省招-w</cp:lastModifiedBy>
  <dcterms:modified xsi:type="dcterms:W3CDTF">2026-08-19T06:03:07Z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C85D7CF6409147B396ADFD7D4E74CC37_11</vt:lpwstr>
  </property>
  <property fmtid="{D5CDD505-2E9C-101B-9397-08002B2CF9AE}" pid="4" name="KSOTemplateDocerSaveRecord">
    <vt:lpwstr>eyJoZGlkIjoiZWUyOTQ1NDM2Zjc0YjU0MjZhMWI3YTAyMzgxNTM2MDQiLCJ1c2VySWQiOiI0NjEyMTI0ODEifQ==</vt:lpwstr>
  </property>
</Properties>
</file>