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059F2">
      <w:pPr>
        <w:spacing w:line="360" w:lineRule="auto"/>
        <w:jc w:val="center"/>
        <w:outlineLvl w:val="0"/>
        <w:rPr>
          <w:rFonts w:hint="eastAsia"/>
          <w:highlight w:val="none"/>
        </w:rPr>
      </w:pPr>
      <w:r>
        <w:rPr>
          <w:rFonts w:hint="eastAsia"/>
          <w:b/>
          <w:sz w:val="32"/>
          <w:highlight w:val="none"/>
          <w:lang w:eastAsia="zh-CN"/>
        </w:rPr>
        <w:t>附件</w:t>
      </w:r>
      <w:r>
        <w:rPr>
          <w:rFonts w:hint="eastAsia"/>
          <w:b/>
          <w:sz w:val="32"/>
          <w:highlight w:val="none"/>
          <w:lang w:val="en-US" w:eastAsia="zh-CN"/>
        </w:rPr>
        <w:t xml:space="preserve"> </w:t>
      </w:r>
      <w:bookmarkStart w:id="18" w:name="_GoBack"/>
      <w:bookmarkEnd w:id="18"/>
      <w:r>
        <w:rPr>
          <w:rFonts w:hint="eastAsia"/>
          <w:b/>
          <w:sz w:val="32"/>
          <w:highlight w:val="none"/>
        </w:rPr>
        <w:t>采购需求</w:t>
      </w:r>
    </w:p>
    <w:p w14:paraId="6B4D6D49">
      <w:pPr>
        <w:rPr>
          <w:rFonts w:hint="eastAsia" w:ascii="宋体" w:hAnsi="宋体"/>
          <w:b/>
          <w:color w:val="000000"/>
          <w:highlight w:val="none"/>
        </w:rPr>
      </w:pPr>
      <w:bookmarkStart w:id="0" w:name="_Toc553"/>
      <w:bookmarkStart w:id="1" w:name="_Toc10062"/>
      <w:bookmarkStart w:id="2" w:name="_Toc15170"/>
      <w:bookmarkStart w:id="3" w:name="_Toc22987"/>
      <w:bookmarkStart w:id="4" w:name="_Toc17276"/>
      <w:bookmarkStart w:id="5" w:name="_Toc10989"/>
      <w:bookmarkStart w:id="6" w:name="_Toc8025"/>
      <w:bookmarkStart w:id="7" w:name="_Toc11247"/>
      <w:bookmarkStart w:id="8" w:name="_Toc26630"/>
      <w:bookmarkStart w:id="9" w:name="_Toc17385"/>
      <w:bookmarkStart w:id="10" w:name="_Toc19874"/>
      <w:bookmarkStart w:id="11" w:name="_Toc1042"/>
      <w:bookmarkStart w:id="12" w:name="_Toc9203"/>
      <w:bookmarkStart w:id="13" w:name="_Toc3792"/>
      <w:bookmarkStart w:id="14" w:name="_Toc13774"/>
      <w:bookmarkStart w:id="15" w:name="_Toc26048"/>
      <w:r>
        <w:rPr>
          <w:rFonts w:hint="eastAsia" w:ascii="宋体" w:hAnsi="宋体"/>
          <w:b/>
          <w:color w:val="000000"/>
          <w:highlight w:val="none"/>
        </w:rPr>
        <w:t>一、要求：以下条款如投标人参与投标，视为投标人自动响应。</w:t>
      </w:r>
      <w:bookmarkEnd w:id="0"/>
      <w:bookmarkEnd w:id="1"/>
      <w:bookmarkEnd w:id="2"/>
      <w:bookmarkEnd w:id="3"/>
      <w:bookmarkEnd w:id="4"/>
      <w:bookmarkEnd w:id="5"/>
      <w:bookmarkEnd w:id="6"/>
      <w:bookmarkEnd w:id="7"/>
    </w:p>
    <w:p w14:paraId="4AC8C388">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47F5447B">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027C07E6">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067F2625">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77099B99">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46EAD0C9">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704806F7">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6CE955B3">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3AA04EF4">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16" w:name="_Hlk100612830"/>
      <w:r>
        <w:rPr>
          <w:rFonts w:hint="eastAsia"/>
          <w:b/>
          <w:color w:val="000000"/>
          <w:highlight w:val="none"/>
        </w:rPr>
        <w:t>如不提供的评标委员会</w:t>
      </w:r>
      <w:bookmarkEnd w:id="16"/>
      <w:r>
        <w:rPr>
          <w:rFonts w:hint="eastAsia"/>
          <w:b/>
          <w:color w:val="000000"/>
          <w:highlight w:val="none"/>
        </w:rPr>
        <w:t>有权否决其投标</w:t>
      </w:r>
      <w:r>
        <w:rPr>
          <w:rFonts w:hint="eastAsia" w:ascii="宋体" w:hAnsi="宋体"/>
          <w:b/>
          <w:color w:val="000000"/>
          <w:highlight w:val="none"/>
        </w:rPr>
        <w:t>。</w:t>
      </w:r>
    </w:p>
    <w:p w14:paraId="3EC9A196">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04B9EA34">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131906DE">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5A48E382">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79CABA17">
      <w:pPr>
        <w:rPr>
          <w:rFonts w:hint="eastAsia" w:ascii="宋体" w:hAnsi="宋体"/>
          <w:b/>
          <w:color w:val="000000"/>
          <w:highlight w:val="none"/>
        </w:rPr>
      </w:pPr>
    </w:p>
    <w:p w14:paraId="07A31B90">
      <w:pPr>
        <w:pStyle w:val="3"/>
        <w:numPr>
          <w:ilvl w:val="0"/>
          <w:numId w:val="1"/>
        </w:numPr>
        <w:spacing w:line="360" w:lineRule="auto"/>
        <w:ind w:left="0" w:leftChars="0" w:firstLine="0" w:firstLineChars="0"/>
        <w:rPr>
          <w:rFonts w:hint="eastAsia" w:ascii="宋体" w:hAnsi="宋体" w:eastAsia="宋体"/>
          <w:b/>
          <w:color w:val="000000"/>
          <w:sz w:val="24"/>
          <w:szCs w:val="20"/>
          <w:highlight w:val="none"/>
        </w:rPr>
      </w:pPr>
      <w:bookmarkStart w:id="17" w:name="_Toc19735"/>
      <w:r>
        <w:rPr>
          <w:rFonts w:hint="eastAsia" w:ascii="宋体" w:hAnsi="宋体" w:eastAsia="宋体"/>
          <w:b/>
          <w:color w:val="000000"/>
          <w:sz w:val="24"/>
          <w:szCs w:val="20"/>
          <w:highlight w:val="none"/>
        </w:rPr>
        <w:t>本项目医疗设备参数里，带★标识为否决项，投标人参数发生偏离或不予响应的作无效投标处理；标注⬛、●的参数会对评审最终结果产生影响。</w:t>
      </w:r>
    </w:p>
    <w:p w14:paraId="697731DA">
      <w:pPr>
        <w:pStyle w:val="3"/>
        <w:numPr>
          <w:ilvl w:val="0"/>
          <w:numId w:val="1"/>
        </w:numPr>
        <w:spacing w:line="360" w:lineRule="auto"/>
        <w:ind w:left="0" w:leftChars="0" w:firstLine="0" w:firstLineChars="0"/>
        <w:rPr>
          <w:rFonts w:hint="eastAsia" w:ascii="宋体" w:hAnsi="宋体" w:eastAsia="宋体" w:cs="宋体"/>
          <w:b/>
          <w:bCs/>
          <w:kern w:val="2"/>
          <w:sz w:val="24"/>
          <w:szCs w:val="24"/>
          <w:highlight w:val="none"/>
          <w:vertAlign w:val="baseline"/>
          <w:lang w:val="en-US" w:eastAsia="zh-CN" w:bidi="ar"/>
        </w:rPr>
      </w:pPr>
      <w:r>
        <w:rPr>
          <w:rFonts w:hint="eastAsia" w:ascii="宋体" w:hAnsi="宋体" w:eastAsia="宋体"/>
          <w:b/>
          <w:color w:val="000000"/>
          <w:sz w:val="24"/>
          <w:szCs w:val="20"/>
          <w:highlight w:val="none"/>
        </w:rPr>
        <w:t>主要技术参数</w:t>
      </w:r>
      <w:bookmarkEnd w:id="8"/>
      <w:bookmarkEnd w:id="9"/>
      <w:bookmarkEnd w:id="10"/>
      <w:bookmarkEnd w:id="11"/>
      <w:bookmarkEnd w:id="12"/>
      <w:bookmarkEnd w:id="13"/>
      <w:bookmarkEnd w:id="14"/>
      <w:bookmarkEnd w:id="15"/>
      <w:bookmarkEnd w:id="17"/>
      <w:r>
        <w:rPr>
          <w:rFonts w:hint="eastAsia" w:ascii="宋体" w:hAnsi="宋体" w:eastAsia="宋体"/>
          <w:b/>
          <w:color w:val="000000"/>
          <w:sz w:val="24"/>
          <w:szCs w:val="20"/>
          <w:highlight w:val="none"/>
          <w:lang w:eastAsia="zh-CN"/>
        </w:rPr>
        <w:t>及其他要求</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7467"/>
      </w:tblGrid>
      <w:tr w14:paraId="06EF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798DBB8D">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序号</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09A24DBD">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技术参数要求</w:t>
            </w:r>
          </w:p>
        </w:tc>
      </w:tr>
      <w:tr w14:paraId="2253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69DDA000">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2927A58A">
            <w:pPr>
              <w:keepNext w:val="0"/>
              <w:keepLines w:val="0"/>
              <w:widowControl/>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适用范围：</w:t>
            </w:r>
            <w:r>
              <w:rPr>
                <w:rFonts w:hint="eastAsia" w:ascii="宋体" w:hAnsi="宋体" w:eastAsia="宋体" w:cs="宋体"/>
                <w:color w:val="000000"/>
                <w:kern w:val="0"/>
                <w:sz w:val="24"/>
                <w:szCs w:val="24"/>
                <w:lang w:val="en-US" w:eastAsia="zh-CN" w:bidi="ar"/>
              </w:rPr>
              <w:t>产品在医疗机构使用，用于（或在电外科）手术中对人体组织进行切割、凝血。</w:t>
            </w:r>
          </w:p>
        </w:tc>
      </w:tr>
      <w:tr w14:paraId="2651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50665599">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61632B1A">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设备使用有效期≥10年。</w:t>
            </w:r>
          </w:p>
        </w:tc>
      </w:tr>
      <w:tr w14:paraId="48D1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21BDD217">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75FE1EC9">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单极纯切割或纯切模式，最大输出功率≤350W，单极高频混合切或混切模式，最大输出功率≤250W。</w:t>
            </w:r>
          </w:p>
        </w:tc>
      </w:tr>
      <w:tr w14:paraId="36B9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06C90EE6">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71937820">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单极凝结最大输出功率≤120W，功率检验结果误差≤±6.5%。</w:t>
            </w:r>
          </w:p>
        </w:tc>
      </w:tr>
      <w:tr w14:paraId="7833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7D7E6024">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3EA859FF">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双极最大输出功率≤150W，功率检验结果误差≤±10%。</w:t>
            </w:r>
          </w:p>
        </w:tc>
      </w:tr>
      <w:tr w14:paraId="5CB7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0B882755">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214A7D90">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精细手术可按每1W调节。</w:t>
            </w:r>
          </w:p>
        </w:tc>
      </w:tr>
      <w:tr w14:paraId="62D6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28674C8B">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w:t>
            </w:r>
            <w:r>
              <w:rPr>
                <w:rFonts w:hint="eastAsia" w:ascii="宋体" w:hAnsi="宋体" w:eastAsia="宋体" w:cs="宋体"/>
                <w:kern w:val="0"/>
                <w:sz w:val="24"/>
                <w:szCs w:val="24"/>
                <w:lang w:val="en-US" w:eastAsia="zh-CN" w:bidi="ar"/>
              </w:rPr>
              <w:t>7</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6D28C281">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高频混合或混切具有脉冲重复频率或调制频率。</w:t>
            </w:r>
          </w:p>
        </w:tc>
      </w:tr>
      <w:tr w14:paraId="735C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50AC3E79">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8</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7EFEF414">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纯切割或纯切模式最大电压≤2100V；高频混合切或混切模式最大电压≤2400V。</w:t>
            </w:r>
          </w:p>
        </w:tc>
      </w:tr>
      <w:tr w14:paraId="1248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45C54E57">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9</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61ED0C17">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凝结或凝血模式最大电压≤4300V。</w:t>
            </w:r>
          </w:p>
        </w:tc>
      </w:tr>
      <w:tr w14:paraId="43B6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7BD8EE4D">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10</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0F365B7D">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双极模式最大电压≤560V。</w:t>
            </w:r>
          </w:p>
        </w:tc>
      </w:tr>
      <w:tr w14:paraId="0D5F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0A54B825">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11</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47EF9202">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界面功率LED数字显示，可避免纯液晶显示屏低温潮湿环境下触摸失灵影响操作，以及反光、蓝黑屏及维修成本过高等问题。</w:t>
            </w:r>
          </w:p>
        </w:tc>
      </w:tr>
      <w:tr w14:paraId="62BF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321C6936">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12</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272DBF3A">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具有音量大小调节功能，方便不同听力医生要求。</w:t>
            </w:r>
          </w:p>
        </w:tc>
      </w:tr>
      <w:tr w14:paraId="1B08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97" w:type="dxa"/>
            <w:gridSpan w:val="2"/>
            <w:tcBorders>
              <w:top w:val="single" w:color="auto" w:sz="4" w:space="0"/>
              <w:left w:val="single" w:color="auto" w:sz="4" w:space="0"/>
              <w:bottom w:val="single" w:color="auto" w:sz="4" w:space="0"/>
              <w:right w:val="single" w:color="auto" w:sz="4" w:space="0"/>
            </w:tcBorders>
            <w:shd w:val="clear" w:color="auto" w:fill="F1F1F1"/>
            <w:noWrap w:val="0"/>
            <w:vAlign w:val="center"/>
          </w:tcPr>
          <w:p w14:paraId="08C34ED9">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★配置清单</w:t>
            </w:r>
          </w:p>
        </w:tc>
      </w:tr>
      <w:tr w14:paraId="4190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11C3A1A4">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76C1FA51">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高频电刀主机1台</w:t>
            </w:r>
          </w:p>
        </w:tc>
      </w:tr>
      <w:tr w14:paraId="17D0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63C85CB8">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12F2A7CD">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手控电刀笔5把</w:t>
            </w:r>
          </w:p>
        </w:tc>
      </w:tr>
      <w:tr w14:paraId="2EB2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5E52C805">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0540A2DC">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双回路负极板（中性电极）5片</w:t>
            </w:r>
          </w:p>
        </w:tc>
      </w:tr>
      <w:tr w14:paraId="0906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7B5D49C9">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341BA37F">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重复使用回路负极板（中性电极）连线1根</w:t>
            </w:r>
          </w:p>
        </w:tc>
      </w:tr>
      <w:tr w14:paraId="6901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67B6B9E2">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0DA14C43">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双极脚控开关1个</w:t>
            </w:r>
          </w:p>
        </w:tc>
      </w:tr>
      <w:tr w14:paraId="070B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72495482">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0B53A54D">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单极脚控开关1个</w:t>
            </w:r>
          </w:p>
        </w:tc>
      </w:tr>
      <w:tr w14:paraId="29F4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4" w:type="dxa"/>
            <w:tcBorders>
              <w:top w:val="single" w:color="auto" w:sz="4" w:space="0"/>
              <w:left w:val="single" w:color="auto" w:sz="4" w:space="0"/>
              <w:bottom w:val="single" w:color="auto" w:sz="4" w:space="0"/>
              <w:right w:val="single" w:color="auto" w:sz="4" w:space="0"/>
            </w:tcBorders>
            <w:noWrap w:val="0"/>
            <w:vAlign w:val="center"/>
          </w:tcPr>
          <w:p w14:paraId="326C2CF4">
            <w:pPr>
              <w:keepNext w:val="0"/>
              <w:keepLines w:val="0"/>
              <w:widowControl w:val="0"/>
              <w:suppressLineNumbers w:val="0"/>
              <w:autoSpaceDE w:val="0"/>
              <w:autoSpaceDN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7</w:t>
            </w:r>
          </w:p>
        </w:tc>
        <w:tc>
          <w:tcPr>
            <w:tcW w:w="7723" w:type="dxa"/>
            <w:tcBorders>
              <w:top w:val="single" w:color="auto" w:sz="4" w:space="0"/>
              <w:left w:val="single" w:color="auto" w:sz="4" w:space="0"/>
              <w:bottom w:val="single" w:color="auto" w:sz="4" w:space="0"/>
              <w:right w:val="single" w:color="auto" w:sz="4" w:space="0"/>
            </w:tcBorders>
            <w:noWrap w:val="0"/>
            <w:vAlign w:val="center"/>
          </w:tcPr>
          <w:p w14:paraId="5BD52233">
            <w:pPr>
              <w:keepNext w:val="0"/>
              <w:keepLines w:val="0"/>
              <w:widowControl w:val="0"/>
              <w:suppressLineNumbers w:val="0"/>
              <w:autoSpaceDE w:val="0"/>
              <w:autoSpaceDN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专用台车1辆</w:t>
            </w:r>
          </w:p>
        </w:tc>
      </w:tr>
    </w:tbl>
    <w:p w14:paraId="660808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C43C8"/>
    <w:multiLevelType w:val="singleLevel"/>
    <w:tmpl w:val="948C43C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33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uiPriority w:val="0"/>
    <w:pPr>
      <w:ind w:firstLine="570"/>
    </w:pPr>
    <w:rPr>
      <w:rFonts w:ascii="黑体" w:eastAsia="仿宋_GB2312"/>
      <w:sz w:val="28"/>
    </w:rPr>
  </w:style>
  <w:style w:type="paragraph" w:styleId="3">
    <w:name w:val="Body Text First Indent 2"/>
    <w:basedOn w:val="2"/>
    <w:qFormat/>
    <w:uiPriority w:val="0"/>
    <w:pPr>
      <w:spacing w:after="120"/>
      <w:ind w:left="420" w:leftChars="200" w:firstLine="420" w:firstLineChars="200"/>
    </w:pPr>
    <w:rPr>
      <w:sz w:val="21"/>
      <w:szCs w:val="24"/>
    </w:rPr>
  </w:style>
  <w:style w:type="table" w:styleId="5">
    <w:name w:val="Table Grid"/>
    <w:basedOn w:val="4"/>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2026-08-25T07:39:17Z</dcterms:created>
  <dc:creator>Administrator</dc:creator>
  <cp:lastModifiedBy>Administrator</cp:lastModifiedBy>
  <dcterms:modified xsi:type="dcterms:W3CDTF">2026-08-25T07:39:26Z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80AED33DAE674D269997A14AD593E811_12</vt:lpwstr>
  </property>
</Properties>
</file>