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95C12">
      <w:pPr>
        <w:pStyle w:val="2"/>
        <w:tabs>
          <w:tab w:val="left" w:pos="420"/>
        </w:tabs>
        <w:spacing w:line="360" w:lineRule="auto"/>
        <w:ind w:left="0" w:firstLine="0"/>
        <w:jc w:val="center"/>
        <w:rPr>
          <w:rFonts w:ascii="宋体" w:hAnsi="宋体"/>
          <w:szCs w:val="36"/>
          <w:highlight w:val="none"/>
        </w:rPr>
      </w:pPr>
      <w:bookmarkStart w:id="5" w:name="_GoBack"/>
      <w:r>
        <w:rPr>
          <w:rFonts w:hint="eastAsia" w:ascii="宋体" w:hAnsi="宋体"/>
          <w:szCs w:val="36"/>
          <w:highlight w:val="none"/>
        </w:rPr>
        <w:t>采购需求</w:t>
      </w:r>
      <w:bookmarkEnd w:id="5"/>
    </w:p>
    <w:p w14:paraId="720E0EAC">
      <w:pPr>
        <w:spacing w:line="360" w:lineRule="auto"/>
        <w:rPr>
          <w:rFonts w:ascii="宋体" w:hAnsi="宋体" w:cs="宋体"/>
          <w:b/>
          <w:color w:val="FF0000"/>
          <w:sz w:val="24"/>
          <w:szCs w:val="24"/>
          <w:highlight w:val="none"/>
        </w:rPr>
      </w:pPr>
      <w:r>
        <w:rPr>
          <w:rFonts w:hint="eastAsia" w:ascii="宋体" w:hAnsi="宋体" w:cs="宋体"/>
          <w:b/>
          <w:color w:val="FF0000"/>
          <w:sz w:val="24"/>
          <w:szCs w:val="24"/>
          <w:highlight w:val="none"/>
        </w:rPr>
        <w:t>特别提示：</w:t>
      </w:r>
    </w:p>
    <w:p w14:paraId="3C1A8A6F">
      <w:pPr>
        <w:spacing w:line="360" w:lineRule="auto"/>
        <w:rPr>
          <w:rFonts w:ascii="宋体" w:hAnsi="宋体" w:cs="宋体"/>
          <w:b/>
          <w:color w:val="FF0000"/>
          <w:sz w:val="24"/>
          <w:szCs w:val="24"/>
          <w:highlight w:val="none"/>
        </w:rPr>
      </w:pPr>
      <w:r>
        <w:rPr>
          <w:rFonts w:hint="eastAsia" w:ascii="宋体" w:hAnsi="宋体" w:cs="宋体"/>
          <w:b/>
          <w:color w:val="FF0000"/>
          <w:sz w:val="24"/>
          <w:szCs w:val="24"/>
          <w:highlight w:val="none"/>
        </w:rPr>
        <w:t>要求：以下条款如供应商参与响应，视为供应商自动响应。</w:t>
      </w:r>
    </w:p>
    <w:p w14:paraId="7E1935E6">
      <w:pPr>
        <w:spacing w:line="360" w:lineRule="auto"/>
        <w:ind w:firstLine="472" w:firstLineChars="196"/>
        <w:rPr>
          <w:rFonts w:ascii="宋体" w:hAnsi="宋体" w:cs="宋体"/>
          <w:b/>
          <w:sz w:val="24"/>
          <w:szCs w:val="24"/>
          <w:highlight w:val="none"/>
        </w:rPr>
      </w:pPr>
      <w:r>
        <w:rPr>
          <w:rFonts w:hint="eastAsia" w:ascii="宋体" w:hAnsi="宋体" w:cs="宋体"/>
          <w:b/>
          <w:sz w:val="24"/>
          <w:szCs w:val="24"/>
          <w:highlight w:val="none"/>
        </w:rPr>
        <w:t>1、按照采购需求提供配置清单，标明品牌、型号、产地、数量等并分项报价；</w:t>
      </w:r>
    </w:p>
    <w:p w14:paraId="53F2C3B8">
      <w:pPr>
        <w:spacing w:line="360" w:lineRule="auto"/>
        <w:ind w:firstLine="472" w:firstLineChars="196"/>
        <w:rPr>
          <w:rFonts w:ascii="宋体" w:hAnsi="宋体" w:cs="宋体"/>
          <w:b/>
          <w:sz w:val="24"/>
          <w:szCs w:val="24"/>
          <w:highlight w:val="none"/>
        </w:rPr>
      </w:pPr>
      <w:r>
        <w:rPr>
          <w:rFonts w:hint="eastAsia" w:ascii="宋体" w:hAnsi="宋体" w:cs="宋体"/>
          <w:b/>
          <w:sz w:val="24"/>
          <w:szCs w:val="24"/>
          <w:highlight w:val="none"/>
        </w:rPr>
        <w:t>2、提供产品日常使用的所有配套专用耗材清单，确保产品正常使用。须标明品牌、型号、产地、规格、最小供货单位等并分项报价，报价不计入响应</w:t>
      </w:r>
      <w:r>
        <w:rPr>
          <w:rFonts w:hint="eastAsia" w:ascii="宋体" w:hAnsi="宋体" w:cs="宋体"/>
          <w:b/>
          <w:sz w:val="24"/>
          <w:szCs w:val="24"/>
          <w:highlight w:val="none"/>
          <w:lang w:val="en-US" w:eastAsia="zh-CN"/>
        </w:rPr>
        <w:t>报价</w:t>
      </w:r>
      <w:r>
        <w:rPr>
          <w:rFonts w:hint="eastAsia" w:ascii="宋体" w:hAnsi="宋体" w:cs="宋体"/>
          <w:b/>
          <w:sz w:val="24"/>
          <w:szCs w:val="24"/>
          <w:highlight w:val="none"/>
        </w:rPr>
        <w:t>。在成交后如发现有漏报、瞒报的配套专用耗材，一律视为已包含在成交价内，不得以赠送形式向采购人提供产品及服务。耗材供应期按照医院相关耗材管理规定执行；</w:t>
      </w:r>
    </w:p>
    <w:p w14:paraId="4825A677">
      <w:pPr>
        <w:spacing w:line="360" w:lineRule="auto"/>
        <w:ind w:firstLine="472" w:firstLineChars="196"/>
        <w:rPr>
          <w:rFonts w:ascii="宋体" w:hAnsi="宋体" w:cs="宋体"/>
          <w:b/>
          <w:sz w:val="24"/>
          <w:szCs w:val="24"/>
          <w:highlight w:val="none"/>
        </w:rPr>
      </w:pPr>
      <w:r>
        <w:rPr>
          <w:rFonts w:hint="eastAsia" w:ascii="宋体" w:hAnsi="宋体" w:cs="宋体"/>
          <w:b/>
          <w:sz w:val="24"/>
          <w:szCs w:val="24"/>
          <w:highlight w:val="none"/>
        </w:rPr>
        <w:t>3、说明是否需要其他设备配套使用，请列出配套设备名称、数量等，如未说明一律视为已包含在响应报价内；</w:t>
      </w:r>
    </w:p>
    <w:p w14:paraId="783185F7">
      <w:pPr>
        <w:spacing w:line="360" w:lineRule="auto"/>
        <w:ind w:firstLine="472" w:firstLineChars="196"/>
        <w:rPr>
          <w:rFonts w:ascii="宋体" w:hAnsi="宋体" w:cs="宋体"/>
          <w:b/>
          <w:sz w:val="24"/>
          <w:szCs w:val="24"/>
          <w:highlight w:val="none"/>
        </w:rPr>
      </w:pPr>
      <w:r>
        <w:rPr>
          <w:rFonts w:ascii="宋体" w:hAnsi="宋体" w:cs="宋体"/>
          <w:b/>
          <w:sz w:val="24"/>
          <w:szCs w:val="24"/>
          <w:highlight w:val="none"/>
        </w:rPr>
        <w:t>4</w:t>
      </w:r>
      <w:r>
        <w:rPr>
          <w:rFonts w:hint="eastAsia" w:ascii="宋体" w:hAnsi="宋体" w:cs="宋体"/>
          <w:b/>
          <w:sz w:val="24"/>
          <w:szCs w:val="24"/>
          <w:highlight w:val="none"/>
        </w:rPr>
        <w:t>、供应商及产品须资质、证照齐全且在有效期内，如确无注册证的产品，须提供官方说明材料；</w:t>
      </w:r>
    </w:p>
    <w:p w14:paraId="678B291A">
      <w:pPr>
        <w:spacing w:line="360" w:lineRule="auto"/>
        <w:ind w:firstLine="472" w:firstLineChars="196"/>
        <w:rPr>
          <w:rFonts w:ascii="宋体" w:hAnsi="宋体" w:cs="宋体"/>
          <w:b/>
          <w:sz w:val="24"/>
          <w:szCs w:val="24"/>
          <w:highlight w:val="none"/>
        </w:rPr>
      </w:pPr>
      <w:r>
        <w:rPr>
          <w:rFonts w:ascii="宋体" w:hAnsi="宋体" w:cs="宋体"/>
          <w:b/>
          <w:sz w:val="24"/>
          <w:szCs w:val="24"/>
          <w:highlight w:val="none"/>
        </w:rPr>
        <w:t>5</w:t>
      </w:r>
      <w:r>
        <w:rPr>
          <w:rFonts w:hint="eastAsia" w:ascii="宋体" w:hAnsi="宋体" w:cs="宋体"/>
          <w:b/>
          <w:sz w:val="24"/>
          <w:szCs w:val="24"/>
          <w:highlight w:val="none"/>
        </w:rPr>
        <w:t>、若属安徽省医用耗材政策管理范围内产品，需满足相关要求（如“集采”、“两票制”等）；若为集采管理范围内产品，需在集采目录中，同类产品原则上选择限价产品，同类无替代选择备案产品；</w:t>
      </w:r>
    </w:p>
    <w:p w14:paraId="1D1B59BF">
      <w:pPr>
        <w:spacing w:line="360" w:lineRule="auto"/>
        <w:ind w:firstLine="472" w:firstLineChars="196"/>
        <w:rPr>
          <w:rFonts w:ascii="宋体" w:hAnsi="宋体" w:cs="宋体"/>
          <w:b/>
          <w:sz w:val="24"/>
          <w:szCs w:val="24"/>
          <w:highlight w:val="none"/>
        </w:rPr>
      </w:pPr>
      <w:r>
        <w:rPr>
          <w:rFonts w:ascii="宋体" w:hAnsi="宋体" w:cs="宋体"/>
          <w:b/>
          <w:sz w:val="24"/>
          <w:szCs w:val="24"/>
          <w:highlight w:val="none"/>
        </w:rPr>
        <w:t>6</w:t>
      </w:r>
      <w:r>
        <w:rPr>
          <w:rFonts w:hint="eastAsia" w:ascii="宋体" w:hAnsi="宋体" w:cs="宋体"/>
          <w:b/>
          <w:sz w:val="24"/>
          <w:szCs w:val="24"/>
          <w:highlight w:val="none"/>
        </w:rPr>
        <w:t>、</w:t>
      </w:r>
      <w:r>
        <w:rPr>
          <w:rFonts w:hint="eastAsia" w:ascii="宋体" w:hAnsi="宋体" w:cs="宋体"/>
          <w:b/>
          <w:bCs/>
          <w:sz w:val="24"/>
          <w:szCs w:val="24"/>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cs="宋体"/>
          <w:b/>
          <w:sz w:val="24"/>
          <w:szCs w:val="24"/>
          <w:highlight w:val="none"/>
        </w:rPr>
        <w:t>；</w:t>
      </w:r>
    </w:p>
    <w:p w14:paraId="2C048D43">
      <w:pPr>
        <w:spacing w:line="360" w:lineRule="auto"/>
        <w:ind w:firstLine="472" w:firstLineChars="196"/>
        <w:rPr>
          <w:rFonts w:ascii="宋体" w:hAnsi="宋体" w:cs="宋体"/>
          <w:b/>
          <w:sz w:val="24"/>
          <w:szCs w:val="24"/>
          <w:highlight w:val="none"/>
        </w:rPr>
      </w:pPr>
      <w:r>
        <w:rPr>
          <w:rFonts w:ascii="宋体" w:hAnsi="宋体" w:cs="宋体"/>
          <w:b/>
          <w:sz w:val="24"/>
          <w:szCs w:val="24"/>
          <w:highlight w:val="none"/>
        </w:rPr>
        <w:t>7</w:t>
      </w:r>
      <w:r>
        <w:rPr>
          <w:rFonts w:hint="eastAsia" w:ascii="宋体" w:hAnsi="宋体" w:cs="宋体"/>
          <w:b/>
          <w:sz w:val="24"/>
          <w:szCs w:val="24"/>
          <w:highlight w:val="none"/>
        </w:rPr>
        <w:t>、根据医保政策，可单独收费医用耗材请提供安徽医保局下发的27位医保编码，并按编码进行报价；</w:t>
      </w:r>
    </w:p>
    <w:p w14:paraId="759BE6B2">
      <w:pPr>
        <w:wordWrap w:val="0"/>
        <w:spacing w:line="360" w:lineRule="auto"/>
        <w:ind w:firstLine="482" w:firstLineChars="200"/>
        <w:rPr>
          <w:rFonts w:ascii="宋体" w:hAnsi="宋体" w:cs="宋体"/>
          <w:b/>
          <w:sz w:val="24"/>
          <w:szCs w:val="24"/>
          <w:highlight w:val="none"/>
        </w:rPr>
      </w:pPr>
      <w:r>
        <w:rPr>
          <w:rFonts w:ascii="宋体" w:hAnsi="宋体" w:cs="宋体"/>
          <w:b/>
          <w:sz w:val="24"/>
          <w:szCs w:val="24"/>
          <w:highlight w:val="none"/>
        </w:rPr>
        <w:t>8</w:t>
      </w:r>
      <w:r>
        <w:rPr>
          <w:rFonts w:hint="eastAsia" w:ascii="宋体" w:hAnsi="宋体" w:cs="宋体"/>
          <w:b/>
          <w:sz w:val="24"/>
          <w:szCs w:val="24"/>
          <w:highlight w:val="none"/>
        </w:rPr>
        <w:t>、需长期供应的医用耗材及试剂产品，成交后合同期内不得变更配送公司，否则取消该品牌成交资格。响应文件中生产厂家须出具长期授权函，并提供合同期内不变更配送公司的承诺函，如不提供的评审小组有权按无效参选处理。</w:t>
      </w:r>
    </w:p>
    <w:p w14:paraId="1B9F0A81">
      <w:pPr>
        <w:wordWrap w:val="0"/>
        <w:spacing w:line="360" w:lineRule="auto"/>
        <w:ind w:firstLine="482" w:firstLineChars="200"/>
        <w:rPr>
          <w:rFonts w:ascii="宋体" w:hAnsi="宋体" w:cs="宋体"/>
          <w:b/>
          <w:sz w:val="24"/>
          <w:szCs w:val="24"/>
          <w:highlight w:val="none"/>
        </w:rPr>
      </w:pPr>
      <w:r>
        <w:rPr>
          <w:rFonts w:ascii="宋体" w:hAnsi="宋体" w:cs="宋体"/>
          <w:b/>
          <w:sz w:val="24"/>
          <w:szCs w:val="24"/>
          <w:highlight w:val="none"/>
        </w:rPr>
        <w:t>9</w:t>
      </w:r>
      <w:r>
        <w:rPr>
          <w:rFonts w:hint="eastAsia" w:ascii="宋体" w:hAnsi="宋体" w:cs="宋体"/>
          <w:b/>
          <w:sz w:val="24"/>
          <w:szCs w:val="24"/>
          <w:highlight w:val="none"/>
        </w:rPr>
        <w:t>、医用耗材及配套使用的工具按医院规定需要消毒的，其相关费用由供应商自行承担。</w:t>
      </w:r>
    </w:p>
    <w:p w14:paraId="779B3F32">
      <w:pPr>
        <w:wordWrap w:val="0"/>
        <w:spacing w:line="360" w:lineRule="auto"/>
        <w:ind w:firstLine="482" w:firstLineChars="200"/>
        <w:rPr>
          <w:rFonts w:ascii="宋体" w:hAnsi="宋体" w:cs="宋体"/>
          <w:b/>
          <w:sz w:val="24"/>
          <w:szCs w:val="24"/>
          <w:highlight w:val="none"/>
        </w:rPr>
      </w:pPr>
      <w:r>
        <w:rPr>
          <w:rFonts w:ascii="宋体" w:hAnsi="宋体" w:cs="宋体"/>
          <w:b/>
          <w:sz w:val="24"/>
          <w:szCs w:val="24"/>
          <w:highlight w:val="none"/>
        </w:rPr>
        <w:t>10</w:t>
      </w:r>
      <w:r>
        <w:rPr>
          <w:rFonts w:hint="eastAsia" w:ascii="宋体" w:hAnsi="宋体" w:cs="宋体"/>
          <w:b/>
          <w:sz w:val="24"/>
          <w:szCs w:val="24"/>
          <w:highlight w:val="none"/>
        </w:rPr>
        <w:t>、检验试剂项目和需配套检验试剂使用的检验设备项目，均须免费提供同品牌或第三方符合溯源要求的质控品。</w:t>
      </w:r>
    </w:p>
    <w:p w14:paraId="01EC04B1">
      <w:pPr>
        <w:wordWrap w:val="0"/>
        <w:spacing w:line="360" w:lineRule="auto"/>
        <w:ind w:firstLine="482" w:firstLineChars="200"/>
        <w:rPr>
          <w:rFonts w:ascii="宋体" w:hAnsi="宋体" w:cs="宋体"/>
          <w:b/>
          <w:sz w:val="24"/>
          <w:szCs w:val="24"/>
          <w:highlight w:val="none"/>
        </w:rPr>
      </w:pPr>
      <w:r>
        <w:rPr>
          <w:rFonts w:ascii="宋体" w:hAnsi="宋体" w:cs="宋体"/>
          <w:b/>
          <w:sz w:val="24"/>
          <w:szCs w:val="24"/>
          <w:highlight w:val="none"/>
        </w:rPr>
        <w:t>11</w:t>
      </w:r>
      <w:r>
        <w:rPr>
          <w:rFonts w:hint="eastAsia" w:ascii="宋体" w:hAnsi="宋体" w:cs="宋体"/>
          <w:b/>
          <w:sz w:val="24"/>
          <w:szCs w:val="24"/>
          <w:highlight w:val="none"/>
        </w:rPr>
        <w:t>、</w:t>
      </w:r>
      <w:bookmarkStart w:id="0" w:name="OLE_LINK13"/>
      <w:r>
        <w:rPr>
          <w:rFonts w:hint="eastAsia" w:ascii="宋体" w:hAnsi="宋体" w:cs="宋体"/>
          <w:b/>
          <w:sz w:val="24"/>
          <w:szCs w:val="24"/>
          <w:highlight w:val="none"/>
        </w:rPr>
        <w:t>供应商</w:t>
      </w:r>
      <w:bookmarkEnd w:id="0"/>
      <w:r>
        <w:rPr>
          <w:rFonts w:hint="eastAsia" w:ascii="宋体" w:hAnsi="宋体" w:cs="宋体"/>
          <w:b/>
          <w:sz w:val="24"/>
          <w:szCs w:val="24"/>
          <w:highlight w:val="none"/>
        </w:rPr>
        <w:t>需无条件接受因国家及安徽省相关政策（如医用耗材带量采购等）对比选结果带来的变动，供应商不得提出异议。</w:t>
      </w:r>
    </w:p>
    <w:p w14:paraId="584269E6">
      <w:pPr>
        <w:wordWrap w:val="0"/>
        <w:spacing w:line="360" w:lineRule="auto"/>
        <w:ind w:firstLine="482" w:firstLineChars="200"/>
        <w:rPr>
          <w:rFonts w:ascii="宋体" w:hAnsi="宋体" w:cs="宋体"/>
          <w:b/>
          <w:sz w:val="24"/>
          <w:szCs w:val="24"/>
          <w:highlight w:val="none"/>
        </w:rPr>
      </w:pPr>
      <w:r>
        <w:rPr>
          <w:rFonts w:ascii="宋体" w:hAnsi="宋体" w:cs="宋体"/>
          <w:b/>
          <w:sz w:val="24"/>
          <w:szCs w:val="24"/>
          <w:highlight w:val="none"/>
        </w:rPr>
        <w:t>12</w:t>
      </w:r>
      <w:r>
        <w:rPr>
          <w:rFonts w:hint="eastAsia" w:ascii="宋体" w:hAnsi="宋体" w:cs="宋体"/>
          <w:b/>
          <w:sz w:val="24"/>
          <w:szCs w:val="24"/>
          <w:highlight w:val="none"/>
        </w:rPr>
        <w:t>、供应商须保证此次参选产品，响应价格不得高于安徽省医药集中采购平台交易目录最高限价；后期安徽省医药集中采购平台交易目录最高限价如有降价，成交产品的成交人应于7个工作日内书面通知采购人启动协商程序。</w:t>
      </w:r>
    </w:p>
    <w:p w14:paraId="3E072C9C">
      <w:pPr>
        <w:wordWrap w:val="0"/>
        <w:spacing w:line="360" w:lineRule="auto"/>
        <w:ind w:firstLine="482" w:firstLineChars="200"/>
        <w:rPr>
          <w:rFonts w:ascii="宋体" w:hAnsi="宋体" w:cs="宋体"/>
          <w:b/>
          <w:sz w:val="24"/>
          <w:szCs w:val="24"/>
          <w:highlight w:val="none"/>
        </w:rPr>
      </w:pPr>
      <w:r>
        <w:rPr>
          <w:rFonts w:hint="eastAsia" w:ascii="宋体" w:hAnsi="宋体" w:cs="宋体"/>
          <w:b/>
          <w:sz w:val="24"/>
          <w:szCs w:val="24"/>
          <w:highlight w:val="none"/>
        </w:rPr>
        <w:t>1</w:t>
      </w:r>
      <w:r>
        <w:rPr>
          <w:rFonts w:ascii="宋体" w:hAnsi="宋体" w:cs="宋体"/>
          <w:b/>
          <w:sz w:val="24"/>
          <w:szCs w:val="24"/>
          <w:highlight w:val="none"/>
        </w:rPr>
        <w:t>3</w:t>
      </w:r>
      <w:r>
        <w:rPr>
          <w:rFonts w:hint="eastAsia" w:ascii="宋体" w:hAnsi="宋体" w:cs="宋体"/>
          <w:b/>
          <w:sz w:val="24"/>
          <w:szCs w:val="24"/>
          <w:highlight w:val="none"/>
        </w:rPr>
        <w:t>、按收费价格费率投标的检验项目，如后期收费价格下调，试剂供货价格须按成交费率同比例下浮。</w:t>
      </w:r>
    </w:p>
    <w:p w14:paraId="77B42DAA">
      <w:pPr>
        <w:spacing w:line="360" w:lineRule="auto"/>
        <w:ind w:firstLine="470" w:firstLineChars="196"/>
        <w:rPr>
          <w:rFonts w:ascii="宋体" w:hAnsi="宋体"/>
          <w:b/>
          <w:sz w:val="24"/>
          <w:szCs w:val="24"/>
          <w:highlight w:val="none"/>
        </w:rPr>
      </w:pPr>
      <w:r>
        <w:rPr>
          <w:rFonts w:hint="eastAsia" w:ascii="宋体" w:hAnsi="宋体" w:cs="宋体"/>
          <w:sz w:val="24"/>
          <w:szCs w:val="24"/>
          <w:highlight w:val="none"/>
        </w:rPr>
        <w:t>备注：请列出易损件，耗材及其他相关产品清单，并注明编码报价</w:t>
      </w:r>
      <w:r>
        <w:rPr>
          <w:rFonts w:hint="eastAsia" w:ascii="宋体" w:hAnsi="宋体" w:cs="宋体"/>
          <w:sz w:val="24"/>
          <w:szCs w:val="24"/>
          <w:highlight w:val="none"/>
          <w:lang w:eastAsia="zh-CN"/>
        </w:rPr>
        <w:t>。</w:t>
      </w:r>
    </w:p>
    <w:p w14:paraId="4D439C74">
      <w:pPr>
        <w:rPr>
          <w:rFonts w:hint="eastAsia"/>
          <w:highlight w:val="none"/>
        </w:rPr>
      </w:pPr>
    </w:p>
    <w:p w14:paraId="7CEB7D5B">
      <w:pPr>
        <w:spacing w:line="360" w:lineRule="auto"/>
        <w:ind w:firstLine="437"/>
        <w:jc w:val="both"/>
        <w:outlineLvl w:val="1"/>
        <w:rPr>
          <w:rFonts w:hint="eastAsia" w:ascii="宋体" w:hAnsi="宋体" w:cs="@仿宋_GB2312"/>
          <w:b/>
          <w:sz w:val="24"/>
          <w:szCs w:val="24"/>
          <w:highlight w:val="none"/>
        </w:rPr>
      </w:pPr>
      <w:bookmarkStart w:id="1" w:name="_Toc26330"/>
      <w:bookmarkStart w:id="2" w:name="_Toc9765"/>
      <w:r>
        <w:rPr>
          <w:rFonts w:hint="eastAsia" w:ascii="宋体" w:hAnsi="宋体" w:cs="@仿宋_GB2312"/>
          <w:b/>
          <w:sz w:val="24"/>
          <w:szCs w:val="24"/>
          <w:highlight w:val="none"/>
        </w:rPr>
        <w:t>一、采购需求前附表</w:t>
      </w:r>
      <w:bookmarkEnd w:id="1"/>
      <w:bookmarkEnd w:id="2"/>
      <w:r>
        <w:rPr>
          <w:rFonts w:hint="eastAsia" w:ascii="宋体" w:hAnsi="宋体" w:eastAsia="宋体"/>
          <w:b/>
          <w:color w:val="FF0000"/>
          <w:sz w:val="24"/>
          <w:szCs w:val="18"/>
          <w:highlight w:val="none"/>
          <w:lang w:eastAsia="zh-CN"/>
        </w:rPr>
        <w:t>（</w:t>
      </w:r>
      <w:r>
        <w:rPr>
          <w:rFonts w:hint="eastAsia" w:ascii="宋体" w:hAnsi="宋体" w:eastAsia="宋体"/>
          <w:b/>
          <w:color w:val="FF0000"/>
          <w:sz w:val="24"/>
          <w:szCs w:val="18"/>
          <w:highlight w:val="none"/>
          <w:lang w:val="en-US" w:eastAsia="zh-CN"/>
        </w:rPr>
        <w:t>以下内容必须响应，不允许偏离</w:t>
      </w:r>
      <w:r>
        <w:rPr>
          <w:rFonts w:hint="eastAsia" w:ascii="宋体" w:hAnsi="宋体" w:eastAsia="宋体"/>
          <w:b/>
          <w:color w:val="FF0000"/>
          <w:sz w:val="24"/>
          <w:szCs w:val="18"/>
          <w:highlight w:val="none"/>
          <w:lang w:eastAsia="zh-CN"/>
        </w:rPr>
        <w:t>）</w:t>
      </w:r>
    </w:p>
    <w:tbl>
      <w:tblPr>
        <w:tblStyle w:val="3"/>
        <w:tblW w:w="8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476"/>
      </w:tblGrid>
      <w:tr w14:paraId="2C9E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757F0C7D">
            <w:pPr>
              <w:spacing w:line="360" w:lineRule="auto"/>
              <w:jc w:val="center"/>
              <w:rPr>
                <w:rFonts w:hint="eastAsia" w:ascii="宋体" w:hAnsi="宋体" w:cs="@仿宋_GB2312"/>
                <w:b/>
                <w:sz w:val="24"/>
                <w:szCs w:val="24"/>
                <w:highlight w:val="none"/>
              </w:rPr>
            </w:pPr>
            <w:r>
              <w:rPr>
                <w:rFonts w:hint="eastAsia" w:ascii="宋体" w:hAnsi="宋体" w:cs="@仿宋_GB2312"/>
                <w:b/>
                <w:sz w:val="24"/>
                <w:szCs w:val="24"/>
                <w:highlight w:val="none"/>
              </w:rPr>
              <w:t>序号</w:t>
            </w:r>
          </w:p>
        </w:tc>
        <w:tc>
          <w:tcPr>
            <w:tcW w:w="2191" w:type="dxa"/>
            <w:noWrap w:val="0"/>
            <w:vAlign w:val="center"/>
          </w:tcPr>
          <w:p w14:paraId="2C88AA87">
            <w:pPr>
              <w:spacing w:line="360" w:lineRule="auto"/>
              <w:jc w:val="center"/>
              <w:rPr>
                <w:rFonts w:hint="eastAsia" w:ascii="宋体" w:hAnsi="宋体" w:cs="@仿宋_GB2312"/>
                <w:b/>
                <w:kern w:val="0"/>
                <w:sz w:val="24"/>
                <w:szCs w:val="24"/>
                <w:highlight w:val="none"/>
              </w:rPr>
            </w:pPr>
            <w:r>
              <w:rPr>
                <w:rFonts w:hint="eastAsia" w:ascii="宋体" w:hAnsi="宋体" w:cs="@仿宋_GB2312"/>
                <w:b/>
                <w:kern w:val="0"/>
                <w:sz w:val="24"/>
                <w:szCs w:val="24"/>
                <w:highlight w:val="none"/>
              </w:rPr>
              <w:t>条款名称</w:t>
            </w:r>
          </w:p>
        </w:tc>
        <w:tc>
          <w:tcPr>
            <w:tcW w:w="5476" w:type="dxa"/>
            <w:noWrap w:val="0"/>
            <w:vAlign w:val="center"/>
          </w:tcPr>
          <w:p w14:paraId="42DAED4C">
            <w:pPr>
              <w:spacing w:line="360" w:lineRule="auto"/>
              <w:jc w:val="center"/>
              <w:rPr>
                <w:rFonts w:hint="eastAsia" w:ascii="宋体" w:hAnsi="宋体" w:cs="@仿宋_GB2312"/>
                <w:b/>
                <w:kern w:val="0"/>
                <w:sz w:val="24"/>
                <w:szCs w:val="24"/>
                <w:highlight w:val="none"/>
              </w:rPr>
            </w:pPr>
            <w:r>
              <w:rPr>
                <w:rFonts w:hint="eastAsia" w:ascii="宋体" w:hAnsi="宋体" w:cs="@仿宋_GB2312"/>
                <w:b/>
                <w:kern w:val="0"/>
                <w:sz w:val="24"/>
                <w:szCs w:val="24"/>
                <w:highlight w:val="none"/>
              </w:rPr>
              <w:t>内容、说明与要求</w:t>
            </w:r>
          </w:p>
        </w:tc>
      </w:tr>
      <w:tr w14:paraId="283E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4E541303">
            <w:pPr>
              <w:spacing w:line="360" w:lineRule="auto"/>
              <w:jc w:val="center"/>
              <w:rPr>
                <w:rFonts w:hint="eastAsia" w:ascii="宋体" w:hAnsi="宋体" w:cs="@仿宋_GB2312"/>
                <w:bCs/>
                <w:sz w:val="24"/>
                <w:szCs w:val="24"/>
                <w:highlight w:val="none"/>
              </w:rPr>
            </w:pPr>
            <w:r>
              <w:rPr>
                <w:rFonts w:hint="eastAsia" w:ascii="宋体" w:hAnsi="宋体" w:cs="@仿宋_GB2312"/>
                <w:bCs/>
                <w:sz w:val="24"/>
                <w:szCs w:val="24"/>
                <w:highlight w:val="none"/>
              </w:rPr>
              <w:t>1</w:t>
            </w:r>
          </w:p>
        </w:tc>
        <w:tc>
          <w:tcPr>
            <w:tcW w:w="2191" w:type="dxa"/>
            <w:noWrap w:val="0"/>
            <w:vAlign w:val="center"/>
          </w:tcPr>
          <w:p w14:paraId="24E0F82F">
            <w:pPr>
              <w:pStyle w:val="5"/>
              <w:widowControl w:val="0"/>
              <w:spacing w:before="0" w:beforeAutospacing="0" w:after="0" w:afterAutospacing="0" w:line="360" w:lineRule="auto"/>
              <w:rPr>
                <w:rFonts w:hint="eastAsia" w:ascii="宋体" w:hAnsi="宋体" w:cs="@仿宋_GB2312"/>
                <w:bCs w:val="0"/>
                <w:kern w:val="0"/>
                <w:sz w:val="24"/>
                <w:szCs w:val="24"/>
                <w:highlight w:val="none"/>
              </w:rPr>
            </w:pPr>
            <w:r>
              <w:rPr>
                <w:rFonts w:hint="eastAsia" w:ascii="宋体" w:hAnsi="宋体" w:eastAsia="宋体"/>
                <w:b w:val="0"/>
                <w:sz w:val="24"/>
                <w:highlight w:val="none"/>
              </w:rPr>
              <w:t>付款方式</w:t>
            </w:r>
          </w:p>
        </w:tc>
        <w:tc>
          <w:tcPr>
            <w:tcW w:w="5476" w:type="dxa"/>
            <w:noWrap w:val="0"/>
            <w:vAlign w:val="center"/>
          </w:tcPr>
          <w:p w14:paraId="32701777">
            <w:pPr>
              <w:pStyle w:val="5"/>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24ABEC87">
            <w:pPr>
              <w:pStyle w:val="5"/>
              <w:widowControl w:val="0"/>
              <w:spacing w:before="0" w:beforeAutospacing="0" w:after="0" w:afterAutospacing="0" w:line="360" w:lineRule="auto"/>
              <w:jc w:val="both"/>
              <w:rPr>
                <w:rFonts w:hint="eastAsia" w:ascii="宋体" w:hAnsi="宋体" w:cs="@仿宋_GB2312"/>
                <w:bCs w:val="0"/>
                <w:kern w:val="0"/>
                <w:sz w:val="24"/>
                <w:szCs w:val="24"/>
                <w:highlight w:val="non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4961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50289C60">
            <w:pPr>
              <w:spacing w:line="360" w:lineRule="auto"/>
              <w:jc w:val="center"/>
              <w:rPr>
                <w:rFonts w:hint="eastAsia" w:ascii="宋体" w:hAnsi="宋体" w:cs="@仿宋_GB2312"/>
                <w:bCs/>
                <w:sz w:val="24"/>
                <w:szCs w:val="24"/>
                <w:highlight w:val="none"/>
              </w:rPr>
            </w:pPr>
            <w:r>
              <w:rPr>
                <w:rFonts w:hint="eastAsia" w:ascii="宋体" w:hAnsi="宋体" w:cs="@仿宋_GB2312"/>
                <w:bCs/>
                <w:sz w:val="24"/>
                <w:szCs w:val="24"/>
                <w:highlight w:val="none"/>
              </w:rPr>
              <w:t>2</w:t>
            </w:r>
          </w:p>
        </w:tc>
        <w:tc>
          <w:tcPr>
            <w:tcW w:w="2191" w:type="dxa"/>
            <w:noWrap w:val="0"/>
            <w:vAlign w:val="center"/>
          </w:tcPr>
          <w:p w14:paraId="6D86C543">
            <w:pPr>
              <w:spacing w:line="360" w:lineRule="auto"/>
              <w:jc w:val="center"/>
              <w:rPr>
                <w:rFonts w:hint="eastAsia" w:ascii="宋体" w:hAnsi="宋体" w:cs="@仿宋_GB2312"/>
                <w:bCs/>
                <w:kern w:val="0"/>
                <w:sz w:val="24"/>
                <w:szCs w:val="24"/>
                <w:highlight w:val="none"/>
              </w:rPr>
            </w:pPr>
            <w:r>
              <w:rPr>
                <w:rFonts w:hint="eastAsia" w:ascii="宋体" w:hAnsi="宋体" w:cs="@仿宋_GB2312"/>
                <w:bCs/>
                <w:kern w:val="0"/>
                <w:sz w:val="24"/>
                <w:szCs w:val="24"/>
                <w:highlight w:val="none"/>
              </w:rPr>
              <w:t>供货及安装地点</w:t>
            </w:r>
          </w:p>
        </w:tc>
        <w:tc>
          <w:tcPr>
            <w:tcW w:w="5476" w:type="dxa"/>
            <w:noWrap w:val="0"/>
            <w:vAlign w:val="center"/>
          </w:tcPr>
          <w:p w14:paraId="3CA70504">
            <w:pPr>
              <w:spacing w:line="360" w:lineRule="auto"/>
              <w:jc w:val="both"/>
              <w:rPr>
                <w:rFonts w:hint="eastAsia" w:ascii="宋体" w:hAnsi="宋体" w:cs="@仿宋_GB2312"/>
                <w:bCs/>
                <w:kern w:val="0"/>
                <w:sz w:val="24"/>
                <w:szCs w:val="24"/>
                <w:highlight w:val="none"/>
              </w:rPr>
            </w:pPr>
            <w:r>
              <w:rPr>
                <w:rFonts w:hint="eastAsia" w:ascii="宋体" w:hAnsi="宋体" w:cs="@仿宋_GB2312"/>
                <w:bCs/>
                <w:kern w:val="0"/>
                <w:sz w:val="24"/>
                <w:szCs w:val="24"/>
                <w:highlight w:val="none"/>
              </w:rPr>
              <w:t>采购人指定地点</w:t>
            </w:r>
          </w:p>
        </w:tc>
      </w:tr>
      <w:tr w14:paraId="00DA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509AC833">
            <w:pPr>
              <w:spacing w:line="360" w:lineRule="auto"/>
              <w:jc w:val="center"/>
              <w:rPr>
                <w:rFonts w:hint="eastAsia" w:ascii="宋体" w:hAnsi="宋体" w:cs="@仿宋_GB2312"/>
                <w:bCs/>
                <w:sz w:val="24"/>
                <w:szCs w:val="24"/>
                <w:highlight w:val="none"/>
              </w:rPr>
            </w:pPr>
            <w:r>
              <w:rPr>
                <w:rFonts w:hint="eastAsia" w:ascii="宋体" w:hAnsi="宋体" w:cs="@仿宋_GB2312"/>
                <w:bCs/>
                <w:sz w:val="24"/>
                <w:szCs w:val="24"/>
                <w:highlight w:val="none"/>
              </w:rPr>
              <w:t>3</w:t>
            </w:r>
          </w:p>
        </w:tc>
        <w:tc>
          <w:tcPr>
            <w:tcW w:w="2191" w:type="dxa"/>
            <w:noWrap w:val="0"/>
            <w:vAlign w:val="center"/>
          </w:tcPr>
          <w:p w14:paraId="721D5CA1">
            <w:pPr>
              <w:spacing w:line="360" w:lineRule="auto"/>
              <w:jc w:val="center"/>
              <w:rPr>
                <w:rFonts w:hint="eastAsia" w:ascii="宋体" w:hAnsi="宋体" w:cs="@仿宋_GB2312"/>
                <w:bCs/>
                <w:kern w:val="0"/>
                <w:sz w:val="24"/>
                <w:szCs w:val="24"/>
                <w:highlight w:val="none"/>
              </w:rPr>
            </w:pPr>
            <w:r>
              <w:rPr>
                <w:rFonts w:hint="eastAsia" w:ascii="宋体" w:hAnsi="宋体" w:cs="@仿宋_GB2312"/>
                <w:bCs/>
                <w:kern w:val="0"/>
                <w:sz w:val="24"/>
                <w:szCs w:val="24"/>
                <w:highlight w:val="none"/>
              </w:rPr>
              <w:t>供货安装期/供货期</w:t>
            </w:r>
          </w:p>
        </w:tc>
        <w:tc>
          <w:tcPr>
            <w:tcW w:w="5476" w:type="dxa"/>
            <w:noWrap w:val="0"/>
            <w:vAlign w:val="center"/>
          </w:tcPr>
          <w:p w14:paraId="14A55E49">
            <w:pPr>
              <w:spacing w:line="360" w:lineRule="auto"/>
              <w:jc w:val="both"/>
              <w:rPr>
                <w:rFonts w:hint="eastAsia" w:ascii="宋体" w:hAnsi="宋体" w:cs="@仿宋_GB2312"/>
                <w:bCs/>
                <w:kern w:val="0"/>
                <w:sz w:val="24"/>
                <w:szCs w:val="24"/>
                <w:highlight w:val="none"/>
              </w:rPr>
            </w:pPr>
            <w:r>
              <w:rPr>
                <w:rFonts w:hint="eastAsia" w:ascii="宋体" w:hAnsi="宋体" w:cs="@仿宋_GB2312"/>
                <w:bCs/>
                <w:kern w:val="0"/>
                <w:sz w:val="24"/>
                <w:szCs w:val="24"/>
                <w:highlight w:val="none"/>
                <w:lang w:val="en-US" w:eastAsia="zh-CN"/>
              </w:rPr>
              <w:t>详见采购公告</w:t>
            </w:r>
            <w:r>
              <w:rPr>
                <w:rFonts w:hint="eastAsia" w:ascii="宋体" w:hAnsi="宋体" w:cs="@仿宋_GB2312"/>
                <w:bCs/>
                <w:kern w:val="0"/>
                <w:sz w:val="24"/>
                <w:szCs w:val="24"/>
                <w:highlight w:val="none"/>
              </w:rPr>
              <w:t>。</w:t>
            </w:r>
          </w:p>
        </w:tc>
      </w:tr>
      <w:tr w14:paraId="329F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36F832A5">
            <w:pPr>
              <w:spacing w:line="360" w:lineRule="auto"/>
              <w:jc w:val="center"/>
              <w:rPr>
                <w:rFonts w:hint="eastAsia" w:ascii="宋体" w:hAnsi="宋体" w:cs="@仿宋_GB2312"/>
                <w:bCs/>
                <w:sz w:val="24"/>
                <w:szCs w:val="24"/>
                <w:highlight w:val="none"/>
              </w:rPr>
            </w:pPr>
            <w:r>
              <w:rPr>
                <w:rFonts w:hint="eastAsia" w:ascii="宋体" w:hAnsi="宋体" w:cs="@仿宋_GB2312"/>
                <w:bCs/>
                <w:sz w:val="24"/>
                <w:szCs w:val="24"/>
                <w:highlight w:val="none"/>
              </w:rPr>
              <w:t>4</w:t>
            </w:r>
          </w:p>
        </w:tc>
        <w:tc>
          <w:tcPr>
            <w:tcW w:w="2191" w:type="dxa"/>
            <w:noWrap w:val="0"/>
            <w:vAlign w:val="center"/>
          </w:tcPr>
          <w:p w14:paraId="1F24AFD8">
            <w:pPr>
              <w:spacing w:line="360" w:lineRule="auto"/>
              <w:jc w:val="center"/>
              <w:rPr>
                <w:rFonts w:hint="eastAsia" w:ascii="宋体" w:hAnsi="宋体" w:cs="@仿宋_GB2312"/>
                <w:bCs/>
                <w:kern w:val="0"/>
                <w:sz w:val="24"/>
                <w:szCs w:val="24"/>
                <w:highlight w:val="none"/>
              </w:rPr>
            </w:pPr>
            <w:r>
              <w:rPr>
                <w:rFonts w:hint="eastAsia" w:ascii="宋体" w:hAnsi="宋体" w:cs="@仿宋_GB2312"/>
                <w:bCs/>
                <w:kern w:val="0"/>
                <w:sz w:val="24"/>
                <w:szCs w:val="24"/>
                <w:highlight w:val="none"/>
              </w:rPr>
              <w:t>质保期（如有）</w:t>
            </w:r>
          </w:p>
        </w:tc>
        <w:tc>
          <w:tcPr>
            <w:tcW w:w="5476" w:type="dxa"/>
            <w:noWrap w:val="0"/>
            <w:vAlign w:val="center"/>
          </w:tcPr>
          <w:p w14:paraId="4E3FFF87">
            <w:pPr>
              <w:spacing w:line="360" w:lineRule="auto"/>
              <w:jc w:val="both"/>
              <w:rPr>
                <w:rFonts w:hint="eastAsia" w:ascii="宋体" w:hAnsi="宋体" w:cs="@仿宋_GB2312"/>
                <w:bCs/>
                <w:kern w:val="0"/>
                <w:sz w:val="24"/>
                <w:szCs w:val="24"/>
                <w:highlight w:val="none"/>
              </w:rPr>
            </w:pPr>
            <w:r>
              <w:rPr>
                <w:rFonts w:hint="eastAsia" w:ascii="宋体" w:hAnsi="宋体" w:cs="@仿宋_GB2312"/>
                <w:bCs/>
                <w:kern w:val="0"/>
                <w:sz w:val="24"/>
                <w:szCs w:val="24"/>
                <w:highlight w:val="none"/>
                <w:lang w:val="en-US" w:eastAsia="zh-CN"/>
              </w:rPr>
              <w:t>详见采购公告</w:t>
            </w:r>
            <w:r>
              <w:rPr>
                <w:rFonts w:hint="eastAsia" w:ascii="宋体" w:hAnsi="宋体" w:cs="@仿宋_GB2312"/>
                <w:bCs/>
                <w:kern w:val="0"/>
                <w:sz w:val="24"/>
                <w:szCs w:val="24"/>
                <w:highlight w:val="none"/>
              </w:rPr>
              <w:t>。</w:t>
            </w:r>
          </w:p>
        </w:tc>
      </w:tr>
    </w:tbl>
    <w:p w14:paraId="63708D38">
      <w:pPr>
        <w:spacing w:line="360" w:lineRule="auto"/>
        <w:ind w:firstLine="437"/>
        <w:jc w:val="both"/>
        <w:outlineLvl w:val="1"/>
        <w:rPr>
          <w:rFonts w:hint="eastAsia" w:ascii="宋体" w:hAnsi="宋体" w:cs="@仿宋_GB2312"/>
          <w:b/>
          <w:bCs/>
          <w:sz w:val="24"/>
          <w:szCs w:val="24"/>
          <w:highlight w:val="none"/>
        </w:rPr>
      </w:pPr>
    </w:p>
    <w:p w14:paraId="1ABCC976">
      <w:pPr>
        <w:spacing w:line="360" w:lineRule="auto"/>
        <w:ind w:firstLine="437"/>
        <w:jc w:val="both"/>
        <w:outlineLvl w:val="1"/>
        <w:rPr>
          <w:rFonts w:hint="eastAsia" w:ascii="宋体" w:hAnsi="宋体" w:cs="@仿宋_GB2312"/>
          <w:b/>
          <w:bCs/>
          <w:sz w:val="24"/>
          <w:szCs w:val="24"/>
          <w:highlight w:val="none"/>
        </w:rPr>
      </w:pPr>
      <w:r>
        <w:rPr>
          <w:rFonts w:hint="eastAsia" w:ascii="宋体" w:hAnsi="宋体" w:cs="@仿宋_GB2312"/>
          <w:b/>
          <w:bCs/>
          <w:sz w:val="24"/>
          <w:szCs w:val="24"/>
          <w:highlight w:val="none"/>
        </w:rPr>
        <w:t>二、</w:t>
      </w:r>
      <w:r>
        <w:rPr>
          <w:rFonts w:hint="eastAsia" w:ascii="宋体" w:hAnsi="宋体" w:cs="@仿宋_GB2312"/>
          <w:b/>
          <w:sz w:val="24"/>
          <w:szCs w:val="24"/>
          <w:highlight w:val="none"/>
        </w:rPr>
        <w:t>货物</w:t>
      </w:r>
      <w:r>
        <w:rPr>
          <w:rFonts w:hint="eastAsia" w:ascii="宋体" w:hAnsi="宋体" w:cs="@仿宋_GB2312"/>
          <w:b/>
          <w:bCs/>
          <w:sz w:val="24"/>
          <w:szCs w:val="24"/>
          <w:highlight w:val="none"/>
        </w:rPr>
        <w:t>需求</w:t>
      </w:r>
    </w:p>
    <w:p w14:paraId="156D727C">
      <w:pPr>
        <w:widowControl/>
        <w:spacing w:line="360" w:lineRule="auto"/>
        <w:ind w:firstLine="482" w:firstLineChars="200"/>
        <w:jc w:val="both"/>
        <w:outlineLvl w:val="2"/>
        <w:rPr>
          <w:rFonts w:hint="eastAsia" w:ascii="宋体" w:hAnsi="宋体" w:cs="宋体"/>
          <w:b/>
          <w:bCs/>
          <w:sz w:val="24"/>
          <w:szCs w:val="24"/>
          <w:highlight w:val="none"/>
        </w:rPr>
      </w:pPr>
      <w:r>
        <w:rPr>
          <w:rFonts w:hint="eastAsia" w:ascii="宋体" w:hAnsi="宋体" w:cs="宋体"/>
          <w:b/>
          <w:bCs/>
          <w:sz w:val="24"/>
          <w:szCs w:val="24"/>
          <w:highlight w:val="none"/>
        </w:rPr>
        <w:t>（一）标识符号</w:t>
      </w:r>
    </w:p>
    <w:tbl>
      <w:tblPr>
        <w:tblStyle w:val="3"/>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561"/>
      </w:tblGrid>
      <w:tr w14:paraId="3062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497EB50B">
            <w:pPr>
              <w:spacing w:line="360" w:lineRule="auto"/>
              <w:jc w:val="center"/>
              <w:rPr>
                <w:rFonts w:hint="eastAsia" w:ascii="宋体" w:hAnsi="宋体" w:cs="宋体"/>
                <w:b/>
                <w:sz w:val="24"/>
                <w:szCs w:val="24"/>
                <w:highlight w:val="none"/>
              </w:rPr>
            </w:pPr>
            <w:r>
              <w:rPr>
                <w:rFonts w:hint="eastAsia" w:ascii="宋体" w:hAnsi="宋体" w:cs="宋体"/>
                <w:b/>
                <w:sz w:val="24"/>
                <w:szCs w:val="24"/>
                <w:highlight w:val="none"/>
              </w:rPr>
              <w:t>标识类型</w:t>
            </w:r>
          </w:p>
        </w:tc>
        <w:tc>
          <w:tcPr>
            <w:tcW w:w="1365" w:type="dxa"/>
            <w:noWrap w:val="0"/>
            <w:vAlign w:val="center"/>
          </w:tcPr>
          <w:p w14:paraId="71BAA14B">
            <w:pPr>
              <w:spacing w:line="360" w:lineRule="auto"/>
              <w:jc w:val="center"/>
              <w:rPr>
                <w:rFonts w:hint="eastAsia" w:ascii="宋体" w:hAnsi="宋体" w:cs="宋体"/>
                <w:b/>
                <w:sz w:val="24"/>
                <w:szCs w:val="24"/>
                <w:highlight w:val="none"/>
              </w:rPr>
            </w:pPr>
            <w:r>
              <w:rPr>
                <w:rFonts w:hint="eastAsia" w:ascii="宋体" w:hAnsi="宋体" w:cs="宋体"/>
                <w:b/>
                <w:sz w:val="24"/>
                <w:szCs w:val="24"/>
                <w:highlight w:val="none"/>
              </w:rPr>
              <w:t>标识符号</w:t>
            </w:r>
          </w:p>
        </w:tc>
        <w:tc>
          <w:tcPr>
            <w:tcW w:w="5561" w:type="dxa"/>
            <w:noWrap w:val="0"/>
            <w:vAlign w:val="center"/>
          </w:tcPr>
          <w:p w14:paraId="22463643">
            <w:pPr>
              <w:spacing w:line="360" w:lineRule="auto"/>
              <w:jc w:val="center"/>
              <w:rPr>
                <w:rFonts w:hint="eastAsia" w:ascii="宋体" w:hAnsi="宋体" w:cs="宋体"/>
                <w:b/>
                <w:sz w:val="24"/>
                <w:szCs w:val="24"/>
                <w:highlight w:val="none"/>
              </w:rPr>
            </w:pPr>
            <w:r>
              <w:rPr>
                <w:rFonts w:hint="eastAsia" w:ascii="宋体" w:hAnsi="宋体" w:cs="宋体"/>
                <w:b/>
                <w:sz w:val="24"/>
                <w:szCs w:val="24"/>
                <w:highlight w:val="none"/>
              </w:rPr>
              <w:t>标识符号含义</w:t>
            </w:r>
          </w:p>
        </w:tc>
      </w:tr>
      <w:tr w14:paraId="4531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6709659E">
            <w:pPr>
              <w:snapToGrid w:val="0"/>
              <w:spacing w:line="360" w:lineRule="auto"/>
              <w:jc w:val="center"/>
              <w:rPr>
                <w:rFonts w:hint="eastAsia" w:ascii="宋体" w:hAnsi="宋体" w:cs="宋体"/>
                <w:color w:val="000000"/>
                <w:sz w:val="24"/>
                <w:szCs w:val="24"/>
                <w:highlight w:val="none"/>
              </w:rPr>
            </w:pPr>
            <w:r>
              <w:rPr>
                <w:rFonts w:hint="eastAsia" w:ascii="宋体" w:hAnsi="宋体" w:cs="宋体"/>
                <w:bCs/>
                <w:sz w:val="24"/>
                <w:szCs w:val="24"/>
                <w:highlight w:val="none"/>
              </w:rPr>
              <w:t>关键性指标项</w:t>
            </w:r>
          </w:p>
        </w:tc>
        <w:tc>
          <w:tcPr>
            <w:tcW w:w="1365" w:type="dxa"/>
            <w:noWrap w:val="0"/>
            <w:vAlign w:val="center"/>
          </w:tcPr>
          <w:p w14:paraId="3321A1F1">
            <w:pPr>
              <w:snapToGrid w:val="0"/>
              <w:spacing w:line="360" w:lineRule="auto"/>
              <w:jc w:val="center"/>
              <w:rPr>
                <w:rFonts w:hint="eastAsia" w:ascii="宋体" w:hAnsi="宋体" w:eastAsia="宋体" w:cs="宋体"/>
                <w:bCs/>
                <w:color w:val="000000"/>
                <w:sz w:val="24"/>
                <w:szCs w:val="24"/>
                <w:highlight w:val="none"/>
                <w:lang w:eastAsia="zh-CN"/>
              </w:rPr>
            </w:pPr>
            <w:r>
              <w:rPr>
                <w:rFonts w:hint="eastAsia" w:ascii="宋体" w:hAnsi="宋体" w:cs="宋体"/>
                <w:bCs/>
                <w:sz w:val="24"/>
                <w:szCs w:val="24"/>
                <w:highlight w:val="none"/>
                <w:lang w:eastAsia="zh-CN"/>
              </w:rPr>
              <w:t>■</w:t>
            </w:r>
          </w:p>
        </w:tc>
        <w:tc>
          <w:tcPr>
            <w:tcW w:w="5561" w:type="dxa"/>
            <w:noWrap w:val="0"/>
            <w:vAlign w:val="center"/>
          </w:tcPr>
          <w:p w14:paraId="34110418">
            <w:pPr>
              <w:snapToGrid w:val="0"/>
              <w:spacing w:line="360" w:lineRule="auto"/>
              <w:jc w:val="center"/>
              <w:rPr>
                <w:rFonts w:hint="default" w:ascii="宋体" w:hAnsi="宋体" w:eastAsia="宋体" w:cs="宋体"/>
                <w:bCs/>
                <w:color w:val="000000"/>
                <w:sz w:val="24"/>
                <w:szCs w:val="24"/>
                <w:highlight w:val="none"/>
                <w:lang w:val="en-US" w:eastAsia="zh-CN"/>
              </w:rPr>
            </w:pPr>
            <w:r>
              <w:rPr>
                <w:rFonts w:hint="eastAsia" w:ascii="宋体" w:hAnsi="宋体" w:cs="宋体"/>
                <w:bCs/>
                <w:color w:val="000000"/>
                <w:sz w:val="24"/>
                <w:szCs w:val="24"/>
                <w:highlight w:val="none"/>
                <w:lang w:val="en-US" w:eastAsia="zh-CN"/>
              </w:rPr>
              <w:t>如有，为评分项，详见第四章 评审办法</w:t>
            </w:r>
          </w:p>
        </w:tc>
      </w:tr>
      <w:tr w14:paraId="1B48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71C3C7E1">
            <w:pPr>
              <w:widowControl/>
              <w:spacing w:line="360" w:lineRule="auto"/>
              <w:jc w:val="center"/>
              <w:rPr>
                <w:rFonts w:hint="eastAsia" w:ascii="宋体" w:hAnsi="宋体" w:cs="宋体"/>
                <w:color w:val="000000"/>
                <w:sz w:val="24"/>
                <w:szCs w:val="24"/>
                <w:highlight w:val="none"/>
              </w:rPr>
            </w:pPr>
            <w:r>
              <w:rPr>
                <w:rFonts w:hint="eastAsia" w:ascii="宋体" w:hAnsi="宋体" w:cs="宋体"/>
                <w:bCs/>
                <w:color w:val="000000"/>
                <w:kern w:val="0"/>
                <w:sz w:val="24"/>
                <w:szCs w:val="24"/>
                <w:highlight w:val="none"/>
                <w:lang w:bidi="ar"/>
              </w:rPr>
              <w:t>无标识项</w:t>
            </w:r>
          </w:p>
        </w:tc>
        <w:tc>
          <w:tcPr>
            <w:tcW w:w="1365" w:type="dxa"/>
            <w:noWrap w:val="0"/>
            <w:vAlign w:val="center"/>
          </w:tcPr>
          <w:p w14:paraId="1955B883">
            <w:pPr>
              <w:spacing w:line="360" w:lineRule="auto"/>
              <w:jc w:val="center"/>
              <w:rPr>
                <w:rFonts w:hint="eastAsia" w:ascii="宋体" w:hAnsi="宋体" w:cs="宋体"/>
                <w:bCs/>
                <w:color w:val="000000"/>
                <w:sz w:val="24"/>
                <w:szCs w:val="24"/>
                <w:highlight w:val="none"/>
              </w:rPr>
            </w:pPr>
          </w:p>
        </w:tc>
        <w:tc>
          <w:tcPr>
            <w:tcW w:w="5561" w:type="dxa"/>
            <w:noWrap w:val="0"/>
            <w:vAlign w:val="center"/>
          </w:tcPr>
          <w:p w14:paraId="727D94A6">
            <w:pPr>
              <w:widowControl/>
              <w:spacing w:line="360" w:lineRule="auto"/>
              <w:jc w:val="center"/>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评分项，详见第四章 评审办法</w:t>
            </w:r>
          </w:p>
        </w:tc>
      </w:tr>
      <w:tr w14:paraId="46D6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720" w:type="dxa"/>
            <w:gridSpan w:val="3"/>
            <w:noWrap w:val="0"/>
            <w:vAlign w:val="center"/>
          </w:tcPr>
          <w:p w14:paraId="2FF66535">
            <w:pPr>
              <w:spacing w:line="360" w:lineRule="auto"/>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注：如某项标识中包含多条技术参数或要求，则该项标识所含内容均需满足或优于采购文件要求，否则不予认可。</w:t>
            </w:r>
          </w:p>
        </w:tc>
      </w:tr>
    </w:tbl>
    <w:p w14:paraId="6B5F6DEE">
      <w:pPr>
        <w:widowControl/>
        <w:snapToGrid w:val="0"/>
        <w:spacing w:line="360" w:lineRule="auto"/>
        <w:ind w:firstLine="482" w:firstLineChars="200"/>
        <w:jc w:val="both"/>
        <w:outlineLvl w:val="2"/>
        <w:rPr>
          <w:rFonts w:hint="eastAsia" w:ascii="宋体" w:hAnsi="宋体" w:cs="宋体"/>
          <w:b/>
          <w:bCs/>
          <w:sz w:val="24"/>
          <w:szCs w:val="24"/>
          <w:highlight w:val="none"/>
        </w:rPr>
      </w:pPr>
    </w:p>
    <w:p w14:paraId="6136ADC6">
      <w:pPr>
        <w:widowControl/>
        <w:snapToGrid w:val="0"/>
        <w:spacing w:line="360" w:lineRule="auto"/>
        <w:ind w:firstLine="482" w:firstLineChars="200"/>
        <w:jc w:val="both"/>
        <w:outlineLvl w:val="2"/>
        <w:rPr>
          <w:rFonts w:hint="eastAsia" w:ascii="宋体" w:hAnsi="宋体" w:cs="宋体"/>
          <w:b/>
          <w:bCs/>
          <w:sz w:val="24"/>
          <w:szCs w:val="24"/>
          <w:highlight w:val="none"/>
          <w:lang w:val="en-US" w:eastAsia="zh-CN"/>
        </w:rPr>
      </w:pPr>
      <w:r>
        <w:rPr>
          <w:rFonts w:hint="eastAsia" w:ascii="宋体" w:hAnsi="宋体" w:cs="宋体"/>
          <w:b/>
          <w:bCs/>
          <w:sz w:val="24"/>
          <w:szCs w:val="24"/>
          <w:highlight w:val="none"/>
        </w:rPr>
        <w:t>（二）</w:t>
      </w:r>
      <w:r>
        <w:rPr>
          <w:rFonts w:hint="eastAsia" w:ascii="宋体" w:hAnsi="宋体" w:cs="宋体"/>
          <w:b/>
          <w:bCs/>
          <w:sz w:val="24"/>
          <w:szCs w:val="24"/>
          <w:highlight w:val="none"/>
          <w:lang w:val="en-US" w:eastAsia="zh-CN"/>
        </w:rPr>
        <w:t>技术参数</w:t>
      </w:r>
    </w:p>
    <w:p w14:paraId="070B9543">
      <w:pPr>
        <w:widowControl/>
        <w:snapToGrid w:val="0"/>
        <w:spacing w:line="360" w:lineRule="auto"/>
        <w:ind w:firstLine="482" w:firstLineChars="200"/>
        <w:jc w:val="both"/>
        <w:outlineLvl w:val="2"/>
        <w:rPr>
          <w:rFonts w:hint="eastAsia" w:ascii="宋体" w:hAnsi="宋体" w:eastAsia="宋体" w:cs="宋体"/>
          <w:b/>
          <w:bCs/>
          <w:sz w:val="24"/>
          <w:szCs w:val="24"/>
          <w:highlight w:val="none"/>
          <w:lang w:val="en-US" w:eastAsia="zh-CN"/>
        </w:rPr>
      </w:pPr>
    </w:p>
    <w:p w14:paraId="5AFBB56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bookmarkStart w:id="3" w:name="_Toc7421"/>
      <w:bookmarkStart w:id="4" w:name="_Toc4843"/>
      <w:r>
        <w:rPr>
          <w:rFonts w:hint="eastAsia" w:ascii="宋体" w:hAnsi="宋体" w:eastAsia="宋体" w:cs="宋体"/>
          <w:bCs/>
          <w:kern w:val="2"/>
          <w:sz w:val="24"/>
          <w:szCs w:val="24"/>
          <w:lang w:val="en-US" w:eastAsia="zh-CN" w:bidi="ar"/>
        </w:rPr>
        <w:t>一、功能参数及要求：</w:t>
      </w:r>
    </w:p>
    <w:p w14:paraId="028A4D4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 检测方式：采用感受器压力法或结合袖带检测</w:t>
      </w:r>
      <w:r>
        <w:rPr>
          <w:rFonts w:hint="eastAsia" w:ascii="宋体" w:hAnsi="宋体" w:cs="宋体"/>
          <w:bCs/>
          <w:kern w:val="2"/>
          <w:sz w:val="24"/>
          <w:szCs w:val="24"/>
          <w:lang w:val="en-US" w:eastAsia="zh-CN" w:bidi="ar"/>
        </w:rPr>
        <w:t>；</w:t>
      </w:r>
    </w:p>
    <w:p w14:paraId="3F2CB869">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 能显示被测者脉搏波速度值，以m/s表示</w:t>
      </w:r>
      <w:r>
        <w:rPr>
          <w:rFonts w:hint="eastAsia" w:ascii="宋体" w:hAnsi="宋体" w:cs="宋体"/>
          <w:bCs/>
          <w:kern w:val="2"/>
          <w:sz w:val="24"/>
          <w:szCs w:val="24"/>
          <w:lang w:val="en-US" w:eastAsia="zh-CN" w:bidi="ar"/>
        </w:rPr>
        <w:t>；</w:t>
      </w:r>
    </w:p>
    <w:p w14:paraId="12BA7844">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3 能显示真实的pvr波形</w:t>
      </w:r>
      <w:r>
        <w:rPr>
          <w:rFonts w:hint="eastAsia" w:ascii="宋体" w:hAnsi="宋体" w:cs="宋体"/>
          <w:bCs/>
          <w:kern w:val="2"/>
          <w:sz w:val="24"/>
          <w:szCs w:val="24"/>
          <w:lang w:val="en-US" w:eastAsia="zh-CN" w:bidi="ar"/>
        </w:rPr>
        <w:t>；</w:t>
      </w:r>
    </w:p>
    <w:p w14:paraId="1D1BF4AB">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4 数据为实时信号，非模拟数据</w:t>
      </w:r>
      <w:r>
        <w:rPr>
          <w:rFonts w:hint="eastAsia" w:ascii="宋体" w:hAnsi="宋体" w:cs="宋体"/>
          <w:bCs/>
          <w:kern w:val="2"/>
          <w:sz w:val="24"/>
          <w:szCs w:val="24"/>
          <w:lang w:val="en-US" w:eastAsia="zh-CN" w:bidi="ar"/>
        </w:rPr>
        <w:t>；</w:t>
      </w:r>
    </w:p>
    <w:p w14:paraId="5AA95052">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 xml:space="preserve">5 </w:t>
      </w:r>
      <w:r>
        <w:rPr>
          <w:rFonts w:hint="eastAsia" w:ascii="宋体" w:hAnsi="宋体" w:eastAsia="宋体" w:cs="宋体"/>
          <w:bCs/>
          <w:kern w:val="2"/>
          <w:sz w:val="24"/>
          <w:szCs w:val="24"/>
          <w:lang w:val="en-US" w:eastAsia="zh-CN" w:bidi="ar"/>
        </w:rPr>
        <w:t>配备动态误差监控系统软件</w:t>
      </w:r>
      <w:r>
        <w:rPr>
          <w:rFonts w:hint="eastAsia" w:ascii="宋体" w:hAnsi="宋体" w:eastAsia="宋体" w:cs="Times New Roman"/>
          <w:bCs/>
          <w:kern w:val="2"/>
          <w:sz w:val="24"/>
          <w:szCs w:val="24"/>
          <w:lang w:val="en-US" w:eastAsia="zh-CN" w:bidi="ar"/>
        </w:rPr>
        <w:t xml:space="preserve"> </w:t>
      </w:r>
      <w:r>
        <w:rPr>
          <w:rFonts w:hint="eastAsia" w:ascii="宋体" w:hAnsi="宋体" w:cs="Times New Roman"/>
          <w:bCs/>
          <w:kern w:val="2"/>
          <w:sz w:val="24"/>
          <w:szCs w:val="24"/>
          <w:lang w:val="en-US" w:eastAsia="zh-CN" w:bidi="ar"/>
        </w:rPr>
        <w:t>；</w:t>
      </w:r>
    </w:p>
    <w:p w14:paraId="6E38BD4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 xml:space="preserve">6 </w:t>
      </w:r>
      <w:r>
        <w:rPr>
          <w:rFonts w:hint="eastAsia" w:ascii="宋体" w:hAnsi="宋体" w:eastAsia="宋体" w:cs="宋体"/>
          <w:bCs/>
          <w:kern w:val="2"/>
          <w:sz w:val="24"/>
          <w:szCs w:val="24"/>
          <w:lang w:val="en-US" w:eastAsia="zh-CN" w:bidi="ar"/>
        </w:rPr>
        <w:t>数据获取时间：在同一个心动周期内</w:t>
      </w:r>
      <w:r>
        <w:rPr>
          <w:rFonts w:hint="eastAsia" w:ascii="宋体" w:hAnsi="宋体" w:cs="宋体"/>
          <w:bCs/>
          <w:kern w:val="2"/>
          <w:sz w:val="24"/>
          <w:szCs w:val="24"/>
          <w:lang w:val="en-US" w:eastAsia="zh-CN" w:bidi="ar"/>
        </w:rPr>
        <w:t>；</w:t>
      </w:r>
    </w:p>
    <w:p w14:paraId="728DD423">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7</w:t>
      </w:r>
      <w:r>
        <w:rPr>
          <w:rFonts w:hint="eastAsia" w:ascii="宋体" w:hAnsi="宋体" w:eastAsia="宋体" w:cs="宋体"/>
          <w:bCs/>
          <w:kern w:val="2"/>
          <w:sz w:val="24"/>
          <w:szCs w:val="24"/>
          <w:lang w:val="en-US" w:eastAsia="zh-CN" w:bidi="ar"/>
        </w:rPr>
        <w:t>运动负荷实验前后对比</w:t>
      </w:r>
      <w:r>
        <w:rPr>
          <w:rFonts w:hint="eastAsia" w:ascii="宋体" w:hAnsi="宋体" w:cs="宋体"/>
          <w:bCs/>
          <w:kern w:val="2"/>
          <w:sz w:val="24"/>
          <w:szCs w:val="24"/>
          <w:lang w:val="en-US" w:eastAsia="zh-CN" w:bidi="ar"/>
        </w:rPr>
        <w:t>；</w:t>
      </w:r>
    </w:p>
    <w:p w14:paraId="737EBA05">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 xml:space="preserve">8 </w:t>
      </w:r>
      <w:r>
        <w:rPr>
          <w:rFonts w:hint="eastAsia" w:ascii="宋体" w:hAnsi="宋体" w:eastAsia="宋体" w:cs="宋体"/>
          <w:bCs/>
          <w:kern w:val="2"/>
          <w:sz w:val="24"/>
          <w:szCs w:val="24"/>
          <w:lang w:val="en-US" w:eastAsia="zh-CN" w:bidi="ar"/>
        </w:rPr>
        <w:t>软件检测功能：检测完成后自动生成检测报告</w:t>
      </w:r>
      <w:r>
        <w:rPr>
          <w:rFonts w:hint="eastAsia" w:ascii="宋体" w:hAnsi="宋体" w:cs="宋体"/>
          <w:bCs/>
          <w:kern w:val="2"/>
          <w:sz w:val="24"/>
          <w:szCs w:val="24"/>
          <w:lang w:val="en-US" w:eastAsia="zh-CN" w:bidi="ar"/>
        </w:rPr>
        <w:t>；</w:t>
      </w:r>
    </w:p>
    <w:p w14:paraId="2FB5415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 xml:space="preserve">9 </w:t>
      </w:r>
      <w:r>
        <w:rPr>
          <w:rFonts w:hint="eastAsia" w:ascii="宋体" w:hAnsi="宋体" w:eastAsia="宋体" w:cs="宋体"/>
          <w:bCs/>
          <w:kern w:val="2"/>
          <w:sz w:val="24"/>
          <w:szCs w:val="24"/>
          <w:lang w:val="en-US" w:eastAsia="zh-CN" w:bidi="ar"/>
        </w:rPr>
        <w:t>检索或者输出结果时，可对其进行多重分类，允许以Excel表格输出</w:t>
      </w:r>
      <w:r>
        <w:rPr>
          <w:rFonts w:hint="eastAsia" w:ascii="宋体" w:hAnsi="宋体" w:cs="宋体"/>
          <w:bCs/>
          <w:kern w:val="2"/>
          <w:sz w:val="24"/>
          <w:szCs w:val="24"/>
          <w:lang w:val="en-US" w:eastAsia="zh-CN" w:bidi="ar"/>
        </w:rPr>
        <w:t>；</w:t>
      </w:r>
    </w:p>
    <w:p w14:paraId="76BFDF25">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w:t>
      </w:r>
      <w:r>
        <w:rPr>
          <w:rFonts w:hint="eastAsia" w:ascii="宋体" w:hAnsi="宋体" w:eastAsia="宋体" w:cs="Times New Roman"/>
          <w:bCs/>
          <w:kern w:val="2"/>
          <w:sz w:val="24"/>
          <w:szCs w:val="24"/>
          <w:lang w:val="en-US" w:eastAsia="zh-CN" w:bidi="ar"/>
        </w:rPr>
        <w:t>10</w:t>
      </w:r>
      <w:r>
        <w:rPr>
          <w:rFonts w:hint="eastAsia" w:ascii="宋体" w:hAnsi="宋体" w:eastAsia="宋体" w:cs="宋体"/>
          <w:bCs/>
          <w:kern w:val="2"/>
          <w:sz w:val="24"/>
          <w:szCs w:val="24"/>
          <w:lang w:val="en-US" w:eastAsia="zh-CN" w:bidi="ar"/>
        </w:rPr>
        <w:t>中心动脉压及心脏功能检测在30秒内完成</w:t>
      </w:r>
      <w:r>
        <w:rPr>
          <w:rFonts w:hint="eastAsia" w:ascii="宋体" w:hAnsi="宋体" w:cs="宋体"/>
          <w:bCs/>
          <w:kern w:val="2"/>
          <w:sz w:val="24"/>
          <w:szCs w:val="24"/>
          <w:lang w:val="en-US" w:eastAsia="zh-CN" w:bidi="ar"/>
        </w:rPr>
        <w:t>；</w:t>
      </w:r>
    </w:p>
    <w:p w14:paraId="73DA527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二、主要技术参数：</w:t>
      </w:r>
    </w:p>
    <w:p w14:paraId="3E703263">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w:t>
      </w:r>
      <w:r>
        <w:rPr>
          <w:rFonts w:hint="eastAsia" w:ascii="宋体" w:hAnsi="宋体" w:eastAsia="宋体" w:cs="Times New Roman"/>
          <w:bCs/>
          <w:kern w:val="2"/>
          <w:sz w:val="24"/>
          <w:szCs w:val="24"/>
          <w:lang w:val="en-US" w:eastAsia="zh-CN" w:bidi="ar"/>
        </w:rPr>
        <w:t>1</w:t>
      </w:r>
      <w:r>
        <w:rPr>
          <w:rFonts w:hint="eastAsia" w:ascii="宋体" w:hAnsi="宋体" w:eastAsia="宋体" w:cs="宋体"/>
          <w:bCs/>
          <w:kern w:val="2"/>
          <w:sz w:val="24"/>
          <w:szCs w:val="24"/>
          <w:lang w:val="en-US" w:eastAsia="zh-CN" w:bidi="ar"/>
        </w:rPr>
        <w:t>、中心动脉压部分：</w:t>
      </w:r>
      <w:r>
        <w:rPr>
          <w:rFonts w:hint="eastAsia" w:ascii="宋体" w:hAnsi="宋体" w:cs="宋体"/>
          <w:bCs/>
          <w:kern w:val="2"/>
          <w:sz w:val="24"/>
          <w:szCs w:val="24"/>
          <w:lang w:val="en-US" w:eastAsia="zh-CN" w:bidi="ar"/>
        </w:rPr>
        <w:t>具备</w:t>
      </w:r>
      <w:r>
        <w:rPr>
          <w:rFonts w:hint="eastAsia" w:ascii="宋体" w:hAnsi="宋体" w:eastAsia="宋体" w:cs="宋体"/>
          <w:bCs/>
          <w:kern w:val="2"/>
          <w:sz w:val="24"/>
          <w:szCs w:val="24"/>
          <w:lang w:val="en-US" w:eastAsia="zh-CN" w:bidi="ar"/>
        </w:rPr>
        <w:t>心率、外周血压平均压、外周血压压差、中心动脉收缩压、中心动脉舒张压、中心动脉脉压、中心动脉压波形图等</w:t>
      </w:r>
      <w:r>
        <w:rPr>
          <w:rFonts w:hint="eastAsia" w:ascii="宋体" w:hAnsi="宋体" w:cs="宋体"/>
          <w:bCs/>
          <w:kern w:val="2"/>
          <w:sz w:val="24"/>
          <w:szCs w:val="24"/>
          <w:lang w:val="en-US" w:eastAsia="zh-CN" w:bidi="ar"/>
        </w:rPr>
        <w:t>；</w:t>
      </w:r>
    </w:p>
    <w:p w14:paraId="1B1588A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1</w:t>
      </w:r>
      <w:r>
        <w:rPr>
          <w:rFonts w:hint="eastAsia" w:ascii="宋体" w:hAnsi="宋体" w:eastAsia="宋体" w:cs="宋体"/>
          <w:bCs/>
          <w:kern w:val="2"/>
          <w:sz w:val="24"/>
          <w:szCs w:val="24"/>
          <w:lang w:val="en-US" w:eastAsia="zh-CN" w:bidi="ar"/>
        </w:rPr>
        <w:t>2、心脏功能部分：</w:t>
      </w:r>
      <w:r>
        <w:rPr>
          <w:rFonts w:hint="eastAsia" w:ascii="宋体" w:hAnsi="宋体" w:cs="宋体"/>
          <w:bCs/>
          <w:kern w:val="2"/>
          <w:sz w:val="24"/>
          <w:szCs w:val="24"/>
          <w:lang w:val="en-US" w:eastAsia="zh-CN" w:bidi="ar"/>
        </w:rPr>
        <w:t>具备</w:t>
      </w:r>
      <w:r>
        <w:rPr>
          <w:rFonts w:hint="eastAsia" w:ascii="宋体" w:hAnsi="宋体" w:eastAsia="宋体" w:cs="宋体"/>
          <w:bCs/>
          <w:kern w:val="2"/>
          <w:sz w:val="24"/>
          <w:szCs w:val="24"/>
          <w:lang w:val="en-US" w:eastAsia="zh-CN" w:bidi="ar"/>
        </w:rPr>
        <w:t>中心动脉增强指:脉搏波传导时间、增强血压、射血时间、反射时间、左心室舒张期、时间指数、左心室射血压力、收缩末期压力、心内膜下心肌活力率</w:t>
      </w:r>
      <w:r>
        <w:rPr>
          <w:rFonts w:hint="eastAsia" w:ascii="宋体" w:hAnsi="宋体" w:cs="宋体"/>
          <w:bCs/>
          <w:kern w:val="2"/>
          <w:sz w:val="24"/>
          <w:szCs w:val="24"/>
          <w:lang w:val="en-US" w:eastAsia="zh-CN" w:bidi="ar"/>
        </w:rPr>
        <w:t>；</w:t>
      </w:r>
    </w:p>
    <w:p w14:paraId="40272FA2">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w:t>
      </w:r>
      <w:r>
        <w:rPr>
          <w:rFonts w:hint="eastAsia" w:ascii="宋体" w:hAnsi="宋体" w:eastAsia="宋体" w:cs="Times New Roman"/>
          <w:bCs/>
          <w:kern w:val="2"/>
          <w:sz w:val="24"/>
          <w:szCs w:val="24"/>
          <w:lang w:val="en-US" w:eastAsia="zh-CN" w:bidi="ar"/>
        </w:rPr>
        <w:t>13</w:t>
      </w:r>
      <w:r>
        <w:rPr>
          <w:rFonts w:hint="eastAsia" w:ascii="宋体" w:hAnsi="宋体" w:eastAsia="宋体" w:cs="宋体"/>
          <w:bCs/>
          <w:kern w:val="2"/>
          <w:sz w:val="24"/>
          <w:szCs w:val="24"/>
          <w:lang w:val="en-US" w:eastAsia="zh-CN" w:bidi="ar"/>
        </w:rPr>
        <w:t>、脑血管风险部分：</w:t>
      </w:r>
      <w:r>
        <w:rPr>
          <w:rFonts w:hint="eastAsia" w:ascii="宋体" w:hAnsi="宋体" w:cs="宋体"/>
          <w:bCs/>
          <w:kern w:val="2"/>
          <w:sz w:val="24"/>
          <w:szCs w:val="24"/>
          <w:lang w:val="en-US" w:eastAsia="zh-CN" w:bidi="ar"/>
        </w:rPr>
        <w:t>具备</w:t>
      </w:r>
      <w:r>
        <w:rPr>
          <w:rFonts w:hint="eastAsia" w:ascii="宋体" w:hAnsi="宋体" w:eastAsia="宋体" w:cs="宋体"/>
          <w:bCs/>
          <w:kern w:val="2"/>
          <w:sz w:val="24"/>
          <w:szCs w:val="24"/>
          <w:lang w:val="en-US" w:eastAsia="zh-CN" w:bidi="ar"/>
        </w:rPr>
        <w:t>等容期收缩指标</w:t>
      </w:r>
      <w:r>
        <w:rPr>
          <w:rFonts w:hint="eastAsia" w:ascii="宋体" w:hAnsi="宋体" w:cs="宋体"/>
          <w:bCs/>
          <w:kern w:val="2"/>
          <w:sz w:val="24"/>
          <w:szCs w:val="24"/>
          <w:lang w:val="en-US" w:eastAsia="zh-CN" w:bidi="ar"/>
        </w:rPr>
        <w:t>；</w:t>
      </w:r>
    </w:p>
    <w:p w14:paraId="3129F44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w:t>
      </w:r>
      <w:r>
        <w:rPr>
          <w:rFonts w:hint="eastAsia" w:ascii="宋体" w:hAnsi="宋体" w:eastAsia="宋体" w:cs="Times New Roman"/>
          <w:bCs/>
          <w:kern w:val="2"/>
          <w:sz w:val="24"/>
          <w:szCs w:val="24"/>
          <w:lang w:val="en-US" w:eastAsia="zh-CN" w:bidi="ar"/>
        </w:rPr>
        <w:t>4</w:t>
      </w:r>
      <w:r>
        <w:rPr>
          <w:rFonts w:hint="eastAsia" w:ascii="宋体" w:hAnsi="宋体" w:eastAsia="宋体" w:cs="宋体"/>
          <w:bCs/>
          <w:kern w:val="2"/>
          <w:sz w:val="24"/>
          <w:szCs w:val="24"/>
          <w:lang w:val="en-US" w:eastAsia="zh-CN" w:bidi="ar"/>
        </w:rPr>
        <w:t>动脉硬化部分：</w:t>
      </w:r>
    </w:p>
    <w:p w14:paraId="239B885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w:t>
      </w:r>
      <w:r>
        <w:rPr>
          <w:rFonts w:hint="eastAsia" w:ascii="宋体" w:hAnsi="宋体" w:eastAsia="宋体" w:cs="Times New Roman"/>
          <w:bCs/>
          <w:kern w:val="2"/>
          <w:sz w:val="24"/>
          <w:szCs w:val="24"/>
          <w:lang w:val="en-US" w:eastAsia="zh-CN" w:bidi="ar"/>
        </w:rPr>
        <w:t>4.1</w:t>
      </w:r>
      <w:r>
        <w:rPr>
          <w:rFonts w:hint="eastAsia" w:ascii="宋体" w:hAnsi="宋体" w:cs="宋体"/>
          <w:bCs/>
          <w:kern w:val="2"/>
          <w:sz w:val="24"/>
          <w:szCs w:val="24"/>
          <w:lang w:val="en-US" w:eastAsia="zh-CN" w:bidi="ar"/>
        </w:rPr>
        <w:t>具备</w:t>
      </w:r>
      <w:r>
        <w:rPr>
          <w:rFonts w:hint="eastAsia" w:ascii="宋体" w:hAnsi="宋体" w:eastAsia="宋体" w:cs="宋体"/>
          <w:bCs/>
          <w:kern w:val="2"/>
          <w:sz w:val="24"/>
          <w:szCs w:val="24"/>
          <w:lang w:val="en-US" w:eastAsia="zh-CN" w:bidi="ar"/>
        </w:rPr>
        <w:t>颈股动脉脉搏波传导速度</w:t>
      </w:r>
      <w:r>
        <w:rPr>
          <w:rFonts w:hint="eastAsia" w:ascii="宋体" w:hAnsi="宋体" w:cs="宋体"/>
          <w:bCs/>
          <w:kern w:val="2"/>
          <w:sz w:val="24"/>
          <w:szCs w:val="24"/>
          <w:lang w:val="en-US" w:eastAsia="zh-CN" w:bidi="ar"/>
        </w:rPr>
        <w:t>；</w:t>
      </w:r>
    </w:p>
    <w:p w14:paraId="275E973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14.2</w:t>
      </w:r>
      <w:r>
        <w:rPr>
          <w:rFonts w:hint="eastAsia" w:ascii="宋体" w:hAnsi="宋体" w:cs="宋体"/>
          <w:bCs/>
          <w:kern w:val="2"/>
          <w:sz w:val="24"/>
          <w:szCs w:val="24"/>
          <w:lang w:val="en-US" w:eastAsia="zh-CN" w:bidi="ar"/>
        </w:rPr>
        <w:t>具备</w:t>
      </w:r>
      <w:r>
        <w:rPr>
          <w:rFonts w:hint="eastAsia" w:ascii="宋体" w:hAnsi="宋体" w:eastAsia="宋体" w:cs="宋体"/>
          <w:bCs/>
          <w:kern w:val="2"/>
          <w:sz w:val="24"/>
          <w:szCs w:val="24"/>
          <w:lang w:val="en-US" w:eastAsia="zh-CN" w:bidi="ar"/>
        </w:rPr>
        <w:t>颈股脉搏波传导时间</w:t>
      </w:r>
      <w:r>
        <w:rPr>
          <w:rFonts w:hint="eastAsia" w:ascii="宋体" w:hAnsi="宋体" w:cs="宋体"/>
          <w:bCs/>
          <w:kern w:val="2"/>
          <w:sz w:val="24"/>
          <w:szCs w:val="24"/>
          <w:lang w:val="en-US" w:eastAsia="zh-CN" w:bidi="ar"/>
        </w:rPr>
        <w:t>；</w:t>
      </w:r>
    </w:p>
    <w:p w14:paraId="49D843E2">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Times New Roman"/>
          <w:bCs/>
          <w:kern w:val="2"/>
          <w:sz w:val="24"/>
          <w:szCs w:val="24"/>
          <w:lang w:val="en-US" w:eastAsia="zh-CN" w:bidi="ar"/>
        </w:rPr>
        <w:t>1</w:t>
      </w:r>
      <w:r>
        <w:rPr>
          <w:rFonts w:hint="eastAsia" w:ascii="宋体" w:hAnsi="宋体" w:eastAsia="宋体" w:cs="宋体"/>
          <w:bCs/>
          <w:kern w:val="2"/>
          <w:sz w:val="24"/>
          <w:szCs w:val="24"/>
          <w:lang w:val="en-US" w:eastAsia="zh-CN" w:bidi="ar"/>
        </w:rPr>
        <w:t>4.3</w:t>
      </w:r>
      <w:r>
        <w:rPr>
          <w:rFonts w:hint="eastAsia" w:ascii="宋体" w:hAnsi="宋体" w:cs="宋体"/>
          <w:bCs/>
          <w:kern w:val="2"/>
          <w:sz w:val="24"/>
          <w:szCs w:val="24"/>
          <w:lang w:val="en-US" w:eastAsia="zh-CN" w:bidi="ar"/>
        </w:rPr>
        <w:t>具备</w:t>
      </w:r>
      <w:r>
        <w:rPr>
          <w:rFonts w:hint="eastAsia" w:ascii="宋体" w:hAnsi="宋体" w:eastAsia="宋体" w:cs="宋体"/>
          <w:bCs/>
          <w:kern w:val="2"/>
          <w:sz w:val="24"/>
          <w:szCs w:val="24"/>
          <w:lang w:val="en-US" w:eastAsia="zh-CN" w:bidi="ar"/>
        </w:rPr>
        <w:t>动脉硬化情况年龄曲线图</w:t>
      </w:r>
      <w:r>
        <w:rPr>
          <w:rFonts w:hint="eastAsia" w:ascii="宋体" w:hAnsi="宋体" w:cs="宋体"/>
          <w:bCs/>
          <w:kern w:val="2"/>
          <w:sz w:val="24"/>
          <w:szCs w:val="24"/>
          <w:lang w:val="en-US" w:eastAsia="zh-CN" w:bidi="ar"/>
        </w:rPr>
        <w:t>；</w:t>
      </w:r>
    </w:p>
    <w:p w14:paraId="3B808FC3">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w:t>
      </w:r>
      <w:r>
        <w:rPr>
          <w:rFonts w:hint="eastAsia" w:ascii="宋体" w:hAnsi="宋体" w:eastAsia="宋体" w:cs="Times New Roman"/>
          <w:bCs/>
          <w:kern w:val="2"/>
          <w:sz w:val="24"/>
          <w:szCs w:val="24"/>
          <w:lang w:val="en-US" w:eastAsia="zh-CN" w:bidi="ar"/>
        </w:rPr>
        <w:t>15</w:t>
      </w:r>
      <w:r>
        <w:rPr>
          <w:rFonts w:hint="eastAsia" w:ascii="宋体" w:hAnsi="宋体" w:eastAsia="宋体" w:cs="宋体"/>
          <w:bCs/>
          <w:kern w:val="2"/>
          <w:sz w:val="24"/>
          <w:szCs w:val="24"/>
          <w:lang w:val="en-US" w:eastAsia="zh-CN" w:bidi="ar"/>
        </w:rPr>
        <w:t>提供数据接口，与体检系统数据互传，价格包含在设备总价内。</w:t>
      </w:r>
    </w:p>
    <w:p w14:paraId="290C5F9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val="0"/>
          <w:bCs/>
          <w:kern w:val="2"/>
          <w:sz w:val="24"/>
          <w:szCs w:val="24"/>
          <w:highlight w:val="none"/>
        </w:rPr>
      </w:pPr>
    </w:p>
    <w:p w14:paraId="50213EA3">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outlineLvl w:val="1"/>
        <w:rPr>
          <w:rFonts w:hint="eastAsia" w:ascii="宋体" w:hAnsi="宋体" w:eastAsia="宋体" w:cs="宋体"/>
          <w:bCs/>
          <w:kern w:val="2"/>
          <w:sz w:val="24"/>
          <w:szCs w:val="24"/>
          <w:highlight w:val="none"/>
          <w:lang w:val="en-US" w:eastAsia="zh-CN" w:bidi="ar"/>
        </w:rPr>
      </w:pPr>
    </w:p>
    <w:p w14:paraId="4BB60170">
      <w:pPr>
        <w:spacing w:line="360" w:lineRule="auto"/>
        <w:ind w:firstLine="437"/>
        <w:jc w:val="both"/>
        <w:outlineLvl w:val="1"/>
        <w:rPr>
          <w:rFonts w:hint="eastAsia" w:ascii="宋体" w:hAnsi="宋体" w:eastAsia="宋体" w:cs="宋体"/>
          <w:bCs/>
          <w:kern w:val="2"/>
          <w:sz w:val="24"/>
          <w:szCs w:val="24"/>
          <w:highlight w:val="none"/>
          <w:lang w:val="en-US" w:eastAsia="zh-CN" w:bidi="ar"/>
        </w:rPr>
      </w:pPr>
    </w:p>
    <w:p w14:paraId="3EA4CA04">
      <w:pPr>
        <w:spacing w:line="360" w:lineRule="auto"/>
        <w:ind w:firstLine="437"/>
        <w:jc w:val="both"/>
        <w:outlineLvl w:val="1"/>
        <w:rPr>
          <w:rFonts w:hint="eastAsia" w:ascii="宋体" w:hAnsi="宋体" w:eastAsia="宋体" w:cs="宋体"/>
          <w:bCs/>
          <w:kern w:val="2"/>
          <w:sz w:val="24"/>
          <w:szCs w:val="24"/>
          <w:highlight w:val="none"/>
          <w:lang w:val="en-US" w:eastAsia="zh-CN" w:bidi="ar"/>
        </w:rPr>
      </w:pPr>
    </w:p>
    <w:bookmarkEnd w:id="3"/>
    <w:bookmarkEnd w:id="4"/>
    <w:p w14:paraId="2847DEA4">
      <w:pPr>
        <w:spacing w:line="360" w:lineRule="auto"/>
        <w:ind w:firstLine="437"/>
        <w:jc w:val="both"/>
        <w:outlineLvl w:val="1"/>
        <w:rPr>
          <w:rFonts w:hint="eastAsia" w:ascii="宋体" w:hAnsi="宋体" w:cs="@仿宋_GB2312"/>
          <w:b/>
          <w:bCs/>
          <w:sz w:val="24"/>
          <w:szCs w:val="24"/>
          <w:highlight w:val="none"/>
        </w:rPr>
      </w:pPr>
    </w:p>
    <w:p w14:paraId="52225CF1">
      <w:pPr>
        <w:spacing w:line="360" w:lineRule="auto"/>
        <w:ind w:firstLine="437"/>
        <w:jc w:val="both"/>
        <w:outlineLvl w:val="1"/>
        <w:rPr>
          <w:rFonts w:hint="eastAsia" w:ascii="宋体" w:hAnsi="宋体" w:cs="@仿宋_GB2312"/>
          <w:b/>
          <w:bCs/>
          <w:sz w:val="24"/>
          <w:szCs w:val="24"/>
          <w:highlight w:val="none"/>
        </w:rPr>
      </w:pPr>
      <w:r>
        <w:rPr>
          <w:rFonts w:hint="eastAsia" w:ascii="宋体" w:hAnsi="宋体" w:cs="@仿宋_GB2312"/>
          <w:b/>
          <w:bCs/>
          <w:sz w:val="24"/>
          <w:szCs w:val="24"/>
          <w:highlight w:val="none"/>
        </w:rPr>
        <w:t>三、报价要求</w:t>
      </w:r>
    </w:p>
    <w:p w14:paraId="2CCACC50">
      <w:pPr>
        <w:spacing w:line="360" w:lineRule="auto"/>
        <w:ind w:firstLine="437"/>
        <w:jc w:val="both"/>
        <w:outlineLvl w:val="1"/>
        <w:rPr>
          <w:rFonts w:ascii="宋体" w:hAnsi="宋体" w:cs="@仿宋_GB2312"/>
          <w:sz w:val="24"/>
          <w:szCs w:val="24"/>
          <w:highlight w:val="none"/>
        </w:rPr>
      </w:pPr>
      <w:r>
        <w:rPr>
          <w:rFonts w:hint="eastAsia" w:ascii="宋体" w:hAnsi="宋体" w:cs="@仿宋_GB2312"/>
          <w:sz w:val="24"/>
          <w:szCs w:val="24"/>
          <w:highlight w:val="none"/>
        </w:rPr>
        <w:t>本项目报总价，报价包含完成项目所需的一切费用（供应商负责所购全部产品的购置、包装、运输、人工、保险、安装、调试、各种税费、资料、售后服务及项目应有的全部工作）。</w:t>
      </w:r>
    </w:p>
    <w:p w14:paraId="017442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EF74A7"/>
    <w:rsid w:val="32EF7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xl31"/>
    <w:basedOn w:val="1"/>
    <w:qFormat/>
    <w:uiPriority w:val="0"/>
    <w:pPr>
      <w:widowControl/>
      <w:spacing w:before="100" w:beforeAutospacing="1" w:after="100" w:afterAutospacing="1"/>
      <w:jc w:val="center"/>
    </w:pPr>
    <w:rPr>
      <w:rFonts w:ascii="宋体" w:hAnsi="宋体"/>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2026-08-28T08:46:00Z</dcterms:created>
  <dc:creator>省招-wxy</dc:creator>
  <cp:lastModifiedBy>省招-wxy</cp:lastModifiedBy>
  <dcterms:modified xsi:type="dcterms:W3CDTF">2026-08-28T08:49:26Z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368F1A2A3D7E4F3B85ACDA53FCACBD4C_11</vt:lpwstr>
  </property>
  <property fmtid="{D5CDD505-2E9C-101B-9397-08002B2CF9AE}" pid="4" name="KSOTemplateDocerSaveRecord">
    <vt:lpwstr>eyJoZGlkIjoiZWUyOTQ1NDM2Zjc0YjU0MjZhMWI3YTAyMzgxNTM2MDQiLCJ1c2VySWQiOiI0NjEyMTI0ODEifQ==</vt:lpwstr>
  </property>
</Properties>
</file>