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28984">
      <w:pPr>
        <w:pStyle w:val="2"/>
        <w:tabs>
          <w:tab w:val="left" w:pos="420"/>
        </w:tabs>
        <w:spacing w:line="360" w:lineRule="auto"/>
        <w:ind w:left="0" w:firstLine="0"/>
        <w:jc w:val="center"/>
        <w:rPr>
          <w:rFonts w:ascii="宋体" w:hAnsi="宋体"/>
          <w:b/>
          <w:sz w:val="24"/>
          <w:szCs w:val="24"/>
          <w:highlight w:val="none"/>
        </w:rPr>
      </w:pPr>
      <w:r>
        <w:rPr>
          <w:rFonts w:hint="eastAsia" w:ascii="宋体" w:hAnsi="宋体"/>
          <w:szCs w:val="36"/>
          <w:highlight w:val="none"/>
        </w:rPr>
        <w:t>采购需求</w:t>
      </w:r>
    </w:p>
    <w:p w14:paraId="51B5E794">
      <w:pPr>
        <w:rPr>
          <w:rFonts w:hint="eastAsia"/>
          <w:highlight w:val="none"/>
        </w:rPr>
      </w:pPr>
    </w:p>
    <w:p w14:paraId="54958525">
      <w:pPr>
        <w:spacing w:line="360" w:lineRule="auto"/>
        <w:ind w:firstLine="437"/>
        <w:jc w:val="both"/>
        <w:outlineLvl w:val="1"/>
        <w:rPr>
          <w:rFonts w:hint="eastAsia" w:ascii="宋体" w:hAnsi="宋体" w:cs="@仿宋_GB2312"/>
          <w:b/>
          <w:sz w:val="24"/>
          <w:szCs w:val="24"/>
          <w:highlight w:val="none"/>
        </w:rPr>
      </w:pPr>
      <w:bookmarkStart w:id="0" w:name="_Toc26330"/>
      <w:bookmarkStart w:id="1" w:name="_Toc9765"/>
      <w:r>
        <w:rPr>
          <w:rFonts w:hint="eastAsia" w:ascii="宋体" w:hAnsi="宋体" w:cs="@仿宋_GB2312"/>
          <w:b/>
          <w:sz w:val="24"/>
          <w:szCs w:val="24"/>
          <w:highlight w:val="none"/>
        </w:rPr>
        <w:t>一、采购需求前附表</w:t>
      </w:r>
      <w:bookmarkEnd w:id="0"/>
      <w:bookmarkEnd w:id="1"/>
      <w:r>
        <w:rPr>
          <w:rFonts w:hint="eastAsia" w:ascii="宋体" w:hAnsi="宋体" w:eastAsia="宋体"/>
          <w:b/>
          <w:color w:val="FF0000"/>
          <w:sz w:val="24"/>
          <w:szCs w:val="18"/>
          <w:highlight w:val="none"/>
          <w:lang w:eastAsia="zh-CN"/>
        </w:rPr>
        <w:t>（</w:t>
      </w:r>
      <w:r>
        <w:rPr>
          <w:rFonts w:hint="eastAsia" w:ascii="宋体" w:hAnsi="宋体" w:eastAsia="宋体"/>
          <w:b/>
          <w:color w:val="FF0000"/>
          <w:sz w:val="24"/>
          <w:szCs w:val="18"/>
          <w:highlight w:val="none"/>
          <w:lang w:val="en-US" w:eastAsia="zh-CN"/>
        </w:rPr>
        <w:t>以下商务条款内容必须响应，不允许偏离</w:t>
      </w:r>
      <w:r>
        <w:rPr>
          <w:rFonts w:hint="eastAsia" w:ascii="宋体" w:hAnsi="宋体" w:eastAsia="宋体"/>
          <w:b/>
          <w:color w:val="FF0000"/>
          <w:sz w:val="24"/>
          <w:szCs w:val="18"/>
          <w:highlight w:val="none"/>
          <w:lang w:eastAsia="zh-CN"/>
        </w:rPr>
        <w:t>）</w:t>
      </w:r>
    </w:p>
    <w:tbl>
      <w:tblPr>
        <w:tblStyle w:val="4"/>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476"/>
      </w:tblGrid>
      <w:tr w14:paraId="37B1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7BE259B1">
            <w:pPr>
              <w:spacing w:line="360" w:lineRule="auto"/>
              <w:jc w:val="center"/>
              <w:rPr>
                <w:rFonts w:hint="eastAsia" w:ascii="宋体" w:hAnsi="宋体" w:cs="@仿宋_GB2312"/>
                <w:b/>
                <w:sz w:val="24"/>
                <w:szCs w:val="24"/>
                <w:highlight w:val="none"/>
              </w:rPr>
            </w:pPr>
            <w:r>
              <w:rPr>
                <w:rFonts w:hint="eastAsia" w:ascii="宋体" w:hAnsi="宋体" w:cs="@仿宋_GB2312"/>
                <w:b/>
                <w:sz w:val="24"/>
                <w:szCs w:val="24"/>
                <w:highlight w:val="none"/>
              </w:rPr>
              <w:t>序号</w:t>
            </w:r>
          </w:p>
        </w:tc>
        <w:tc>
          <w:tcPr>
            <w:tcW w:w="2191" w:type="dxa"/>
            <w:noWrap w:val="0"/>
            <w:vAlign w:val="center"/>
          </w:tcPr>
          <w:p w14:paraId="2746013D">
            <w:pPr>
              <w:spacing w:line="360" w:lineRule="auto"/>
              <w:jc w:val="center"/>
              <w:rPr>
                <w:rFonts w:hint="eastAsia" w:ascii="宋体" w:hAnsi="宋体" w:cs="@仿宋_GB2312"/>
                <w:b/>
                <w:kern w:val="0"/>
                <w:sz w:val="24"/>
                <w:szCs w:val="24"/>
                <w:highlight w:val="none"/>
              </w:rPr>
            </w:pPr>
            <w:r>
              <w:rPr>
                <w:rFonts w:hint="eastAsia" w:ascii="宋体" w:hAnsi="宋体" w:cs="@仿宋_GB2312"/>
                <w:b/>
                <w:kern w:val="0"/>
                <w:sz w:val="24"/>
                <w:szCs w:val="24"/>
                <w:highlight w:val="none"/>
              </w:rPr>
              <w:t>条款名称</w:t>
            </w:r>
          </w:p>
        </w:tc>
        <w:tc>
          <w:tcPr>
            <w:tcW w:w="5476" w:type="dxa"/>
            <w:noWrap w:val="0"/>
            <w:vAlign w:val="center"/>
          </w:tcPr>
          <w:p w14:paraId="2193D4A6">
            <w:pPr>
              <w:spacing w:line="360" w:lineRule="auto"/>
              <w:jc w:val="center"/>
              <w:rPr>
                <w:rFonts w:hint="eastAsia" w:ascii="宋体" w:hAnsi="宋体" w:cs="@仿宋_GB2312"/>
                <w:b/>
                <w:kern w:val="0"/>
                <w:sz w:val="24"/>
                <w:szCs w:val="24"/>
                <w:highlight w:val="none"/>
              </w:rPr>
            </w:pPr>
            <w:r>
              <w:rPr>
                <w:rFonts w:hint="eastAsia" w:ascii="宋体" w:hAnsi="宋体" w:cs="@仿宋_GB2312"/>
                <w:b/>
                <w:kern w:val="0"/>
                <w:sz w:val="24"/>
                <w:szCs w:val="24"/>
                <w:highlight w:val="none"/>
              </w:rPr>
              <w:t>内容、说明与要求</w:t>
            </w:r>
          </w:p>
        </w:tc>
      </w:tr>
      <w:tr w14:paraId="172F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0EEF7076">
            <w:pPr>
              <w:spacing w:line="360" w:lineRule="auto"/>
              <w:jc w:val="center"/>
              <w:rPr>
                <w:rFonts w:hint="eastAsia" w:ascii="宋体" w:hAnsi="宋体" w:cs="@仿宋_GB2312"/>
                <w:bCs/>
                <w:sz w:val="24"/>
                <w:szCs w:val="24"/>
                <w:highlight w:val="none"/>
              </w:rPr>
            </w:pPr>
            <w:r>
              <w:rPr>
                <w:rFonts w:hint="eastAsia" w:ascii="宋体" w:hAnsi="宋体" w:cs="@仿宋_GB2312"/>
                <w:bCs/>
                <w:sz w:val="24"/>
                <w:szCs w:val="24"/>
                <w:highlight w:val="none"/>
              </w:rPr>
              <w:t>1</w:t>
            </w:r>
          </w:p>
        </w:tc>
        <w:tc>
          <w:tcPr>
            <w:tcW w:w="2191" w:type="dxa"/>
            <w:noWrap w:val="0"/>
            <w:vAlign w:val="center"/>
          </w:tcPr>
          <w:p w14:paraId="791A9197">
            <w:pPr>
              <w:pStyle w:val="7"/>
              <w:widowControl w:val="0"/>
              <w:spacing w:before="0" w:beforeAutospacing="0" w:after="0" w:afterAutospacing="0" w:line="360" w:lineRule="auto"/>
              <w:rPr>
                <w:rFonts w:hint="eastAsia" w:ascii="宋体" w:hAnsi="宋体" w:cs="@仿宋_GB2312"/>
                <w:bCs w:val="0"/>
                <w:kern w:val="0"/>
                <w:sz w:val="24"/>
                <w:szCs w:val="24"/>
                <w:highlight w:val="none"/>
              </w:rPr>
            </w:pPr>
            <w:r>
              <w:rPr>
                <w:rFonts w:hint="eastAsia" w:ascii="宋体" w:hAnsi="宋体" w:eastAsia="宋体"/>
                <w:b w:val="0"/>
                <w:sz w:val="24"/>
                <w:highlight w:val="none"/>
              </w:rPr>
              <w:t>付款方式</w:t>
            </w:r>
          </w:p>
        </w:tc>
        <w:tc>
          <w:tcPr>
            <w:tcW w:w="5476" w:type="dxa"/>
            <w:noWrap w:val="0"/>
            <w:vAlign w:val="center"/>
          </w:tcPr>
          <w:p w14:paraId="66971E6A">
            <w:pPr>
              <w:pStyle w:val="7"/>
              <w:widowControl w:val="0"/>
              <w:spacing w:before="0" w:beforeAutospacing="0" w:after="0" w:afterAutospacing="0" w:line="360" w:lineRule="auto"/>
              <w:jc w:val="both"/>
              <w:rPr>
                <w:rFonts w:hint="eastAsia" w:ascii="宋体" w:hAnsi="宋体" w:cs="@仿宋_GB2312"/>
                <w:bCs w:val="0"/>
                <w:kern w:val="0"/>
                <w:sz w:val="24"/>
                <w:szCs w:val="24"/>
                <w:highlight w:val="none"/>
              </w:rPr>
            </w:pPr>
            <w:r>
              <w:rPr>
                <w:rFonts w:hint="eastAsia" w:ascii="宋体" w:hAnsi="宋体" w:cs="@仿宋_GB2312"/>
                <w:bCs w:val="0"/>
                <w:kern w:val="0"/>
                <w:sz w:val="24"/>
                <w:szCs w:val="24"/>
                <w:highlight w:val="none"/>
              </w:rPr>
              <w:t>本合同采用乙方先提供维修保养服务，后由甲方支付维修保养费方式。乙方按照设备维保开始时间按计划保养，保养内容经甲方确认后，甲方按合同中各设备维保价格每年度按实际维保设备及时间结算一次，合同每一年度开始付款时（总合同款不变，每期付款比例根据已发生内容据实结算），乙方先提供给甲方合法有效的含税发票，甲方收到发票后按付款流程三个月内支付维保费。</w:t>
            </w:r>
          </w:p>
        </w:tc>
      </w:tr>
      <w:tr w14:paraId="3C2B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6ECB3BFC">
            <w:pPr>
              <w:spacing w:line="360" w:lineRule="auto"/>
              <w:jc w:val="center"/>
              <w:rPr>
                <w:rFonts w:hint="eastAsia" w:ascii="宋体" w:hAnsi="宋体" w:eastAsia="宋体" w:cs="@仿宋_GB2312"/>
                <w:bCs/>
                <w:sz w:val="24"/>
                <w:szCs w:val="24"/>
                <w:highlight w:val="none"/>
                <w:lang w:val="en-US" w:eastAsia="zh-CN"/>
              </w:rPr>
            </w:pPr>
            <w:r>
              <w:rPr>
                <w:rFonts w:hint="eastAsia" w:ascii="宋体" w:hAnsi="宋体" w:cs="@仿宋_GB2312"/>
                <w:bCs/>
                <w:sz w:val="24"/>
                <w:szCs w:val="24"/>
                <w:highlight w:val="none"/>
                <w:lang w:val="en-US" w:eastAsia="zh-CN"/>
              </w:rPr>
              <w:t>2</w:t>
            </w:r>
          </w:p>
        </w:tc>
        <w:tc>
          <w:tcPr>
            <w:tcW w:w="2191" w:type="dxa"/>
            <w:noWrap w:val="0"/>
            <w:vAlign w:val="center"/>
          </w:tcPr>
          <w:p w14:paraId="4FBFF08F">
            <w:pPr>
              <w:pStyle w:val="7"/>
              <w:widowControl w:val="0"/>
              <w:spacing w:before="0" w:beforeAutospacing="0" w:after="0" w:afterAutospacing="0" w:line="360" w:lineRule="auto"/>
              <w:rPr>
                <w:rFonts w:hint="eastAsia" w:ascii="宋体" w:hAnsi="宋体" w:eastAsia="宋体"/>
                <w:b w:val="0"/>
                <w:sz w:val="24"/>
                <w:highlight w:val="none"/>
                <w:lang w:val="en-US" w:eastAsia="zh-CN"/>
              </w:rPr>
            </w:pPr>
            <w:r>
              <w:rPr>
                <w:rFonts w:hint="eastAsia" w:ascii="宋体" w:hAnsi="宋体" w:eastAsia="宋体"/>
                <w:b w:val="0"/>
                <w:sz w:val="24"/>
                <w:highlight w:val="none"/>
                <w:lang w:val="en-US" w:eastAsia="zh-CN"/>
              </w:rPr>
              <w:t>授权要求</w:t>
            </w:r>
          </w:p>
        </w:tc>
        <w:tc>
          <w:tcPr>
            <w:tcW w:w="5476" w:type="dxa"/>
            <w:noWrap w:val="0"/>
            <w:vAlign w:val="center"/>
          </w:tcPr>
          <w:p w14:paraId="38E5BBCE">
            <w:pPr>
              <w:pStyle w:val="7"/>
              <w:widowControl w:val="0"/>
              <w:spacing w:before="0" w:beforeAutospacing="0" w:after="0" w:afterAutospacing="0" w:line="360" w:lineRule="auto"/>
              <w:jc w:val="both"/>
              <w:rPr>
                <w:rFonts w:hint="eastAsia" w:ascii="宋体" w:hAnsi="宋体" w:eastAsia="宋体" w:cs="@仿宋_GB2312"/>
                <w:bCs w:val="0"/>
                <w:kern w:val="0"/>
                <w:sz w:val="24"/>
                <w:szCs w:val="24"/>
                <w:highlight w:val="none"/>
                <w:lang w:eastAsia="zh-CN"/>
              </w:rPr>
            </w:pPr>
            <w:r>
              <w:rPr>
                <w:rFonts w:hint="eastAsia" w:ascii="宋体" w:hAnsi="宋体" w:eastAsia="宋体" w:cs="宋体"/>
                <w:b/>
                <w:bCs/>
                <w:sz w:val="24"/>
                <w:szCs w:val="24"/>
                <w:highlight w:val="none"/>
                <w:lang w:val="en-US" w:eastAsia="zh-CN"/>
              </w:rPr>
              <w:t>参选时向</w:t>
            </w:r>
            <w:r>
              <w:rPr>
                <w:rFonts w:hint="eastAsia" w:ascii="宋体" w:hAnsi="宋体" w:cs="宋体"/>
                <w:b/>
                <w:bCs/>
                <w:sz w:val="24"/>
                <w:szCs w:val="24"/>
                <w:highlight w:val="none"/>
                <w:lang w:val="en-US" w:eastAsia="zh-CN"/>
              </w:rPr>
              <w:t>采购人</w:t>
            </w:r>
            <w:r>
              <w:rPr>
                <w:rFonts w:hint="eastAsia" w:ascii="宋体" w:hAnsi="宋体" w:eastAsia="宋体" w:cs="宋体"/>
                <w:b/>
                <w:bCs/>
                <w:sz w:val="24"/>
                <w:szCs w:val="24"/>
                <w:highlight w:val="none"/>
                <w:lang w:val="en-US" w:eastAsia="zh-CN"/>
              </w:rPr>
              <w:t>提供</w:t>
            </w:r>
            <w:r>
              <w:rPr>
                <w:rFonts w:hint="eastAsia" w:ascii="宋体" w:hAnsi="宋体" w:eastAsia="宋体" w:cs="宋体"/>
                <w:b/>
                <w:bCs/>
                <w:sz w:val="24"/>
                <w:szCs w:val="24"/>
                <w:highlight w:val="none"/>
              </w:rPr>
              <w:t>本项目维保设备的制造厂家针对本项目</w:t>
            </w:r>
            <w:r>
              <w:rPr>
                <w:rFonts w:hint="eastAsia" w:ascii="宋体" w:hAnsi="宋体" w:eastAsia="宋体" w:cs="宋体"/>
                <w:b/>
                <w:bCs/>
                <w:sz w:val="24"/>
                <w:szCs w:val="24"/>
                <w:highlight w:val="none"/>
                <w:lang w:val="en-US" w:eastAsia="zh-CN"/>
              </w:rPr>
              <w:t>出具的</w:t>
            </w:r>
            <w:r>
              <w:rPr>
                <w:rFonts w:hint="eastAsia" w:ascii="宋体" w:hAnsi="宋体" w:eastAsia="宋体" w:cs="宋体"/>
                <w:b/>
                <w:bCs/>
                <w:sz w:val="24"/>
                <w:szCs w:val="24"/>
                <w:highlight w:val="none"/>
              </w:rPr>
              <w:t>售后授权函</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响应文件中提供</w:t>
            </w:r>
            <w:r>
              <w:rPr>
                <w:rFonts w:hint="eastAsia" w:ascii="宋体" w:hAnsi="宋体" w:eastAsia="宋体" w:cs="宋体"/>
                <w:b/>
                <w:bCs/>
                <w:sz w:val="24"/>
                <w:szCs w:val="24"/>
                <w:highlight w:val="none"/>
                <w:lang w:eastAsia="zh-CN"/>
              </w:rPr>
              <w:t>）</w:t>
            </w:r>
          </w:p>
        </w:tc>
      </w:tr>
    </w:tbl>
    <w:p w14:paraId="7DA08493">
      <w:pPr>
        <w:spacing w:line="360" w:lineRule="auto"/>
        <w:ind w:firstLine="437"/>
        <w:jc w:val="both"/>
        <w:outlineLvl w:val="1"/>
        <w:rPr>
          <w:rFonts w:hint="eastAsia" w:ascii="宋体" w:hAnsi="宋体" w:cs="@仿宋_GB2312"/>
          <w:b/>
          <w:bCs/>
          <w:sz w:val="24"/>
          <w:szCs w:val="24"/>
          <w:highlight w:val="none"/>
        </w:rPr>
      </w:pPr>
    </w:p>
    <w:p w14:paraId="060216D7">
      <w:pPr>
        <w:widowControl/>
        <w:snapToGrid w:val="0"/>
        <w:spacing w:line="360" w:lineRule="auto"/>
        <w:ind w:firstLine="482" w:firstLineChars="200"/>
        <w:jc w:val="both"/>
        <w:outlineLvl w:val="2"/>
        <w:rPr>
          <w:rFonts w:hint="eastAsia" w:ascii="宋体" w:hAnsi="宋体" w:cs="宋体"/>
          <w:b/>
          <w:bCs/>
          <w:sz w:val="24"/>
          <w:szCs w:val="24"/>
          <w:highlight w:val="none"/>
          <w:lang w:val="en-US" w:eastAsia="zh-CN"/>
        </w:rPr>
      </w:pPr>
      <w:r>
        <w:rPr>
          <w:rFonts w:hint="eastAsia" w:ascii="宋体" w:hAnsi="宋体" w:cs="@仿宋_GB2312"/>
          <w:b/>
          <w:bCs/>
          <w:sz w:val="24"/>
          <w:szCs w:val="24"/>
          <w:highlight w:val="none"/>
        </w:rPr>
        <w:t>二、</w:t>
      </w:r>
      <w:r>
        <w:rPr>
          <w:rFonts w:hint="eastAsia" w:ascii="宋体" w:hAnsi="宋体" w:cs="宋体"/>
          <w:b/>
          <w:bCs/>
          <w:sz w:val="24"/>
          <w:szCs w:val="24"/>
          <w:highlight w:val="none"/>
          <w:lang w:val="en-US" w:eastAsia="zh-CN"/>
        </w:rPr>
        <w:t>服务要求</w:t>
      </w:r>
    </w:p>
    <w:p w14:paraId="1CE786D1">
      <w:pPr>
        <w:widowControl/>
        <w:snapToGrid w:val="0"/>
        <w:spacing w:line="360" w:lineRule="auto"/>
        <w:ind w:firstLine="482" w:firstLineChars="200"/>
        <w:jc w:val="both"/>
        <w:outlineLvl w:val="2"/>
        <w:rPr>
          <w:rFonts w:hint="eastAsia" w:ascii="宋体" w:hAnsi="宋体" w:cs="宋体"/>
          <w:b/>
          <w:bCs/>
          <w:sz w:val="24"/>
          <w:szCs w:val="24"/>
          <w:highlight w:val="none"/>
          <w:lang w:val="en-US" w:eastAsia="zh-CN"/>
        </w:rPr>
      </w:pPr>
    </w:p>
    <w:p w14:paraId="19019205">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lang w:val="en-US" w:eastAsia="zh-CN" w:bidi="ar"/>
        </w:rPr>
        <w:t>免费更换所有的维修备件，原厂配件全保。</w:t>
      </w:r>
    </w:p>
    <w:p w14:paraId="161EC2AF">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lang w:val="en-US" w:eastAsia="zh-CN" w:bidi="ar"/>
        </w:rPr>
        <w:t>每台分开报价，具体数量明细如下：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456"/>
        <w:gridCol w:w="1563"/>
        <w:gridCol w:w="2175"/>
        <w:gridCol w:w="1550"/>
      </w:tblGrid>
      <w:tr w14:paraId="2C05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44C29257">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序号</w:t>
            </w:r>
          </w:p>
        </w:tc>
        <w:tc>
          <w:tcPr>
            <w:tcW w:w="1456" w:type="dxa"/>
            <w:tcBorders>
              <w:top w:val="single" w:color="auto" w:sz="4" w:space="0"/>
              <w:left w:val="nil"/>
              <w:bottom w:val="single" w:color="auto" w:sz="4" w:space="0"/>
              <w:right w:val="single" w:color="auto" w:sz="4" w:space="0"/>
            </w:tcBorders>
            <w:noWrap w:val="0"/>
            <w:vAlign w:val="center"/>
          </w:tcPr>
          <w:p w14:paraId="55F5BF71">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型号</w:t>
            </w:r>
          </w:p>
        </w:tc>
        <w:tc>
          <w:tcPr>
            <w:tcW w:w="1563" w:type="dxa"/>
            <w:tcBorders>
              <w:top w:val="single" w:color="auto" w:sz="4" w:space="0"/>
              <w:left w:val="nil"/>
              <w:bottom w:val="single" w:color="auto" w:sz="4" w:space="0"/>
              <w:right w:val="single" w:color="auto" w:sz="4" w:space="0"/>
            </w:tcBorders>
            <w:noWrap w:val="0"/>
            <w:vAlign w:val="center"/>
          </w:tcPr>
          <w:p w14:paraId="29BB3911">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院区科室</w:t>
            </w:r>
          </w:p>
        </w:tc>
        <w:tc>
          <w:tcPr>
            <w:tcW w:w="2175" w:type="dxa"/>
            <w:tcBorders>
              <w:top w:val="single" w:color="auto" w:sz="4" w:space="0"/>
              <w:left w:val="nil"/>
              <w:bottom w:val="single" w:color="auto" w:sz="4" w:space="0"/>
              <w:right w:val="single" w:color="auto" w:sz="4" w:space="0"/>
            </w:tcBorders>
            <w:noWrap w:val="0"/>
            <w:vAlign w:val="center"/>
          </w:tcPr>
          <w:p w14:paraId="2333CA11">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序列号</w:t>
            </w:r>
          </w:p>
        </w:tc>
        <w:tc>
          <w:tcPr>
            <w:tcW w:w="1550" w:type="dxa"/>
            <w:tcBorders>
              <w:top w:val="single" w:color="auto" w:sz="4" w:space="0"/>
              <w:left w:val="nil"/>
              <w:bottom w:val="single" w:color="auto" w:sz="4" w:space="0"/>
              <w:right w:val="single" w:color="auto" w:sz="4" w:space="0"/>
            </w:tcBorders>
            <w:noWrap w:val="0"/>
            <w:vAlign w:val="center"/>
          </w:tcPr>
          <w:p w14:paraId="06BC0EA0">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维保类型</w:t>
            </w:r>
          </w:p>
        </w:tc>
      </w:tr>
      <w:tr w14:paraId="3D21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4107F58F">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w:t>
            </w:r>
          </w:p>
        </w:tc>
        <w:tc>
          <w:tcPr>
            <w:tcW w:w="1456" w:type="dxa"/>
            <w:tcBorders>
              <w:top w:val="single" w:color="auto" w:sz="4" w:space="0"/>
              <w:left w:val="nil"/>
              <w:bottom w:val="single" w:color="auto" w:sz="4" w:space="0"/>
              <w:right w:val="single" w:color="auto" w:sz="4" w:space="0"/>
            </w:tcBorders>
            <w:noWrap w:val="0"/>
            <w:vAlign w:val="center"/>
          </w:tcPr>
          <w:p w14:paraId="6999096F">
            <w:pPr>
              <w:keepNext w:val="0"/>
              <w:keepLines w:val="0"/>
              <w:pageBreakBefore w:val="0"/>
              <w:widowControl/>
              <w:suppressLineNumbers w:val="0"/>
              <w:kinsoku/>
              <w:overflowPunct/>
              <w:topLinePunct w:val="0"/>
              <w:autoSpaceDE/>
              <w:autoSpaceDN/>
              <w:bidi w:val="0"/>
              <w:adjustRightInd/>
              <w:spacing w:before="0" w:beforeAutospacing="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Aixplorer</w:t>
            </w:r>
          </w:p>
        </w:tc>
        <w:tc>
          <w:tcPr>
            <w:tcW w:w="1563" w:type="dxa"/>
            <w:tcBorders>
              <w:top w:val="single" w:color="auto" w:sz="4" w:space="0"/>
              <w:left w:val="nil"/>
              <w:bottom w:val="single" w:color="auto" w:sz="4" w:space="0"/>
              <w:right w:val="single" w:color="auto" w:sz="4" w:space="0"/>
            </w:tcBorders>
            <w:noWrap w:val="0"/>
            <w:vAlign w:val="center"/>
          </w:tcPr>
          <w:p w14:paraId="76619155">
            <w:pPr>
              <w:keepNext w:val="0"/>
              <w:keepLines w:val="0"/>
              <w:pageBreakBefore w:val="0"/>
              <w:widowControl/>
              <w:suppressLineNumbers w:val="0"/>
              <w:kinsoku/>
              <w:overflowPunct/>
              <w:topLinePunct w:val="0"/>
              <w:autoSpaceDE/>
              <w:autoSpaceDN/>
              <w:bidi w:val="0"/>
              <w:adjustRightInd/>
              <w:spacing w:before="0" w:beforeAutospacing="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中区B超室</w:t>
            </w:r>
          </w:p>
        </w:tc>
        <w:tc>
          <w:tcPr>
            <w:tcW w:w="2175" w:type="dxa"/>
            <w:tcBorders>
              <w:top w:val="single" w:color="auto" w:sz="4" w:space="0"/>
              <w:left w:val="nil"/>
              <w:bottom w:val="single" w:color="auto" w:sz="4" w:space="0"/>
              <w:right w:val="single" w:color="auto" w:sz="4" w:space="0"/>
            </w:tcBorders>
            <w:noWrap w:val="0"/>
            <w:vAlign w:val="center"/>
          </w:tcPr>
          <w:p w14:paraId="5870CCA4">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LN16VF89</w:t>
            </w:r>
          </w:p>
        </w:tc>
        <w:tc>
          <w:tcPr>
            <w:tcW w:w="1550" w:type="dxa"/>
            <w:tcBorders>
              <w:top w:val="single" w:color="auto" w:sz="4" w:space="0"/>
              <w:left w:val="nil"/>
              <w:bottom w:val="single" w:color="auto" w:sz="4" w:space="0"/>
              <w:right w:val="single" w:color="auto" w:sz="4" w:space="0"/>
            </w:tcBorders>
            <w:noWrap w:val="0"/>
            <w:vAlign w:val="center"/>
          </w:tcPr>
          <w:p w14:paraId="5B4B4996">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全保</w:t>
            </w:r>
          </w:p>
        </w:tc>
      </w:tr>
      <w:tr w14:paraId="372C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1979FD80">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w:t>
            </w:r>
          </w:p>
        </w:tc>
        <w:tc>
          <w:tcPr>
            <w:tcW w:w="1456" w:type="dxa"/>
            <w:tcBorders>
              <w:top w:val="single" w:color="auto" w:sz="4" w:space="0"/>
              <w:left w:val="nil"/>
              <w:bottom w:val="single" w:color="auto" w:sz="4" w:space="0"/>
              <w:right w:val="single" w:color="auto" w:sz="4" w:space="0"/>
            </w:tcBorders>
            <w:noWrap w:val="0"/>
            <w:vAlign w:val="center"/>
          </w:tcPr>
          <w:p w14:paraId="42A1D691">
            <w:pPr>
              <w:keepNext w:val="0"/>
              <w:keepLines w:val="0"/>
              <w:pageBreakBefore w:val="0"/>
              <w:widowControl/>
              <w:suppressLineNumbers w:val="0"/>
              <w:kinsoku/>
              <w:overflowPunct/>
              <w:topLinePunct w:val="0"/>
              <w:autoSpaceDE/>
              <w:autoSpaceDN/>
              <w:bidi w:val="0"/>
              <w:adjustRightInd/>
              <w:spacing w:before="0" w:beforeAutospacing="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Aixplorer</w:t>
            </w:r>
          </w:p>
        </w:tc>
        <w:tc>
          <w:tcPr>
            <w:tcW w:w="1563" w:type="dxa"/>
            <w:tcBorders>
              <w:top w:val="single" w:color="auto" w:sz="4" w:space="0"/>
              <w:left w:val="nil"/>
              <w:bottom w:val="single" w:color="auto" w:sz="4" w:space="0"/>
              <w:right w:val="single" w:color="auto" w:sz="4" w:space="0"/>
            </w:tcBorders>
            <w:noWrap w:val="0"/>
            <w:vAlign w:val="center"/>
          </w:tcPr>
          <w:p w14:paraId="348DB093">
            <w:pPr>
              <w:keepNext w:val="0"/>
              <w:keepLines w:val="0"/>
              <w:pageBreakBefore w:val="0"/>
              <w:widowControl/>
              <w:suppressLineNumbers w:val="0"/>
              <w:kinsoku/>
              <w:overflowPunct/>
              <w:topLinePunct w:val="0"/>
              <w:autoSpaceDE/>
              <w:autoSpaceDN/>
              <w:bidi w:val="0"/>
              <w:adjustRightInd/>
              <w:spacing w:before="0" w:beforeAutospacing="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中区B超室</w:t>
            </w:r>
          </w:p>
        </w:tc>
        <w:tc>
          <w:tcPr>
            <w:tcW w:w="2175" w:type="dxa"/>
            <w:tcBorders>
              <w:top w:val="single" w:color="auto" w:sz="4" w:space="0"/>
              <w:left w:val="nil"/>
              <w:bottom w:val="single" w:color="auto" w:sz="4" w:space="0"/>
              <w:right w:val="single" w:color="auto" w:sz="4" w:space="0"/>
            </w:tcBorders>
            <w:noWrap w:val="0"/>
            <w:vAlign w:val="center"/>
          </w:tcPr>
          <w:p w14:paraId="73F33CF5">
            <w:pPr>
              <w:pStyle w:val="3"/>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firstLine="0" w:firstLineChars="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XT23AW51</w:t>
            </w:r>
          </w:p>
        </w:tc>
        <w:tc>
          <w:tcPr>
            <w:tcW w:w="1550" w:type="dxa"/>
            <w:tcBorders>
              <w:top w:val="single" w:color="auto" w:sz="4" w:space="0"/>
              <w:left w:val="nil"/>
              <w:bottom w:val="single" w:color="auto" w:sz="4" w:space="0"/>
              <w:right w:val="single" w:color="auto" w:sz="4" w:space="0"/>
            </w:tcBorders>
            <w:noWrap w:val="0"/>
            <w:vAlign w:val="center"/>
          </w:tcPr>
          <w:p w14:paraId="2B0BEA42">
            <w:pPr>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全保</w:t>
            </w:r>
          </w:p>
        </w:tc>
      </w:tr>
    </w:tbl>
    <w:p w14:paraId="42C8D6C7">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维保时间至2027年12月31日</w:t>
      </w:r>
    </w:p>
    <w:p w14:paraId="59E4896A">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开机率保证：≥95%。</w:t>
      </w:r>
    </w:p>
    <w:p w14:paraId="472BD3AA">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响应时间：故障报修后1内电话响应，宕机情况下24小时内工程师赶到现场进行维修。</w:t>
      </w:r>
    </w:p>
    <w:p w14:paraId="0E03FC0C">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保养次数：每年提供两次保养，并提供保养工单。</w:t>
      </w:r>
    </w:p>
    <w:p w14:paraId="4D9BFC1A">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保养标准：定期保养主要内容：设备的安全检查、机械或电气检查、影像质量检查、探头检测、除尘保养、性能测试及校准、运行状态检查等，以及非紧急性质的预防性维护，确保系统能按照制造商的产品规格运行的其它维护。</w:t>
      </w:r>
    </w:p>
    <w:p w14:paraId="7AE630BF">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配件及探头质量要求：设备故障涉及的备件及探头必须更换为原厂全新未拆封备件及探头，只更换不接受维修，提供保修所需的备件及探头（消耗品、附件及其他第三方的产品除外），必须是合法合规，备件及探头均可根据唯一序列号追踪所属，设备制造商800或400热线可进行备件及探头信息查询。</w:t>
      </w:r>
    </w:p>
    <w:p w14:paraId="223376ED">
      <w:pPr>
        <w:pStyle w:val="3"/>
        <w:keepNext w:val="0"/>
        <w:keepLines w:val="0"/>
        <w:pageBreakBefore w:val="0"/>
        <w:widowControl w:val="0"/>
        <w:numPr>
          <w:ilvl w:val="0"/>
          <w:numId w:val="1"/>
        </w:numPr>
        <w:suppressLineNumbers w:val="0"/>
        <w:kinsoku/>
        <w:overflowPunct/>
        <w:topLinePunct w:val="0"/>
        <w:autoSpaceDE/>
        <w:autoSpaceDN/>
        <w:bidi w:val="0"/>
        <w:adjustRightInd/>
        <w:spacing w:before="0" w:beforeAutospacing="0" w:afterAutospacing="0" w:line="360" w:lineRule="auto"/>
        <w:ind w:left="0" w:right="0" w:hanging="420" w:firstLineChars="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培训要求：每年提供≥1名的医院工程师原厂售后培训。</w:t>
      </w:r>
    </w:p>
    <w:p w14:paraId="69EFAD3F">
      <w:pPr>
        <w:keepNext w:val="0"/>
        <w:keepLines w:val="0"/>
        <w:pageBreakBefore w:val="0"/>
        <w:kinsoku/>
        <w:wordWrap w:val="0"/>
        <w:overflowPunct/>
        <w:topLinePunct w:val="0"/>
        <w:autoSpaceDE/>
        <w:autoSpaceDN/>
        <w:bidi w:val="0"/>
        <w:adjustRightInd/>
        <w:spacing w:line="360" w:lineRule="auto"/>
        <w:ind w:left="0"/>
        <w:jc w:val="left"/>
        <w:rPr>
          <w:rFonts w:hint="eastAsia" w:ascii="宋体" w:hAnsi="宋体" w:eastAsia="宋体" w:cs="宋体"/>
          <w:sz w:val="24"/>
          <w:szCs w:val="24"/>
          <w:lang w:val="en-US" w:eastAsia="zh-CN"/>
        </w:rPr>
      </w:pPr>
    </w:p>
    <w:p w14:paraId="677288BE">
      <w:pPr>
        <w:keepNext w:val="0"/>
        <w:keepLines w:val="0"/>
        <w:pageBreakBefore w:val="0"/>
        <w:widowControl w:val="0"/>
        <w:suppressLineNumbers w:val="0"/>
        <w:kinsoku/>
        <w:wordWrap w:val="0"/>
        <w:overflowPunct/>
        <w:topLinePunct w:val="0"/>
        <w:autoSpaceDE/>
        <w:autoSpaceDN/>
        <w:bidi w:val="0"/>
        <w:adjustRightInd/>
        <w:spacing w:before="0" w:beforeAutospacing="0" w:afterAutospacing="0" w:line="360" w:lineRule="auto"/>
        <w:ind w:left="0" w:right="0"/>
        <w:jc w:val="left"/>
        <w:rPr>
          <w:rFonts w:hint="eastAsia" w:ascii="宋体" w:hAnsi="宋体" w:eastAsia="宋体" w:cs="宋体"/>
          <w:b/>
          <w:bCs w:val="0"/>
          <w:kern w:val="2"/>
          <w:sz w:val="24"/>
          <w:szCs w:val="24"/>
          <w:lang w:val="en-US" w:eastAsia="zh-CN" w:bidi="ar"/>
        </w:rPr>
      </w:pPr>
    </w:p>
    <w:p w14:paraId="0293D05D">
      <w:pPr>
        <w:keepNext w:val="0"/>
        <w:keepLines w:val="0"/>
        <w:pageBreakBefore w:val="0"/>
        <w:widowControl w:val="0"/>
        <w:suppressLineNumbers w:val="0"/>
        <w:kinsoku/>
        <w:wordWrap w:val="0"/>
        <w:overflowPunct/>
        <w:topLinePunct w:val="0"/>
        <w:autoSpaceDE/>
        <w:autoSpaceDN/>
        <w:bidi w:val="0"/>
        <w:adjustRightInd/>
        <w:spacing w:before="0" w:beforeAutospacing="0" w:afterAutospacing="0" w:line="360" w:lineRule="auto"/>
        <w:ind w:left="0" w:right="0"/>
        <w:jc w:val="left"/>
        <w:rPr>
          <w:rFonts w:hint="eastAsia" w:ascii="宋体" w:hAnsi="宋体" w:eastAsia="宋体" w:cs="宋体"/>
          <w:b/>
          <w:bCs w:val="0"/>
          <w:kern w:val="2"/>
          <w:sz w:val="24"/>
          <w:szCs w:val="24"/>
        </w:rPr>
      </w:pPr>
      <w:r>
        <w:rPr>
          <w:rFonts w:hint="eastAsia" w:ascii="宋体" w:hAnsi="宋体" w:eastAsia="宋体" w:cs="宋体"/>
          <w:b/>
          <w:bCs w:val="0"/>
          <w:kern w:val="2"/>
          <w:sz w:val="24"/>
          <w:szCs w:val="24"/>
          <w:lang w:val="en-US" w:eastAsia="zh-CN" w:bidi="ar"/>
        </w:rPr>
        <w:t>附件：</w:t>
      </w:r>
    </w:p>
    <w:p w14:paraId="77CAF24A">
      <w:pPr>
        <w:keepNext w:val="0"/>
        <w:keepLines w:val="0"/>
        <w:pageBreakBefore w:val="0"/>
        <w:widowControl w:val="0"/>
        <w:suppressLineNumbers w:val="0"/>
        <w:kinsoku/>
        <w:overflowPunct/>
        <w:topLinePunct w:val="0"/>
        <w:autoSpaceDE/>
        <w:autoSpaceDN/>
        <w:bidi w:val="0"/>
        <w:adjustRightInd/>
        <w:spacing w:before="0" w:beforeAutospacing="0" w:afterAutospacing="0" w:line="360" w:lineRule="auto"/>
        <w:ind w:left="0" w:right="0"/>
        <w:jc w:val="center"/>
        <w:rPr>
          <w:rFonts w:hint="eastAsia" w:ascii="宋体" w:hAnsi="宋体" w:eastAsia="宋体" w:cs="宋体"/>
          <w:b/>
          <w:color w:val="000000"/>
          <w:kern w:val="2"/>
          <w:sz w:val="24"/>
          <w:szCs w:val="24"/>
        </w:rPr>
      </w:pPr>
      <w:r>
        <w:rPr>
          <w:rFonts w:hint="eastAsia" w:ascii="宋体" w:hAnsi="宋体" w:eastAsia="宋体" w:cs="宋体"/>
          <w:b/>
          <w:color w:val="000000"/>
          <w:kern w:val="2"/>
          <w:sz w:val="24"/>
          <w:szCs w:val="24"/>
          <w:lang w:val="en-US" w:eastAsia="zh-CN" w:bidi="ar"/>
        </w:rPr>
        <w:t>本项目超声类设备预防性维护保养内容明细</w:t>
      </w:r>
    </w:p>
    <w:p w14:paraId="20F90A15">
      <w:pPr>
        <w:pStyle w:val="8"/>
        <w:keepNext w:val="0"/>
        <w:keepLines w:val="0"/>
        <w:pageBreakBefore w:val="0"/>
        <w:widowControl/>
        <w:suppressLineNumbers w:val="0"/>
        <w:kinsoku/>
        <w:overflowPunct/>
        <w:topLinePunct w:val="0"/>
        <w:autoSpaceDE/>
        <w:autoSpaceDN/>
        <w:bidi w:val="0"/>
        <w:adjustRightInd/>
        <w:snapToGrid w:val="0"/>
        <w:spacing w:afterAutospacing="0"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1.用电安全检测</w:t>
      </w:r>
    </w:p>
    <w:p w14:paraId="14ECCC0D">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（1）网电源电压：使用万用表选择交流750V档位，测量插座内电压，220V±10%，稳定电压正常。</w:t>
      </w:r>
    </w:p>
    <w:p w14:paraId="5D8112D3">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（2）零地电压：使用万用表交流档测量，测量插座内零地电压，小于5V正常。</w:t>
      </w:r>
    </w:p>
    <w:p w14:paraId="32A92EE9">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（3）电源线：两端插座连接紧密，线缆无破损，无压痕。</w:t>
      </w:r>
    </w:p>
    <w:p w14:paraId="57ADF293">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（4）散热空间：保证主机进风和出风口无遮挡，设备周围有20CM空间。</w:t>
      </w:r>
    </w:p>
    <w:p w14:paraId="319F3692">
      <w:pPr>
        <w:pStyle w:val="8"/>
        <w:keepNext w:val="0"/>
        <w:keepLines w:val="0"/>
        <w:pageBreakBefore w:val="0"/>
        <w:widowControl/>
        <w:suppressLineNumbers w:val="0"/>
        <w:kinsoku/>
        <w:overflowPunct/>
        <w:topLinePunct w:val="0"/>
        <w:autoSpaceDE/>
        <w:autoSpaceDN/>
        <w:bidi w:val="0"/>
        <w:adjustRightInd/>
        <w:snapToGrid w:val="0"/>
        <w:spacing w:afterAutospacing="0"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2.设备功能检测</w:t>
      </w:r>
    </w:p>
    <w:p w14:paraId="6CD03362">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（1）B模式检测：调节频率（图像质量），深度，增益，动态范围，焦点位置，扫描范围，iTouch，iClear,iBeam，放大，旋转，偏转（线阵）。</w:t>
      </w:r>
    </w:p>
    <w:p w14:paraId="26B3D4F1">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（2）Color模式检测：调节取样框，增益，壁滤波，翻转，标尺。</w:t>
      </w:r>
    </w:p>
    <w:p w14:paraId="51A04681">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（3）M模式检测：调节取样线，增益，显示格式，扫描速度。</w:t>
      </w:r>
    </w:p>
    <w:p w14:paraId="4A42EA59">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（4）PW模式检测：开启PW功能，取样框位置调整，取样框大小调节，增益，声音，壁滤波，角度调节，快速校正角度，扫描速度，自动计算，自动计算参数，基线，翻转，偏转，二/三同步，显示格式，心动周期。</w:t>
      </w:r>
    </w:p>
    <w:p w14:paraId="31139C6E">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（5）CW模式检测: 开启CW功能，取样线调整，增益，扫描速度，标尺，壁滤波，显示比例，翻转。</w:t>
      </w:r>
    </w:p>
    <w:p w14:paraId="74775A18">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（6）控制面板所有按键检测：每个按键功能正常（如有自检可测试控制面板），编码器按压和旋转，轨迹球，TGC拨杆，触摸屏功能。</w:t>
      </w:r>
    </w:p>
    <w:p w14:paraId="5043A6F1">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（7）探头切换检测：拔插所有探头，识别探头，检测模式切换，Qsave和模式另存。</w:t>
      </w:r>
    </w:p>
    <w:p w14:paraId="09C0902E">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（8）病人数据管理检测：新建病人，使用iStation，发送，备份，删除，结束检查，清理回收站。</w:t>
      </w:r>
    </w:p>
    <w:p w14:paraId="30C51C14">
      <w:pPr>
        <w:pStyle w:val="8"/>
        <w:keepNext w:val="0"/>
        <w:keepLines w:val="0"/>
        <w:pageBreakBefore w:val="0"/>
        <w:widowControl/>
        <w:suppressLineNumbers w:val="0"/>
        <w:kinsoku/>
        <w:overflowPunct/>
        <w:topLinePunct w:val="0"/>
        <w:autoSpaceDE/>
        <w:autoSpaceDN/>
        <w:bidi w:val="0"/>
        <w:adjustRightInd/>
        <w:snapToGrid w:val="0"/>
        <w:spacing w:afterAutospacing="0"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3.设备性能判断</w:t>
      </w:r>
    </w:p>
    <w:p w14:paraId="7A84911C">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（1）腹部探头图像判断：探头外观检查，近场无暗道，回声区无异常，彩色血流无异常，能清晰打出肝右叶图像和肾脏图像。</w:t>
      </w:r>
    </w:p>
    <w:p w14:paraId="1AC0D497">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（2）线阵探头图像判断：探头外观检查，近场无暗道，回声区无异常，彩色血流无异常，能清晰打出颈动脉图像和甲状腺图像。</w:t>
      </w:r>
    </w:p>
    <w:p w14:paraId="4A05C1D2">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（3）心脏探头图像判断：探头外观检查，回声区无异常，彩色血流无异常，能清晰打出心尖四腔心图像。</w:t>
      </w:r>
    </w:p>
    <w:p w14:paraId="10C5C33B">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（4）腔内探头图像判断：探头外观检查，近场无暗道，查看医生保存图像，可以打腹部肝脏查看。</w:t>
      </w:r>
    </w:p>
    <w:p w14:paraId="1300239E">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（5）4D探头图像判断：探头外观检查，近场无暗道，电机摆动规律，3D图像和四维图像清晰。</w:t>
      </w:r>
    </w:p>
    <w:p w14:paraId="54D52145">
      <w:pPr>
        <w:pStyle w:val="8"/>
        <w:keepNext w:val="0"/>
        <w:keepLines w:val="0"/>
        <w:pageBreakBefore w:val="0"/>
        <w:widowControl/>
        <w:suppressLineNumbers w:val="0"/>
        <w:kinsoku/>
        <w:overflowPunct/>
        <w:topLinePunct w:val="0"/>
        <w:autoSpaceDE/>
        <w:autoSpaceDN/>
        <w:bidi w:val="0"/>
        <w:adjustRightInd/>
        <w:snapToGrid w:val="0"/>
        <w:spacing w:afterAutospacing="0"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4.清洁与保养（需关机清洁）</w:t>
      </w:r>
    </w:p>
    <w:p w14:paraId="56DC6CCE">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（1）防尘网清洁：取下防尘网，使用毛刷除尘，或使用清水冲洗并晾干，安装防尘网。</w:t>
      </w:r>
    </w:p>
    <w:p w14:paraId="375A9230">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（2）轨迹球清洁：旋转压圈取出轨迹球体，使用干抹布或不掉纸屑纸巾，清理滚轴或光源，清洁球体，安装好轨迹球。</w:t>
      </w:r>
    </w:p>
    <w:p w14:paraId="3E40A192">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（3）控制面板清洁：清理控制面板上异物，使用干抹布除尘，沾少量温和肥皂水擦洗去除顽固污渍，可以拔掉编码器帽、TGC帽清洁。</w:t>
      </w:r>
    </w:p>
    <w:p w14:paraId="24B138E4">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（4）显示器清洁：使用干软布擦拭，若仍有污渍，可用干软布沾少许清水或温和肥皂水进行擦拭，也可使用显示器清洁套装清洁。</w:t>
      </w:r>
    </w:p>
    <w:p w14:paraId="54CB361B">
      <w:pPr>
        <w:pStyle w:val="8"/>
        <w:keepNext w:val="0"/>
        <w:keepLines w:val="0"/>
        <w:pageBreakBefore w:val="0"/>
        <w:widowControl/>
        <w:suppressLineNumbers w:val="0"/>
        <w:kinsoku/>
        <w:overflowPunct/>
        <w:topLinePunct w:val="0"/>
        <w:autoSpaceDE/>
        <w:autoSpaceDN/>
        <w:bidi w:val="0"/>
        <w:adjustRightInd/>
        <w:snapToGrid w:val="0"/>
        <w:spacing w:line="360" w:lineRule="auto"/>
        <w:ind w:left="0" w:firstLine="0" w:firstLineChars="0"/>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（5）机身清洁：清洁探头杯套、耦合剂杯套、耦合剂加热杯套，清洁机身。</w:t>
      </w:r>
    </w:p>
    <w:p w14:paraId="55CC2FDF">
      <w:pPr>
        <w:keepNext w:val="0"/>
        <w:keepLines w:val="0"/>
        <w:pageBreakBefore w:val="0"/>
        <w:kinsoku/>
        <w:overflowPunct/>
        <w:topLinePunct w:val="0"/>
        <w:autoSpaceDE/>
        <w:autoSpaceDN/>
        <w:bidi w:val="0"/>
        <w:adjustRightInd/>
        <w:spacing w:line="360" w:lineRule="auto"/>
        <w:ind w:left="0"/>
        <w:rPr>
          <w:rFonts w:hint="eastAsia" w:ascii="宋体" w:hAnsi="宋体" w:eastAsia="宋体" w:cs="宋体"/>
          <w:b/>
          <w:color w:val="000000"/>
          <w:kern w:val="0"/>
          <w:sz w:val="24"/>
          <w:szCs w:val="24"/>
        </w:rPr>
      </w:pPr>
      <w:r>
        <w:rPr>
          <w:rFonts w:hint="eastAsia" w:ascii="宋体" w:hAnsi="宋体" w:eastAsia="宋体" w:cs="宋体"/>
          <w:color w:val="000000"/>
          <w:kern w:val="2"/>
          <w:sz w:val="24"/>
          <w:szCs w:val="24"/>
          <w:lang w:val="en-US" w:eastAsia="zh-CN" w:bidi="ar"/>
        </w:rPr>
        <w:t>（6）探头清洁：使用干抹布或纸巾清洁探头，顽固污渍可以沾少量温和肥皂水擦洗，晾干；如有腔内或术中探头必须带手套清洁，指导医生消毒。</w:t>
      </w:r>
    </w:p>
    <w:p w14:paraId="6ECC3751">
      <w:r>
        <w:rPr>
          <w:rFonts w:hint="eastAsia" w:ascii="宋体" w:hAnsi="宋体" w:eastAsia="宋体" w:cs="宋体"/>
          <w:b/>
          <w:color w:val="000000"/>
          <w:kern w:val="0"/>
          <w:sz w:val="24"/>
          <w:szCs w:val="24"/>
        </w:rPr>
        <w:t>注：上述“服务要求”所有条款</w:t>
      </w:r>
      <w:r>
        <w:rPr>
          <w:rFonts w:hint="eastAsia" w:ascii="宋体" w:hAnsi="宋体" w:cs="宋体"/>
          <w:b/>
          <w:color w:val="000000"/>
          <w:kern w:val="0"/>
          <w:sz w:val="24"/>
          <w:szCs w:val="24"/>
          <w:lang w:val="en-US" w:eastAsia="zh-CN"/>
        </w:rPr>
        <w:t>供应商</w:t>
      </w:r>
      <w:r>
        <w:rPr>
          <w:rFonts w:hint="eastAsia" w:ascii="宋体" w:hAnsi="宋体" w:eastAsia="宋体" w:cs="宋体"/>
          <w:b/>
          <w:color w:val="000000"/>
          <w:kern w:val="0"/>
          <w:sz w:val="24"/>
          <w:szCs w:val="24"/>
        </w:rPr>
        <w:t>必须全部响应</w:t>
      </w:r>
      <w:r>
        <w:rPr>
          <w:rFonts w:hint="eastAsia" w:ascii="宋体" w:hAnsi="宋体" w:eastAsia="宋体" w:cs="宋体"/>
          <w:b/>
          <w:color w:val="000000"/>
          <w:kern w:val="0"/>
          <w:sz w:val="24"/>
          <w:szCs w:val="24"/>
          <w:lang w:val="en-US" w:eastAsia="zh-CN"/>
        </w:rPr>
        <w:t>满足</w:t>
      </w:r>
      <w:r>
        <w:rPr>
          <w:rFonts w:hint="eastAsia" w:ascii="宋体" w:hAnsi="宋体" w:eastAsia="宋体" w:cs="宋体"/>
          <w:b/>
          <w:color w:val="000000"/>
          <w:kern w:val="0"/>
          <w:sz w:val="24"/>
          <w:szCs w:val="24"/>
        </w:rPr>
        <w:t>，不得偏离，否则做无效</w:t>
      </w:r>
      <w:r>
        <w:rPr>
          <w:rFonts w:hint="eastAsia" w:ascii="宋体" w:hAnsi="宋体" w:cs="宋体"/>
          <w:b/>
          <w:color w:val="000000"/>
          <w:kern w:val="0"/>
          <w:sz w:val="24"/>
          <w:szCs w:val="24"/>
          <w:lang w:val="en-US" w:eastAsia="zh-CN"/>
        </w:rPr>
        <w:t>响应</w:t>
      </w:r>
      <w:r>
        <w:rPr>
          <w:rFonts w:hint="eastAsia" w:ascii="宋体" w:hAnsi="宋体" w:eastAsia="宋体" w:cs="宋体"/>
          <w:b/>
          <w:color w:val="000000"/>
          <w:kern w:val="0"/>
          <w:sz w:val="24"/>
          <w:szCs w:val="24"/>
        </w:rPr>
        <w:t>处理。</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AF0F0"/>
    <w:multiLevelType w:val="multilevel"/>
    <w:tmpl w:val="38CAF0F0"/>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26029"/>
    <w:rsid w:val="4E726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styleId="8">
    <w:name w:val="List Paragraph"/>
    <w:basedOn w:val="1"/>
    <w:qFormat/>
    <w:uiPriority w:val="34"/>
    <w:pPr>
      <w:spacing w:line="240" w:lineRule="auto"/>
      <w:ind w:firstLine="420" w:firstLineChars="200"/>
      <w:jc w:val="both"/>
    </w:pPr>
    <w:rPr>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2026-08-28T09:22:00Z</dcterms:created>
  <dc:creator>省招-wxy</dc:creator>
  <cp:lastModifiedBy>省招-wxy</cp:lastModifiedBy>
  <dcterms:modified xsi:type="dcterms:W3CDTF">2026-08-28T09:23:03Z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1081A74F061F43EEB8B2BE2ECEEB7811_11</vt:lpwstr>
  </property>
  <property fmtid="{D5CDD505-2E9C-101B-9397-08002B2CF9AE}" pid="4" name="KSOTemplateDocerSaveRecord">
    <vt:lpwstr>eyJoZGlkIjoiZWUyOTQ1NDM2Zjc0YjU0MjZhMWI3YTAyMzgxNTM2MDQiLCJ1c2VySWQiOiI0NjEyMTI0ODEifQ==</vt:lpwstr>
  </property>
</Properties>
</file>