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065D33">
      <w:pPr>
        <w:spacing w:line="360" w:lineRule="auto"/>
        <w:jc w:val="center"/>
        <w:outlineLvl w:val="0"/>
        <w:rPr>
          <w:rFonts w:hint="eastAsia" w:asciiTheme="minorEastAsia" w:hAnsiTheme="minorEastAsia" w:eastAsiaTheme="minorEastAsia"/>
          <w:b/>
          <w:sz w:val="28"/>
          <w:highlight w:val="none"/>
        </w:rPr>
      </w:pPr>
      <w:r>
        <w:rPr>
          <w:rFonts w:hint="eastAsia" w:asciiTheme="minorEastAsia" w:hAnsiTheme="minorEastAsia" w:eastAsiaTheme="minorEastAsia"/>
          <w:b/>
          <w:sz w:val="28"/>
          <w:highlight w:val="none"/>
        </w:rPr>
        <w:t>采购需求</w:t>
      </w:r>
    </w:p>
    <w:p w14:paraId="67C459E5">
      <w:pPr>
        <w:spacing w:line="360" w:lineRule="auto"/>
        <w:rPr>
          <w:rFonts w:hint="eastAsia" w:asciiTheme="minorEastAsia" w:hAnsiTheme="minorEastAsia" w:eastAsiaTheme="minorEastAsia"/>
          <w:b/>
          <w:sz w:val="24"/>
          <w:szCs w:val="24"/>
          <w:highlight w:val="none"/>
        </w:rPr>
      </w:pPr>
      <w:bookmarkStart w:id="0" w:name="_Hlk16461016"/>
      <w:r>
        <w:rPr>
          <w:rFonts w:hint="eastAsia" w:asciiTheme="minorEastAsia" w:hAnsiTheme="minorEastAsia" w:eastAsiaTheme="minorEastAsia"/>
          <w:b/>
          <w:sz w:val="24"/>
          <w:szCs w:val="24"/>
          <w:highlight w:val="none"/>
        </w:rPr>
        <w:t>前注：</w:t>
      </w:r>
    </w:p>
    <w:p w14:paraId="1A3561C9">
      <w:pPr>
        <w:spacing w:line="360" w:lineRule="auto"/>
        <w:rPr>
          <w:rFonts w:hint="eastAsia" w:ascii="宋体" w:hAnsi="宋体" w:eastAsia="宋体" w:cs="宋体"/>
          <w:b/>
          <w:color w:val="FF0000"/>
          <w:sz w:val="24"/>
          <w:szCs w:val="24"/>
          <w:highlight w:val="none"/>
        </w:rPr>
      </w:pPr>
      <w:bookmarkStart w:id="1" w:name="_Toc26330"/>
      <w:bookmarkStart w:id="2" w:name="_Toc9765"/>
      <w:r>
        <w:rPr>
          <w:rFonts w:hint="eastAsia" w:ascii="宋体" w:hAnsi="宋体" w:eastAsia="宋体" w:cs="宋体"/>
          <w:b/>
          <w:color w:val="FF0000"/>
          <w:sz w:val="24"/>
          <w:szCs w:val="24"/>
          <w:highlight w:val="none"/>
          <w:lang w:bidi="ar"/>
        </w:rPr>
        <w:t>要求：以下条款如供应商参与响应，视为供应商自动响应。</w:t>
      </w:r>
    </w:p>
    <w:p w14:paraId="482728AB">
      <w:pPr>
        <w:spacing w:line="360" w:lineRule="auto"/>
        <w:ind w:firstLine="472" w:firstLineChars="196"/>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1.按照响应方案提供配置清单，标明品牌、型号、产地、数量等并分项报价；</w:t>
      </w:r>
    </w:p>
    <w:p w14:paraId="42E2D2CC">
      <w:pPr>
        <w:spacing w:line="360" w:lineRule="auto"/>
        <w:ind w:firstLine="472" w:firstLineChars="196"/>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2.提供产品日常使用的所有配套专用耗材清单，确保产品正常使用。须标明品牌、型号、产地、规格、最小供货单位等并分项报价，报价不计入响应总价。在成交后如发现有漏报、瞒报的配套专用耗材，一律视为已包含在成交总价内，不得以赠送形式向采购人提供产品及服务。耗材供应期按照医院相关耗材管理规定执行；</w:t>
      </w:r>
    </w:p>
    <w:p w14:paraId="72383F08">
      <w:pPr>
        <w:spacing w:line="360" w:lineRule="auto"/>
        <w:ind w:firstLine="472" w:firstLineChars="196"/>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3.说明是否需要其他设备配套使用，请列出配套设备名称、数量等，如未说明一律视为已包含在响应总价内；</w:t>
      </w:r>
    </w:p>
    <w:p w14:paraId="72E16474">
      <w:pPr>
        <w:spacing w:line="360" w:lineRule="auto"/>
        <w:ind w:firstLine="472" w:firstLineChars="196"/>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4.供应商及产品须资质、证照齐全且在有效期内，如确无注册证的产品，须提供官方说明材料；</w:t>
      </w:r>
    </w:p>
    <w:p w14:paraId="0CB456D9">
      <w:pPr>
        <w:spacing w:line="360" w:lineRule="auto"/>
        <w:ind w:firstLine="472" w:firstLineChars="196"/>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5.若属安徽省医用耗材政策管理范围内产品，需满足相关要求（如“集采”、“两票制”等）；若为集采管理范围内产品，需在集采目录中，同类产品原则上选择限价产品，同类无替代选择备案产品；</w:t>
      </w:r>
    </w:p>
    <w:p w14:paraId="675EF87D">
      <w:pPr>
        <w:spacing w:line="360" w:lineRule="auto"/>
        <w:ind w:firstLine="472" w:firstLineChars="196"/>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6.</w:t>
      </w:r>
      <w:r>
        <w:rPr>
          <w:rFonts w:hint="eastAsia" w:ascii="宋体" w:hAnsi="宋体" w:eastAsia="宋体" w:cs="宋体"/>
          <w:b/>
          <w:bCs/>
          <w:sz w:val="24"/>
          <w:szCs w:val="24"/>
          <w:highlight w:val="none"/>
          <w:lang w:bidi="ar"/>
        </w:rPr>
        <w:t>成交人须将供应的医用物资包括但不限于医用耗材、检验试剂、后勤物资等，纳入采购人医用物资SPD智慧物流管理模式进行一元化管理，与采购人SPD服务商签订服务协议并承担相关的服务费。其中医用耗材、试剂的具体服务费率由成交人与SPD服务商协商，服务费率不高于医院与SPD服务商约定的收费标准（现行服务费率为供货金额的1%；如后期采购人与SPD服务商约定的服务费率发生变动，以采购人与SPD服务商签订合同约定的服务费率为准）；后勤物资等其他物资，成交人无需承担服务费。如成交人不予配合，采购人有权终止与成交人的医用物资供应关系或选择备选医用物资成交人</w:t>
      </w:r>
      <w:r>
        <w:rPr>
          <w:rFonts w:hint="eastAsia" w:ascii="宋体" w:hAnsi="宋体" w:eastAsia="宋体" w:cs="宋体"/>
          <w:b/>
          <w:sz w:val="24"/>
          <w:szCs w:val="24"/>
          <w:highlight w:val="none"/>
          <w:lang w:bidi="ar"/>
        </w:rPr>
        <w:t>；</w:t>
      </w:r>
    </w:p>
    <w:p w14:paraId="69511916">
      <w:pPr>
        <w:spacing w:line="360" w:lineRule="auto"/>
        <w:ind w:firstLine="472" w:firstLineChars="196"/>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7.根据医保政策，可单独收费医用耗材请提供安徽医保局下发的27位医保编码，并按编码进行报价；</w:t>
      </w:r>
    </w:p>
    <w:p w14:paraId="0E0E04F1">
      <w:pPr>
        <w:wordWrap w:val="0"/>
        <w:spacing w:line="360" w:lineRule="auto"/>
        <w:ind w:firstLine="482"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8.需长期供应的医用耗材及试剂产品，成交后合同期内不得变更配送公司，否则取消该品牌成交资格。参选时生产厂家须出具长期授权函，并提供合同期内不变更配送公司的承诺函，如不提供的评审小组有权按无效响应处理。</w:t>
      </w:r>
    </w:p>
    <w:p w14:paraId="60521744">
      <w:pPr>
        <w:wordWrap w:val="0"/>
        <w:spacing w:line="360" w:lineRule="auto"/>
        <w:ind w:firstLine="482"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9.医用耗材及配套使用的工具按医院规定需要消毒的，其相关费用由供应商自行承担。</w:t>
      </w:r>
    </w:p>
    <w:p w14:paraId="1CA2D488">
      <w:pPr>
        <w:wordWrap w:val="0"/>
        <w:spacing w:line="360" w:lineRule="auto"/>
        <w:ind w:firstLine="482"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10.检验试剂项目和需配套检验试剂使用的检验设备项目，均须免费提供同品牌或第三方符合溯源要求的质控品。</w:t>
      </w:r>
    </w:p>
    <w:p w14:paraId="107933D4">
      <w:pPr>
        <w:wordWrap w:val="0"/>
        <w:spacing w:line="360" w:lineRule="auto"/>
        <w:ind w:firstLine="482"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11.供应商需无条件接受因国家及安徽省相关政策（如医用耗材带量采购等）对比选结果带来的变动，供应商不得提出异议。</w:t>
      </w:r>
    </w:p>
    <w:p w14:paraId="3B490EA1">
      <w:pPr>
        <w:wordWrap w:val="0"/>
        <w:spacing w:line="360" w:lineRule="auto"/>
        <w:ind w:firstLine="482"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12.供应商须保证此次供应产品，响应价格不得高于安徽省医药集中采购平台交易目录最高限价；后期安徽省医药集中采购平台交易目录最高限价如有降价，成交产品的成交人应于7个工作日内书面通知采购人启动协商程序。</w:t>
      </w:r>
    </w:p>
    <w:p w14:paraId="75706C3A">
      <w:pPr>
        <w:wordWrap w:val="0"/>
        <w:spacing w:line="360" w:lineRule="auto"/>
        <w:ind w:firstLine="482"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bidi="ar"/>
        </w:rPr>
        <w:t>13.按收费价格费率投标的检验项目，如后期收费价格下调，试剂供货价格须按成交费率同比例下浮。</w:t>
      </w:r>
    </w:p>
    <w:p w14:paraId="496C4099">
      <w:pPr>
        <w:spacing w:line="360" w:lineRule="auto"/>
        <w:ind w:firstLine="470" w:firstLineChars="196"/>
        <w:rPr>
          <w:rFonts w:hint="eastAsia" w:ascii="宋体" w:hAnsi="宋体" w:eastAsia="宋体" w:cs="宋体"/>
          <w:b/>
          <w:sz w:val="24"/>
          <w:szCs w:val="24"/>
          <w:highlight w:val="none"/>
        </w:rPr>
      </w:pPr>
      <w:r>
        <w:rPr>
          <w:rFonts w:hint="eastAsia" w:ascii="宋体" w:hAnsi="宋体" w:eastAsia="宋体" w:cs="宋体"/>
          <w:sz w:val="24"/>
          <w:szCs w:val="24"/>
          <w:highlight w:val="none"/>
          <w:lang w:bidi="ar"/>
        </w:rPr>
        <w:t>备注：请列出易损件，耗材及其他相关产品清单，并注明编码报价。</w:t>
      </w:r>
    </w:p>
    <w:p w14:paraId="7DA3B6E3">
      <w:pPr>
        <w:spacing w:line="360" w:lineRule="auto"/>
        <w:ind w:firstLine="437"/>
        <w:outlineLvl w:val="1"/>
        <w:rPr>
          <w:rFonts w:hint="eastAsia" w:ascii="宋体" w:hAnsi="宋体" w:eastAsia="宋体"/>
          <w:b/>
          <w:sz w:val="24"/>
          <w:szCs w:val="18"/>
          <w:highlight w:val="none"/>
        </w:rPr>
      </w:pPr>
      <w:r>
        <w:rPr>
          <w:rFonts w:hint="eastAsia" w:ascii="宋体" w:hAnsi="宋体" w:eastAsia="宋体"/>
          <w:b/>
          <w:sz w:val="24"/>
          <w:szCs w:val="18"/>
          <w:highlight w:val="none"/>
        </w:rPr>
        <w:t>一、采购需求前附表</w:t>
      </w:r>
      <w:bookmarkEnd w:id="1"/>
      <w:bookmarkEnd w:id="2"/>
      <w:r>
        <w:rPr>
          <w:rFonts w:hint="eastAsia" w:ascii="宋体" w:hAnsi="宋体" w:eastAsia="宋体"/>
          <w:b/>
          <w:color w:val="FF0000"/>
          <w:sz w:val="24"/>
          <w:szCs w:val="18"/>
          <w:highlight w:val="none"/>
        </w:rPr>
        <w:t>（以下内容必须响应，否则视为无效响应）</w:t>
      </w:r>
    </w:p>
    <w:tbl>
      <w:tblPr>
        <w:tblStyle w:val="3"/>
        <w:tblW w:w="84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191"/>
        <w:gridCol w:w="5191"/>
      </w:tblGrid>
      <w:tr w14:paraId="56E31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vAlign w:val="center"/>
          </w:tcPr>
          <w:p w14:paraId="06042438">
            <w:pPr>
              <w:pStyle w:val="5"/>
              <w:pBdr>
                <w:bottom w:val="none" w:color="auto" w:sz="0" w:space="0"/>
              </w:pBdr>
              <w:tabs>
                <w:tab w:val="clear" w:pos="4153"/>
                <w:tab w:val="clear" w:pos="8306"/>
              </w:tabs>
              <w:adjustRightInd/>
              <w:spacing w:line="240" w:lineRule="auto"/>
              <w:textAlignment w:val="auto"/>
              <w:rPr>
                <w:rFonts w:hint="eastAsia" w:ascii="宋体" w:hAnsi="宋体" w:eastAsia="宋体"/>
                <w:b/>
                <w:kern w:val="2"/>
                <w:highlight w:val="none"/>
              </w:rPr>
            </w:pPr>
            <w:r>
              <w:rPr>
                <w:rFonts w:hint="eastAsia" w:ascii="宋体" w:hAnsi="宋体" w:eastAsia="宋体"/>
                <w:b/>
                <w:kern w:val="2"/>
                <w:highlight w:val="none"/>
              </w:rPr>
              <w:t>序号</w:t>
            </w:r>
          </w:p>
        </w:tc>
        <w:tc>
          <w:tcPr>
            <w:tcW w:w="2191" w:type="dxa"/>
            <w:vAlign w:val="center"/>
          </w:tcPr>
          <w:p w14:paraId="7E8B51D2">
            <w:pPr>
              <w:pStyle w:val="6"/>
              <w:widowControl w:val="0"/>
              <w:spacing w:before="0" w:beforeAutospacing="0" w:after="0" w:afterAutospacing="0" w:line="360" w:lineRule="auto"/>
              <w:rPr>
                <w:rFonts w:hint="eastAsia" w:ascii="宋体" w:hAnsi="宋体" w:eastAsia="宋体"/>
                <w:bCs w:val="0"/>
                <w:sz w:val="24"/>
                <w:highlight w:val="none"/>
              </w:rPr>
            </w:pPr>
            <w:r>
              <w:rPr>
                <w:rFonts w:hint="eastAsia" w:ascii="宋体" w:hAnsi="宋体" w:eastAsia="宋体"/>
                <w:bCs w:val="0"/>
                <w:sz w:val="24"/>
                <w:highlight w:val="none"/>
              </w:rPr>
              <w:t>条款名称</w:t>
            </w:r>
          </w:p>
        </w:tc>
        <w:tc>
          <w:tcPr>
            <w:tcW w:w="5191" w:type="dxa"/>
            <w:vAlign w:val="center"/>
          </w:tcPr>
          <w:p w14:paraId="54EE450F">
            <w:pPr>
              <w:pStyle w:val="6"/>
              <w:widowControl w:val="0"/>
              <w:spacing w:before="0" w:beforeAutospacing="0" w:after="0" w:afterAutospacing="0" w:line="360" w:lineRule="auto"/>
              <w:rPr>
                <w:rFonts w:hint="eastAsia" w:ascii="宋体" w:hAnsi="宋体" w:eastAsia="宋体"/>
                <w:bCs w:val="0"/>
                <w:sz w:val="24"/>
                <w:highlight w:val="none"/>
              </w:rPr>
            </w:pPr>
            <w:r>
              <w:rPr>
                <w:rFonts w:hint="eastAsia" w:ascii="宋体" w:hAnsi="宋体" w:eastAsia="宋体"/>
                <w:bCs w:val="0"/>
                <w:sz w:val="24"/>
                <w:highlight w:val="none"/>
              </w:rPr>
              <w:t>内容、说明与要求</w:t>
            </w:r>
          </w:p>
        </w:tc>
      </w:tr>
      <w:tr w14:paraId="7DA5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vAlign w:val="center"/>
          </w:tcPr>
          <w:p w14:paraId="5C4EEB4D">
            <w:pPr>
              <w:pStyle w:val="5"/>
              <w:pBdr>
                <w:bottom w:val="none" w:color="auto" w:sz="0" w:space="0"/>
              </w:pBdr>
              <w:tabs>
                <w:tab w:val="clear" w:pos="4153"/>
                <w:tab w:val="clear" w:pos="8306"/>
              </w:tabs>
              <w:adjustRightInd/>
              <w:spacing w:line="240" w:lineRule="auto"/>
              <w:textAlignment w:val="auto"/>
              <w:rPr>
                <w:rFonts w:hint="eastAsia" w:ascii="宋体" w:hAnsi="宋体" w:eastAsia="宋体"/>
                <w:bCs/>
                <w:kern w:val="2"/>
                <w:highlight w:val="none"/>
              </w:rPr>
            </w:pPr>
            <w:r>
              <w:rPr>
                <w:rFonts w:hint="eastAsia" w:ascii="宋体" w:hAnsi="宋体" w:eastAsia="宋体"/>
                <w:bCs/>
                <w:kern w:val="2"/>
                <w:highlight w:val="none"/>
              </w:rPr>
              <w:t>1</w:t>
            </w:r>
          </w:p>
        </w:tc>
        <w:tc>
          <w:tcPr>
            <w:tcW w:w="2191" w:type="dxa"/>
            <w:vAlign w:val="center"/>
          </w:tcPr>
          <w:p w14:paraId="79F9A803">
            <w:pPr>
              <w:pStyle w:val="6"/>
              <w:widowControl w:val="0"/>
              <w:spacing w:before="0" w:beforeAutospacing="0" w:after="0" w:afterAutospacing="0" w:line="360" w:lineRule="auto"/>
              <w:rPr>
                <w:rFonts w:hint="eastAsia" w:ascii="宋体" w:hAnsi="宋体" w:eastAsia="宋体"/>
                <w:b w:val="0"/>
                <w:sz w:val="24"/>
                <w:highlight w:val="none"/>
              </w:rPr>
            </w:pPr>
            <w:r>
              <w:rPr>
                <w:rFonts w:hint="eastAsia" w:ascii="宋体" w:hAnsi="宋体" w:eastAsia="宋体"/>
                <w:b w:val="0"/>
                <w:sz w:val="24"/>
                <w:highlight w:val="none"/>
              </w:rPr>
              <w:t>付款方式</w:t>
            </w:r>
          </w:p>
        </w:tc>
        <w:tc>
          <w:tcPr>
            <w:tcW w:w="5191" w:type="dxa"/>
            <w:vAlign w:val="center"/>
          </w:tcPr>
          <w:p w14:paraId="2FA96F10">
            <w:pPr>
              <w:pStyle w:val="6"/>
              <w:widowControl w:val="0"/>
              <w:spacing w:before="0" w:beforeAutospacing="0" w:after="0" w:afterAutospacing="0" w:line="360" w:lineRule="auto"/>
              <w:jc w:val="both"/>
              <w:rPr>
                <w:rFonts w:hint="eastAsia" w:ascii="宋体" w:hAnsi="宋体" w:eastAsia="宋体"/>
                <w:b w:val="0"/>
                <w:sz w:val="24"/>
                <w:highlight w:val="none"/>
                <w:u w:val="single"/>
              </w:rPr>
            </w:pPr>
            <w:r>
              <w:rPr>
                <w:rFonts w:hint="eastAsia" w:ascii="宋体" w:hAnsi="宋体" w:eastAsia="宋体"/>
                <w:b w:val="0"/>
                <w:sz w:val="24"/>
                <w:highlight w:val="none"/>
                <w:u w:val="single"/>
              </w:rPr>
              <w:t>设备验收合格后三个月首付90%货款，余额10%货款质保金一年后如无质量问题无息付清。</w:t>
            </w:r>
          </w:p>
        </w:tc>
      </w:tr>
      <w:tr w14:paraId="19E47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vAlign w:val="center"/>
          </w:tcPr>
          <w:p w14:paraId="614EB883">
            <w:pPr>
              <w:pStyle w:val="5"/>
              <w:pBdr>
                <w:bottom w:val="none" w:color="auto" w:sz="0" w:space="0"/>
              </w:pBdr>
              <w:tabs>
                <w:tab w:val="clear" w:pos="4153"/>
                <w:tab w:val="clear" w:pos="8306"/>
              </w:tabs>
              <w:adjustRightInd/>
              <w:spacing w:line="240" w:lineRule="auto"/>
              <w:textAlignment w:val="auto"/>
              <w:rPr>
                <w:rFonts w:hint="eastAsia" w:ascii="宋体" w:hAnsi="宋体" w:eastAsia="宋体"/>
                <w:bCs/>
                <w:kern w:val="2"/>
                <w:highlight w:val="none"/>
              </w:rPr>
            </w:pPr>
            <w:r>
              <w:rPr>
                <w:rFonts w:hint="eastAsia" w:ascii="宋体" w:hAnsi="宋体" w:eastAsia="宋体"/>
                <w:bCs/>
                <w:kern w:val="2"/>
                <w:highlight w:val="none"/>
              </w:rPr>
              <w:t>2</w:t>
            </w:r>
          </w:p>
        </w:tc>
        <w:tc>
          <w:tcPr>
            <w:tcW w:w="2191" w:type="dxa"/>
            <w:vAlign w:val="center"/>
          </w:tcPr>
          <w:p w14:paraId="7C47183E">
            <w:pPr>
              <w:pStyle w:val="6"/>
              <w:widowControl w:val="0"/>
              <w:spacing w:before="0" w:beforeAutospacing="0" w:after="0" w:afterAutospacing="0" w:line="360" w:lineRule="auto"/>
              <w:rPr>
                <w:rFonts w:hint="eastAsia" w:ascii="宋体" w:hAnsi="宋体" w:eastAsia="宋体"/>
                <w:b w:val="0"/>
                <w:sz w:val="24"/>
                <w:highlight w:val="none"/>
              </w:rPr>
            </w:pPr>
            <w:r>
              <w:rPr>
                <w:rFonts w:hint="eastAsia" w:ascii="宋体" w:hAnsi="宋体" w:eastAsia="宋体"/>
                <w:b w:val="0"/>
                <w:sz w:val="24"/>
                <w:highlight w:val="none"/>
              </w:rPr>
              <w:t>供货及安装地点</w:t>
            </w:r>
          </w:p>
        </w:tc>
        <w:tc>
          <w:tcPr>
            <w:tcW w:w="5191" w:type="dxa"/>
            <w:vAlign w:val="center"/>
          </w:tcPr>
          <w:p w14:paraId="21CD4212">
            <w:pPr>
              <w:pStyle w:val="6"/>
              <w:widowControl w:val="0"/>
              <w:spacing w:before="0" w:beforeAutospacing="0" w:after="0" w:afterAutospacing="0" w:line="360" w:lineRule="auto"/>
              <w:jc w:val="both"/>
              <w:rPr>
                <w:rFonts w:hint="eastAsia" w:ascii="宋体" w:hAnsi="宋体" w:eastAsia="宋体"/>
                <w:b w:val="0"/>
                <w:sz w:val="24"/>
                <w:highlight w:val="none"/>
              </w:rPr>
            </w:pPr>
            <w:r>
              <w:rPr>
                <w:rFonts w:hint="eastAsia" w:ascii="宋体" w:hAnsi="宋体" w:eastAsia="宋体"/>
                <w:b w:val="0"/>
                <w:sz w:val="24"/>
                <w:highlight w:val="none"/>
                <w:u w:val="single"/>
                <w:lang w:eastAsia="zh-CN"/>
              </w:rPr>
              <w:t>中国科大附一院（安徽省立医院）</w:t>
            </w:r>
            <w:r>
              <w:rPr>
                <w:rFonts w:hint="eastAsia" w:ascii="宋体" w:hAnsi="宋体" w:eastAsia="宋体"/>
                <w:b w:val="0"/>
                <w:sz w:val="24"/>
                <w:highlight w:val="none"/>
                <w:u w:val="single"/>
              </w:rPr>
              <w:t>，采购人指定地点</w:t>
            </w:r>
          </w:p>
        </w:tc>
      </w:tr>
      <w:tr w14:paraId="7E8F7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vAlign w:val="center"/>
          </w:tcPr>
          <w:p w14:paraId="0CBA33BF">
            <w:pPr>
              <w:pStyle w:val="5"/>
              <w:pBdr>
                <w:bottom w:val="none" w:color="auto" w:sz="0" w:space="0"/>
              </w:pBdr>
              <w:tabs>
                <w:tab w:val="clear" w:pos="4153"/>
                <w:tab w:val="clear" w:pos="8306"/>
              </w:tabs>
              <w:adjustRightInd/>
              <w:spacing w:line="240" w:lineRule="auto"/>
              <w:textAlignment w:val="auto"/>
              <w:rPr>
                <w:rFonts w:hint="eastAsia" w:ascii="宋体" w:hAnsi="宋体" w:eastAsia="宋体"/>
                <w:bCs/>
                <w:kern w:val="2"/>
                <w:highlight w:val="none"/>
              </w:rPr>
            </w:pPr>
            <w:r>
              <w:rPr>
                <w:rFonts w:hint="eastAsia" w:ascii="宋体" w:hAnsi="宋体" w:eastAsia="宋体"/>
                <w:bCs/>
                <w:kern w:val="2"/>
                <w:highlight w:val="none"/>
              </w:rPr>
              <w:t>3</w:t>
            </w:r>
          </w:p>
        </w:tc>
        <w:tc>
          <w:tcPr>
            <w:tcW w:w="2191" w:type="dxa"/>
            <w:vAlign w:val="center"/>
          </w:tcPr>
          <w:p w14:paraId="631C958D">
            <w:pPr>
              <w:pStyle w:val="6"/>
              <w:widowControl w:val="0"/>
              <w:spacing w:before="0" w:beforeAutospacing="0" w:after="0" w:afterAutospacing="0" w:line="360" w:lineRule="auto"/>
              <w:rPr>
                <w:rFonts w:hint="eastAsia" w:ascii="宋体" w:hAnsi="宋体" w:eastAsia="宋体"/>
                <w:b w:val="0"/>
                <w:sz w:val="24"/>
                <w:highlight w:val="none"/>
              </w:rPr>
            </w:pPr>
            <w:r>
              <w:rPr>
                <w:rFonts w:hint="eastAsia" w:ascii="宋体" w:hAnsi="宋体" w:eastAsia="宋体"/>
                <w:b w:val="0"/>
                <w:sz w:val="24"/>
                <w:highlight w:val="none"/>
              </w:rPr>
              <w:t>供货及安装期限</w:t>
            </w:r>
          </w:p>
        </w:tc>
        <w:tc>
          <w:tcPr>
            <w:tcW w:w="5191" w:type="dxa"/>
            <w:vAlign w:val="center"/>
          </w:tcPr>
          <w:p w14:paraId="553AD3B8">
            <w:pPr>
              <w:pStyle w:val="6"/>
              <w:widowControl w:val="0"/>
              <w:spacing w:before="0" w:beforeAutospacing="0" w:after="0" w:afterAutospacing="0" w:line="360" w:lineRule="auto"/>
              <w:jc w:val="both"/>
              <w:rPr>
                <w:rFonts w:hint="eastAsia" w:ascii="宋体" w:hAnsi="宋体" w:eastAsia="宋体"/>
                <w:b w:val="0"/>
                <w:sz w:val="24"/>
                <w:highlight w:val="none"/>
              </w:rPr>
            </w:pPr>
            <w:r>
              <w:rPr>
                <w:rFonts w:hint="eastAsia" w:ascii="宋体" w:hAnsi="宋体" w:eastAsia="宋体"/>
                <w:b w:val="0"/>
                <w:sz w:val="24"/>
                <w:highlight w:val="none"/>
                <w:u w:val="single"/>
              </w:rPr>
              <w:t>详见比选公告</w:t>
            </w:r>
          </w:p>
        </w:tc>
      </w:tr>
      <w:tr w14:paraId="68E02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vAlign w:val="center"/>
          </w:tcPr>
          <w:p w14:paraId="2F3E4128">
            <w:pPr>
              <w:pStyle w:val="5"/>
              <w:pBdr>
                <w:bottom w:val="none" w:color="auto" w:sz="0" w:space="0"/>
              </w:pBdr>
              <w:tabs>
                <w:tab w:val="clear" w:pos="4153"/>
                <w:tab w:val="clear" w:pos="8306"/>
              </w:tabs>
              <w:adjustRightInd/>
              <w:spacing w:line="240" w:lineRule="auto"/>
              <w:textAlignment w:val="auto"/>
              <w:rPr>
                <w:rFonts w:hint="eastAsia" w:ascii="宋体" w:hAnsi="宋体" w:eastAsia="宋体"/>
                <w:bCs/>
                <w:kern w:val="2"/>
                <w:highlight w:val="none"/>
              </w:rPr>
            </w:pPr>
            <w:r>
              <w:rPr>
                <w:rFonts w:hint="eastAsia" w:ascii="宋体" w:hAnsi="宋体" w:eastAsia="宋体"/>
                <w:bCs/>
                <w:kern w:val="2"/>
                <w:highlight w:val="none"/>
              </w:rPr>
              <w:t>4</w:t>
            </w:r>
          </w:p>
        </w:tc>
        <w:tc>
          <w:tcPr>
            <w:tcW w:w="2191" w:type="dxa"/>
            <w:vAlign w:val="center"/>
          </w:tcPr>
          <w:p w14:paraId="3B033300">
            <w:pPr>
              <w:pStyle w:val="6"/>
              <w:widowControl w:val="0"/>
              <w:spacing w:before="0" w:beforeAutospacing="0" w:after="0" w:afterAutospacing="0" w:line="360" w:lineRule="auto"/>
              <w:rPr>
                <w:rFonts w:hint="eastAsia" w:ascii="宋体" w:hAnsi="宋体" w:eastAsia="宋体"/>
                <w:b w:val="0"/>
                <w:sz w:val="24"/>
                <w:highlight w:val="none"/>
              </w:rPr>
            </w:pPr>
            <w:r>
              <w:rPr>
                <w:rFonts w:hint="eastAsia" w:ascii="宋体" w:hAnsi="宋体" w:eastAsia="宋体"/>
                <w:b w:val="0"/>
                <w:sz w:val="24"/>
                <w:highlight w:val="none"/>
              </w:rPr>
              <w:t>免费质保期</w:t>
            </w:r>
          </w:p>
        </w:tc>
        <w:tc>
          <w:tcPr>
            <w:tcW w:w="5191" w:type="dxa"/>
            <w:vAlign w:val="center"/>
          </w:tcPr>
          <w:p w14:paraId="1E6985C1">
            <w:pPr>
              <w:pStyle w:val="6"/>
              <w:widowControl w:val="0"/>
              <w:spacing w:before="0" w:beforeAutospacing="0" w:after="0" w:afterAutospacing="0" w:line="360" w:lineRule="auto"/>
              <w:jc w:val="both"/>
              <w:rPr>
                <w:rFonts w:hint="eastAsia" w:ascii="宋体" w:hAnsi="宋体" w:eastAsia="宋体"/>
                <w:b w:val="0"/>
                <w:sz w:val="24"/>
                <w:highlight w:val="none"/>
                <w:u w:val="single"/>
              </w:rPr>
            </w:pPr>
            <w:r>
              <w:rPr>
                <w:rFonts w:hint="eastAsia" w:ascii="宋体" w:hAnsi="宋体" w:eastAsia="宋体"/>
                <w:b w:val="0"/>
                <w:sz w:val="24"/>
                <w:highlight w:val="none"/>
                <w:u w:val="single"/>
              </w:rPr>
              <w:t>详见比选公告</w:t>
            </w:r>
          </w:p>
          <w:p w14:paraId="62DBBCE2">
            <w:pPr>
              <w:pStyle w:val="6"/>
              <w:widowControl w:val="0"/>
              <w:spacing w:before="0" w:beforeAutospacing="0" w:after="0" w:afterAutospacing="0" w:line="360" w:lineRule="auto"/>
              <w:jc w:val="both"/>
              <w:rPr>
                <w:rFonts w:hint="eastAsia" w:ascii="宋体" w:hAnsi="宋体" w:eastAsia="宋体"/>
                <w:b w:val="0"/>
                <w:sz w:val="24"/>
                <w:highlight w:val="none"/>
                <w:u w:val="single"/>
                <w:lang w:eastAsia="zh-CN"/>
              </w:rPr>
            </w:pPr>
            <w:r>
              <w:rPr>
                <w:rFonts w:hint="eastAsia" w:ascii="宋体" w:hAnsi="宋体" w:eastAsia="宋体"/>
                <w:b w:val="0"/>
                <w:sz w:val="24"/>
                <w:highlight w:val="none"/>
                <w:u w:val="none"/>
                <w:lang w:val="en-US" w:eastAsia="zh-CN"/>
              </w:rPr>
              <w:t>须提供供应商承诺及产品制造商承诺（产品制造商承诺可成交后提供）</w:t>
            </w:r>
          </w:p>
        </w:tc>
      </w:tr>
    </w:tbl>
    <w:p w14:paraId="0EDEBF5B">
      <w:pPr>
        <w:spacing w:line="360" w:lineRule="auto"/>
        <w:ind w:firstLine="437"/>
        <w:outlineLvl w:val="1"/>
        <w:rPr>
          <w:rFonts w:hint="eastAsia" w:ascii="宋体" w:hAnsi="宋体" w:eastAsia="宋体"/>
          <w:b/>
          <w:bCs/>
          <w:sz w:val="24"/>
          <w:szCs w:val="18"/>
          <w:highlight w:val="none"/>
        </w:rPr>
      </w:pPr>
      <w:r>
        <w:rPr>
          <w:rFonts w:hint="eastAsia" w:ascii="宋体" w:hAnsi="宋体" w:eastAsia="宋体"/>
          <w:b/>
          <w:bCs/>
          <w:sz w:val="24"/>
          <w:szCs w:val="18"/>
          <w:highlight w:val="none"/>
        </w:rPr>
        <w:t>二、</w:t>
      </w:r>
      <w:r>
        <w:rPr>
          <w:rFonts w:hint="eastAsia" w:ascii="宋体" w:hAnsi="宋体" w:eastAsia="宋体"/>
          <w:b/>
          <w:sz w:val="24"/>
          <w:szCs w:val="18"/>
          <w:highlight w:val="none"/>
        </w:rPr>
        <w:t>货物</w:t>
      </w:r>
      <w:r>
        <w:rPr>
          <w:rFonts w:hint="eastAsia" w:ascii="宋体" w:hAnsi="宋体" w:eastAsia="宋体"/>
          <w:b/>
          <w:bCs/>
          <w:sz w:val="24"/>
          <w:szCs w:val="18"/>
          <w:highlight w:val="none"/>
        </w:rPr>
        <w:t>需求</w:t>
      </w:r>
    </w:p>
    <w:p w14:paraId="53C6DE50">
      <w:pPr>
        <w:widowControl/>
        <w:ind w:firstLine="482" w:firstLineChars="200"/>
        <w:outlineLvl w:val="2"/>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（一）标识符号</w:t>
      </w:r>
    </w:p>
    <w:tbl>
      <w:tblPr>
        <w:tblStyle w:val="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363"/>
      </w:tblGrid>
      <w:tr w14:paraId="0FCFD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14:paraId="66496B31">
            <w:pPr>
              <w:spacing w:line="300" w:lineRule="auto"/>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标识类型</w:t>
            </w:r>
          </w:p>
        </w:tc>
        <w:tc>
          <w:tcPr>
            <w:tcW w:w="1365" w:type="dxa"/>
            <w:vAlign w:val="center"/>
          </w:tcPr>
          <w:p w14:paraId="7180F163">
            <w:pPr>
              <w:spacing w:line="300" w:lineRule="auto"/>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标识符号</w:t>
            </w:r>
          </w:p>
        </w:tc>
        <w:tc>
          <w:tcPr>
            <w:tcW w:w="5363" w:type="dxa"/>
            <w:vAlign w:val="center"/>
          </w:tcPr>
          <w:p w14:paraId="4D15BB18">
            <w:pPr>
              <w:spacing w:line="300" w:lineRule="auto"/>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标识符号含义</w:t>
            </w:r>
          </w:p>
        </w:tc>
      </w:tr>
      <w:tr w14:paraId="197B8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vAlign w:val="center"/>
          </w:tcPr>
          <w:p w14:paraId="3DE2FCE5">
            <w:pPr>
              <w:spacing w:line="300"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重要指标项（如有）</w:t>
            </w:r>
          </w:p>
        </w:tc>
        <w:tc>
          <w:tcPr>
            <w:tcW w:w="1365" w:type="dxa"/>
            <w:vAlign w:val="center"/>
          </w:tcPr>
          <w:p w14:paraId="6CD66D9C">
            <w:pPr>
              <w:wordWrap w:val="0"/>
              <w:adjustRightInd w:val="0"/>
              <w:snapToGrid w:val="0"/>
              <w:spacing w:line="300" w:lineRule="auto"/>
              <w:jc w:val="center"/>
              <w:rPr>
                <w:rFonts w:hint="eastAsia" w:ascii="宋体" w:hAnsi="宋体" w:eastAsia="宋体" w:cs="宋体"/>
                <w:bCs/>
                <w:color w:val="000000"/>
                <w:sz w:val="24"/>
                <w:szCs w:val="24"/>
                <w:highlight w:val="none"/>
              </w:rPr>
            </w:pPr>
            <w:r>
              <w:rPr>
                <w:rFonts w:hint="eastAsia" w:ascii="宋体" w:hAnsi="宋体" w:eastAsia="宋体" w:cs="宋体"/>
                <w:color w:val="000000"/>
                <w:sz w:val="24"/>
                <w:szCs w:val="24"/>
                <w:highlight w:val="none"/>
              </w:rPr>
              <w:t>★</w:t>
            </w:r>
          </w:p>
        </w:tc>
        <w:tc>
          <w:tcPr>
            <w:tcW w:w="5363" w:type="dxa"/>
            <w:vAlign w:val="center"/>
          </w:tcPr>
          <w:p w14:paraId="5D4068F8">
            <w:pPr>
              <w:wordWrap w:val="0"/>
              <w:adjustRightInd w:val="0"/>
              <w:snapToGrid w:val="0"/>
              <w:spacing w:line="300" w:lineRule="auto"/>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不满足技术要求中“★”参数（如有）的,属于重大偏离，会对最终评审产生较大影响。</w:t>
            </w:r>
          </w:p>
        </w:tc>
      </w:tr>
      <w:tr w14:paraId="1EA42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522" w:type="dxa"/>
            <w:gridSpan w:val="3"/>
            <w:vAlign w:val="center"/>
          </w:tcPr>
          <w:p w14:paraId="7B48C025">
            <w:pPr>
              <w:spacing w:line="30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w:t>
            </w:r>
          </w:p>
          <w:p w14:paraId="38ACF8A3">
            <w:pPr>
              <w:spacing w:line="30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如某项标识中包含多条技术参数或要求，则该项标识所含内容均需满足或优于比选文件要求，否则不予认可。</w:t>
            </w:r>
          </w:p>
        </w:tc>
      </w:tr>
    </w:tbl>
    <w:p w14:paraId="43D300E6">
      <w:pPr>
        <w:widowControl/>
        <w:snapToGrid w:val="0"/>
        <w:spacing w:line="360" w:lineRule="auto"/>
        <w:ind w:firstLine="482" w:firstLineChars="200"/>
        <w:outlineLvl w:val="2"/>
        <w:rPr>
          <w:rFonts w:hint="eastAsia" w:ascii="宋体" w:hAnsi="宋体" w:eastAsia="宋体" w:cs="宋体"/>
          <w:b/>
          <w:bCs/>
          <w:sz w:val="24"/>
          <w:szCs w:val="24"/>
          <w:highlight w:val="none"/>
        </w:rPr>
      </w:pPr>
    </w:p>
    <w:p w14:paraId="1D82C565">
      <w:pPr>
        <w:widowControl/>
        <w:snapToGrid w:val="0"/>
        <w:spacing w:line="360" w:lineRule="auto"/>
        <w:ind w:firstLine="482" w:firstLineChars="200"/>
        <w:outlineLvl w:val="2"/>
        <w:rPr>
          <w:rFonts w:hint="eastAsia" w:ascii="宋体" w:hAnsi="宋体" w:eastAsia="宋体"/>
          <w:b/>
          <w:bCs/>
          <w:sz w:val="24"/>
          <w:szCs w:val="18"/>
          <w:highlight w:val="none"/>
        </w:rPr>
      </w:pPr>
      <w:r>
        <w:rPr>
          <w:rFonts w:hint="eastAsia" w:ascii="宋体" w:hAnsi="宋体" w:eastAsia="宋体" w:cs="宋体"/>
          <w:b/>
          <w:bCs/>
          <w:sz w:val="24"/>
          <w:szCs w:val="24"/>
          <w:highlight w:val="none"/>
        </w:rPr>
        <w:t>（二）技术参数</w:t>
      </w:r>
    </w:p>
    <w:bookmarkEnd w:id="0"/>
    <w:p w14:paraId="421BC9B7">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000000"/>
          <w:kern w:val="2"/>
          <w:sz w:val="24"/>
          <w:szCs w:val="24"/>
        </w:rPr>
      </w:pPr>
      <w:r>
        <w:rPr>
          <w:rFonts w:hint="eastAsia" w:ascii="宋体" w:hAnsi="宋体" w:eastAsia="宋体" w:cs="宋体"/>
          <w:bCs/>
          <w:kern w:val="2"/>
          <w:sz w:val="24"/>
          <w:szCs w:val="24"/>
          <w:lang w:val="en-US" w:eastAsia="zh-CN" w:bidi="ar"/>
        </w:rPr>
        <w:t>1.外形尺</w:t>
      </w:r>
      <w:r>
        <w:rPr>
          <w:rFonts w:hint="eastAsia" w:ascii="宋体" w:hAnsi="宋体" w:eastAsia="宋体" w:cs="宋体"/>
          <w:bCs/>
          <w:color w:val="000000"/>
          <w:kern w:val="2"/>
          <w:sz w:val="24"/>
          <w:szCs w:val="24"/>
          <w:lang w:val="en-US" w:eastAsia="zh-CN" w:bidi="ar"/>
        </w:rPr>
        <w:t>寸：长X宽≤1m×1m</w:t>
      </w:r>
    </w:p>
    <w:p w14:paraId="2C50CC1A">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000000"/>
          <w:kern w:val="2"/>
          <w:sz w:val="24"/>
          <w:szCs w:val="24"/>
        </w:rPr>
      </w:pPr>
      <w:r>
        <w:rPr>
          <w:rFonts w:hint="eastAsia" w:ascii="宋体" w:hAnsi="宋体" w:eastAsia="宋体" w:cs="宋体"/>
          <w:bCs/>
          <w:color w:val="000000"/>
          <w:kern w:val="2"/>
          <w:sz w:val="24"/>
          <w:szCs w:val="24"/>
          <w:lang w:val="en-US" w:eastAsia="zh-CN" w:bidi="ar"/>
        </w:rPr>
        <w:t>2.适用范围：供医用软式内窥镜可清洗部件的清洗、消毒用，可匹配使用医院现有的软式内镜消毒/灭菌剂，</w:t>
      </w:r>
    </w:p>
    <w:p w14:paraId="7EBF2E4C">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strike/>
          <w:dstrike w:val="0"/>
          <w:color w:val="000000"/>
          <w:kern w:val="2"/>
          <w:sz w:val="24"/>
          <w:szCs w:val="24"/>
        </w:rPr>
      </w:pPr>
      <w:r>
        <w:rPr>
          <w:rFonts w:hint="eastAsia" w:ascii="宋体" w:hAnsi="宋体" w:eastAsia="宋体" w:cs="宋体"/>
          <w:bCs/>
          <w:color w:val="000000"/>
          <w:kern w:val="2"/>
          <w:sz w:val="24"/>
          <w:szCs w:val="24"/>
          <w:lang w:val="en-US" w:eastAsia="zh-CN" w:bidi="ar"/>
        </w:rPr>
        <w:t>3.操作界面：彩色液晶显示，触摸屏控制</w:t>
      </w:r>
    </w:p>
    <w:p w14:paraId="4C897F83">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000000"/>
          <w:kern w:val="2"/>
          <w:sz w:val="24"/>
          <w:szCs w:val="24"/>
        </w:rPr>
      </w:pPr>
      <w:r>
        <w:rPr>
          <w:rFonts w:hint="eastAsia" w:ascii="宋体" w:hAnsi="宋体" w:eastAsia="宋体" w:cs="宋体"/>
          <w:bCs/>
          <w:color w:val="000000"/>
          <w:kern w:val="2"/>
          <w:sz w:val="24"/>
          <w:szCs w:val="24"/>
          <w:lang w:val="en-US" w:eastAsia="zh-CN" w:bidi="ar"/>
        </w:rPr>
        <w:t>4.★全自动操作：一键式操作，设备自动完成内镜的测漏、清洗、管道刷洗、漂洗、消毒、终末漂洗，吹气酒精灌流等流程。</w:t>
      </w:r>
    </w:p>
    <w:p w14:paraId="1263A04A">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000000"/>
          <w:kern w:val="2"/>
          <w:sz w:val="24"/>
          <w:szCs w:val="24"/>
        </w:rPr>
      </w:pPr>
      <w:r>
        <w:rPr>
          <w:rFonts w:hint="eastAsia" w:ascii="宋体" w:hAnsi="宋体" w:eastAsia="宋体" w:cs="宋体"/>
          <w:bCs/>
          <w:color w:val="000000"/>
          <w:kern w:val="2"/>
          <w:sz w:val="24"/>
          <w:szCs w:val="24"/>
          <w:lang w:val="en-US" w:eastAsia="zh-CN" w:bidi="ar"/>
        </w:rPr>
        <w:t>5.测漏功能：具备测漏监控功能，如有漏气设备具有声光报警功能。</w:t>
      </w:r>
    </w:p>
    <w:p w14:paraId="1BE1BC03">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FF0000"/>
          <w:kern w:val="2"/>
          <w:sz w:val="24"/>
          <w:szCs w:val="24"/>
        </w:rPr>
      </w:pPr>
      <w:r>
        <w:rPr>
          <w:rFonts w:hint="eastAsia" w:ascii="宋体" w:hAnsi="宋体" w:eastAsia="宋体" w:cs="宋体"/>
          <w:bCs/>
          <w:color w:val="000000"/>
          <w:kern w:val="2"/>
          <w:sz w:val="24"/>
          <w:szCs w:val="24"/>
          <w:lang w:val="en-US" w:eastAsia="zh-CN" w:bidi="ar"/>
        </w:rPr>
        <w:t>6.毛刷清洗功能:若具有自动毛刷刷洗功能，需提供第三方检测报告。</w:t>
      </w:r>
    </w:p>
    <w:p w14:paraId="41206DAE">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000000"/>
          <w:kern w:val="2"/>
          <w:sz w:val="24"/>
          <w:szCs w:val="24"/>
        </w:rPr>
      </w:pPr>
      <w:r>
        <w:rPr>
          <w:rFonts w:hint="eastAsia" w:ascii="宋体" w:hAnsi="宋体" w:eastAsia="宋体" w:cs="宋体"/>
          <w:bCs/>
          <w:color w:val="000000"/>
          <w:kern w:val="2"/>
          <w:sz w:val="24"/>
          <w:szCs w:val="24"/>
          <w:lang w:val="en-US" w:eastAsia="zh-CN" w:bidi="ar"/>
        </w:rPr>
        <w:t>7.★洗消效率：全流程单镜洗消效率≤20min。</w:t>
      </w:r>
    </w:p>
    <w:p w14:paraId="1311820F">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000000"/>
          <w:kern w:val="2"/>
          <w:sz w:val="24"/>
          <w:szCs w:val="24"/>
        </w:rPr>
      </w:pPr>
      <w:r>
        <w:rPr>
          <w:rFonts w:hint="eastAsia" w:ascii="宋体" w:hAnsi="宋体" w:eastAsia="宋体" w:cs="宋体"/>
          <w:bCs/>
          <w:color w:val="000000"/>
          <w:kern w:val="2"/>
          <w:sz w:val="24"/>
          <w:szCs w:val="24"/>
          <w:lang w:val="en-US" w:eastAsia="zh-CN" w:bidi="ar"/>
        </w:rPr>
        <w:t>8.酶液、酒精用量精度：≤5%</w:t>
      </w:r>
    </w:p>
    <w:p w14:paraId="71850069">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000000"/>
          <w:kern w:val="2"/>
          <w:sz w:val="24"/>
          <w:szCs w:val="24"/>
        </w:rPr>
      </w:pPr>
      <w:r>
        <w:rPr>
          <w:rFonts w:hint="eastAsia" w:ascii="宋体" w:hAnsi="宋体" w:eastAsia="宋体" w:cs="宋体"/>
          <w:bCs/>
          <w:color w:val="000000"/>
          <w:kern w:val="2"/>
          <w:sz w:val="24"/>
          <w:szCs w:val="24"/>
          <w:lang w:val="en-US" w:eastAsia="zh-CN" w:bidi="ar"/>
        </w:rPr>
        <w:t>9.消毒剂使用记录：能设置消毒剂的重复使用次数，且在达到限定使用次数时自动报警提示更换新的消毒剂。</w:t>
      </w:r>
    </w:p>
    <w:p w14:paraId="6DF10A56">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strike/>
          <w:dstrike w:val="0"/>
          <w:color w:val="000000"/>
          <w:kern w:val="2"/>
          <w:sz w:val="24"/>
          <w:szCs w:val="24"/>
        </w:rPr>
      </w:pPr>
      <w:r>
        <w:rPr>
          <w:rFonts w:hint="eastAsia" w:ascii="宋体" w:hAnsi="宋体" w:eastAsia="宋体" w:cs="宋体"/>
          <w:bCs/>
          <w:color w:val="000000"/>
          <w:kern w:val="2"/>
          <w:sz w:val="24"/>
          <w:szCs w:val="24"/>
          <w:lang w:val="en-US" w:eastAsia="zh-CN" w:bidi="ar"/>
        </w:rPr>
        <w:t>10.消毒剂浓度检测窗口：设备设置有专用消毒液取样窗口</w:t>
      </w:r>
    </w:p>
    <w:p w14:paraId="0B0B67FD">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000000"/>
          <w:kern w:val="2"/>
          <w:sz w:val="24"/>
          <w:szCs w:val="24"/>
        </w:rPr>
      </w:pPr>
      <w:r>
        <w:rPr>
          <w:rFonts w:hint="eastAsia" w:ascii="宋体" w:hAnsi="宋体" w:eastAsia="宋体" w:cs="宋体"/>
          <w:bCs/>
          <w:color w:val="000000"/>
          <w:kern w:val="2"/>
          <w:sz w:val="24"/>
          <w:szCs w:val="24"/>
          <w:lang w:val="en-US" w:eastAsia="zh-CN" w:bidi="ar"/>
        </w:rPr>
        <w:t>11.自身消毒：洗消机具有自身消毒功能，对内镜清洗、消毒、漂洗阶段所使用的洗消机的所有腔体、管道和水槽进行消毒。</w:t>
      </w:r>
    </w:p>
    <w:p w14:paraId="1595D20B">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000000"/>
          <w:kern w:val="2"/>
          <w:sz w:val="24"/>
          <w:szCs w:val="24"/>
        </w:rPr>
      </w:pPr>
      <w:r>
        <w:rPr>
          <w:rFonts w:hint="eastAsia" w:ascii="宋体" w:hAnsi="宋体" w:eastAsia="宋体" w:cs="宋体"/>
          <w:bCs/>
          <w:color w:val="000000"/>
          <w:kern w:val="2"/>
          <w:sz w:val="24"/>
          <w:szCs w:val="24"/>
          <w:lang w:val="en-US" w:eastAsia="zh-CN" w:bidi="ar"/>
        </w:rPr>
        <w:t>12.具备可视化自动玻璃窗口，具备脚踏开关设计。</w:t>
      </w:r>
    </w:p>
    <w:p w14:paraId="2914BB71">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strike/>
          <w:dstrike w:val="0"/>
          <w:color w:val="000000"/>
          <w:kern w:val="2"/>
          <w:sz w:val="24"/>
          <w:szCs w:val="24"/>
        </w:rPr>
      </w:pPr>
      <w:r>
        <w:rPr>
          <w:rFonts w:hint="eastAsia" w:ascii="宋体" w:hAnsi="宋体" w:eastAsia="宋体" w:cs="宋体"/>
          <w:bCs/>
          <w:color w:val="000000"/>
          <w:kern w:val="2"/>
          <w:sz w:val="24"/>
          <w:szCs w:val="24"/>
          <w:lang w:val="en-US" w:eastAsia="zh-CN" w:bidi="ar"/>
        </w:rPr>
        <w:t>13.全封闭结构：内镜洗消槽采用全封闭结构，自动玻璃门闭合后会压合密封胶条</w:t>
      </w:r>
    </w:p>
    <w:p w14:paraId="37412437">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FF0000"/>
          <w:kern w:val="2"/>
          <w:sz w:val="24"/>
          <w:szCs w:val="24"/>
        </w:rPr>
      </w:pPr>
      <w:r>
        <w:rPr>
          <w:rFonts w:hint="eastAsia" w:ascii="宋体" w:hAnsi="宋体" w:eastAsia="宋体" w:cs="宋体"/>
          <w:bCs/>
          <w:color w:val="000000"/>
          <w:kern w:val="2"/>
          <w:sz w:val="24"/>
          <w:szCs w:val="24"/>
          <w:lang w:val="en-US" w:eastAsia="zh-CN" w:bidi="ar"/>
        </w:rPr>
        <w:t>14.水槽内部采用通用设计，针对不同内镜，可自由添加7到10升的清洗液和消毒液，确保不同厂家的内镜均可以实现全浸泡清洗消毒。</w:t>
      </w:r>
    </w:p>
    <w:p w14:paraId="032F1D75">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000000"/>
          <w:kern w:val="2"/>
          <w:sz w:val="24"/>
          <w:szCs w:val="24"/>
        </w:rPr>
      </w:pPr>
      <w:r>
        <w:rPr>
          <w:rFonts w:hint="eastAsia" w:ascii="宋体" w:hAnsi="宋体" w:eastAsia="宋体" w:cs="宋体"/>
          <w:bCs/>
          <w:color w:val="000000"/>
          <w:kern w:val="2"/>
          <w:sz w:val="24"/>
          <w:szCs w:val="24"/>
          <w:lang w:val="en-US" w:eastAsia="zh-CN" w:bidi="ar"/>
        </w:rPr>
        <w:t>15.旋转喷淋设计：设备设计有旋转式进水喷淋装置，可以全方位对内镜外表面进行消毒、冲洗、吹干。</w:t>
      </w:r>
    </w:p>
    <w:p w14:paraId="3BBC18FE">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strike/>
          <w:dstrike w:val="0"/>
          <w:color w:val="000000"/>
          <w:kern w:val="2"/>
          <w:sz w:val="24"/>
          <w:szCs w:val="24"/>
        </w:rPr>
      </w:pPr>
      <w:r>
        <w:rPr>
          <w:rFonts w:hint="eastAsia" w:ascii="宋体" w:hAnsi="宋体" w:eastAsia="宋体" w:cs="宋体"/>
          <w:bCs/>
          <w:color w:val="000000"/>
          <w:kern w:val="2"/>
          <w:sz w:val="24"/>
          <w:szCs w:val="24"/>
          <w:lang w:val="en-US" w:eastAsia="zh-CN" w:bidi="ar"/>
        </w:rPr>
        <w:t>16.多样化循环方式：根据不同的清洗需求，可选择不同清洗消毒模式</w:t>
      </w:r>
    </w:p>
    <w:p w14:paraId="5EFA5D6D">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000000"/>
          <w:kern w:val="2"/>
          <w:sz w:val="24"/>
          <w:szCs w:val="24"/>
        </w:rPr>
      </w:pPr>
      <w:r>
        <w:rPr>
          <w:rFonts w:hint="eastAsia" w:ascii="宋体" w:hAnsi="宋体" w:eastAsia="宋体" w:cs="宋体"/>
          <w:bCs/>
          <w:color w:val="000000"/>
          <w:kern w:val="2"/>
          <w:sz w:val="24"/>
          <w:szCs w:val="24"/>
          <w:lang w:val="en-US" w:eastAsia="zh-CN" w:bidi="ar"/>
        </w:rPr>
        <w:t>17.全过程自动监测：具备全过程故障报警功能并提示解决方法，智能预警，对不符合标准的操作及时干预。</w:t>
      </w:r>
    </w:p>
    <w:p w14:paraId="2DA2DBD8">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strike/>
          <w:dstrike w:val="0"/>
          <w:color w:val="000000"/>
          <w:kern w:val="2"/>
          <w:sz w:val="24"/>
          <w:szCs w:val="24"/>
        </w:rPr>
      </w:pPr>
      <w:r>
        <w:rPr>
          <w:rFonts w:hint="eastAsia" w:ascii="宋体" w:hAnsi="宋体" w:eastAsia="宋体" w:cs="宋体"/>
          <w:bCs/>
          <w:color w:val="000000"/>
          <w:kern w:val="2"/>
          <w:sz w:val="24"/>
          <w:szCs w:val="24"/>
          <w:lang w:val="en-US" w:eastAsia="zh-CN" w:bidi="ar"/>
        </w:rPr>
        <w:t>18.安全可靠：采用高效过滤系统的自身消毒程序</w:t>
      </w:r>
    </w:p>
    <w:p w14:paraId="6B0DE8BE">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color w:val="000000"/>
          <w:kern w:val="2"/>
          <w:sz w:val="24"/>
          <w:szCs w:val="24"/>
        </w:rPr>
      </w:pPr>
      <w:r>
        <w:rPr>
          <w:rFonts w:hint="eastAsia" w:ascii="宋体" w:hAnsi="宋体" w:eastAsia="宋体" w:cs="宋体"/>
          <w:bCs/>
          <w:color w:val="000000"/>
          <w:kern w:val="2"/>
          <w:sz w:val="24"/>
          <w:szCs w:val="24"/>
          <w:lang w:val="en-US" w:eastAsia="zh-CN" w:bidi="ar"/>
        </w:rPr>
        <w:t>★19.信息追溯系统：基于RFID物联网系统，对内镜清洗高效管理，清洗人员、清洗时间登记和记录，36个月清洗记录存储时间，便于内镜清洗的流程的回溯和追溯，负责和科室现用的追溯系统匹配，完成系统对接，费用包含在参选总价中。</w:t>
      </w:r>
    </w:p>
    <w:p w14:paraId="32C2C938">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C05123"/>
    <w:rsid w:val="79C051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customStyle="1" w:styleId="5">
    <w:name w:val="D&amp;L"/>
    <w:basedOn w:val="2"/>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6">
    <w:name w:val="xl31"/>
    <w:basedOn w:val="1"/>
    <w:autoRedefine/>
    <w:qFormat/>
    <w:uiPriority w:val="0"/>
    <w:pPr>
      <w:widowControl/>
      <w:spacing w:before="100" w:beforeAutospacing="1" w:after="100" w:afterAutospacing="1"/>
      <w:jc w:val="center"/>
    </w:pPr>
    <w:rPr>
      <w:b/>
      <w:bCs/>
      <w:kern w:val="0"/>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2026-09-08T12:28:00Z</dcterms:created>
  <dc:creator>省招-wxy</dc:creator>
  <cp:lastModifiedBy>省招-wxy</cp:lastModifiedBy>
  <dcterms:modified xsi:type="dcterms:W3CDTF">2026-09-08T12:28:28Z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4A76E18CBE224B92B113FF176BE044F4_11</vt:lpwstr>
  </property>
  <property fmtid="{D5CDD505-2E9C-101B-9397-08002B2CF9AE}" pid="4" name="KSOTemplateDocerSaveRecord">
    <vt:lpwstr>eyJoZGlkIjoiZWUyOTQ1NDM2Zjc0YjU0MjZhMWI3YTAyMzgxNTM2MDQiLCJ1c2VySWQiOiI0NjEyMTI0ODEifQ==</vt:lpwstr>
  </property>
</Properties>
</file>