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08910">
      <w:pPr>
        <w:pStyle w:val="2"/>
        <w:pageBreakBefore/>
        <w:spacing w:line="360" w:lineRule="auto"/>
        <w:ind w:left="0"/>
        <w:contextualSpacing/>
        <w:jc w:val="center"/>
        <w:rPr>
          <w:rFonts w:ascii="宋体" w:hAnsi="宋体" w:eastAsia="宋体" w:cs="宋体"/>
          <w:color w:val="000000" w:themeColor="text1"/>
          <w:sz w:val="36"/>
          <w:szCs w:val="36"/>
          <w:lang w:eastAsia="zh-CN"/>
          <w14:textFill>
            <w14:solidFill>
              <w14:schemeClr w14:val="tx1"/>
            </w14:solidFill>
          </w14:textFill>
        </w:rPr>
      </w:pPr>
      <w:bookmarkStart w:id="3" w:name="_GoBack"/>
      <w:bookmarkEnd w:id="3"/>
      <w:bookmarkStart w:id="0" w:name="_Toc31174"/>
      <w:bookmarkStart w:id="1" w:name="_Toc20303"/>
      <w:r>
        <w:rPr>
          <w:rFonts w:hint="eastAsia" w:ascii="宋体" w:hAnsi="宋体" w:eastAsia="宋体" w:cs="宋体"/>
          <w:color w:val="000000" w:themeColor="text1"/>
          <w:sz w:val="36"/>
          <w:szCs w:val="36"/>
          <w:lang w:val="en-US" w:eastAsia="zh-CN"/>
          <w14:textFill>
            <w14:solidFill>
              <w14:schemeClr w14:val="tx1"/>
            </w14:solidFill>
          </w14:textFill>
        </w:rPr>
        <w:t>附件</w:t>
      </w:r>
      <w:r>
        <w:rPr>
          <w:rFonts w:hint="eastAsia" w:ascii="宋体" w:hAnsi="宋体" w:eastAsia="宋体" w:cs="宋体"/>
          <w:color w:val="000000" w:themeColor="text1"/>
          <w:sz w:val="36"/>
          <w:szCs w:val="36"/>
          <w:lang w:eastAsia="zh-CN"/>
          <w14:textFill>
            <w14:solidFill>
              <w14:schemeClr w14:val="tx1"/>
            </w14:solidFill>
          </w14:textFill>
        </w:rPr>
        <w:t xml:space="preserve">  供货要求</w:t>
      </w:r>
      <w:bookmarkEnd w:id="0"/>
      <w:bookmarkEnd w:id="1"/>
    </w:p>
    <w:p w14:paraId="6C4BAC3D">
      <w:pPr>
        <w:spacing w:line="360" w:lineRule="auto"/>
        <w:contextualSpacing/>
        <w:outlineLvl w:val="1"/>
        <w:rPr>
          <w:b/>
          <w:color w:val="FF0000"/>
          <w:sz w:val="24"/>
          <w:szCs w:val="24"/>
          <w:lang w:eastAsia="zh-CN"/>
        </w:rPr>
      </w:pPr>
      <w:bookmarkStart w:id="2" w:name="_Toc174498797"/>
      <w:r>
        <w:rPr>
          <w:rFonts w:hint="eastAsia"/>
          <w:b/>
          <w:bCs/>
          <w:sz w:val="24"/>
          <w:szCs w:val="24"/>
          <w:lang w:eastAsia="zh-CN"/>
        </w:rPr>
        <w:t>一</w:t>
      </w:r>
      <w:r>
        <w:rPr>
          <w:rFonts w:hint="eastAsia"/>
          <w:b/>
          <w:sz w:val="24"/>
          <w:szCs w:val="24"/>
          <w:lang w:eastAsia="zh-CN"/>
        </w:rPr>
        <w:t>、要求：以下条款如投标人参与投标，视为投标人自动响应。</w:t>
      </w:r>
    </w:p>
    <w:p w14:paraId="778B80B3">
      <w:pPr>
        <w:spacing w:line="360" w:lineRule="auto"/>
        <w:contextualSpacing/>
        <w:rPr>
          <w:b/>
          <w:color w:val="000000"/>
          <w:sz w:val="24"/>
          <w:lang w:eastAsia="zh-CN"/>
        </w:rPr>
      </w:pPr>
      <w:r>
        <w:rPr>
          <w:rFonts w:hint="eastAsia"/>
          <w:b/>
          <w:color w:val="000000"/>
          <w:sz w:val="24"/>
          <w:lang w:eastAsia="zh-CN"/>
        </w:rPr>
        <w:t>1.</w:t>
      </w:r>
      <w:r>
        <w:rPr>
          <w:rFonts w:hint="eastAsia"/>
          <w:b/>
          <w:sz w:val="24"/>
          <w:lang w:eastAsia="zh-CN"/>
        </w:rPr>
        <w:t>按照投标方案提供配置清单，标明品牌、型号、产地、数量等并分项报价</w:t>
      </w:r>
      <w:r>
        <w:rPr>
          <w:rFonts w:hint="eastAsia"/>
          <w:b/>
          <w:color w:val="000000"/>
          <w:sz w:val="24"/>
          <w:lang w:eastAsia="zh-CN"/>
        </w:rPr>
        <w:t>；</w:t>
      </w:r>
    </w:p>
    <w:p w14:paraId="483CCD4F">
      <w:pPr>
        <w:spacing w:line="360" w:lineRule="auto"/>
        <w:contextualSpacing/>
        <w:rPr>
          <w:b/>
          <w:sz w:val="24"/>
          <w:lang w:eastAsia="zh-CN"/>
        </w:rPr>
      </w:pPr>
      <w:r>
        <w:rPr>
          <w:rFonts w:hint="eastAsia"/>
          <w:b/>
          <w:color w:val="000000"/>
          <w:sz w:val="24"/>
          <w:lang w:eastAsia="zh-CN"/>
        </w:rPr>
        <w:t>2.</w:t>
      </w:r>
      <w:r>
        <w:rPr>
          <w:rFonts w:hint="eastAsia"/>
          <w:b/>
          <w:sz w:val="24"/>
          <w:lang w:eastAsia="zh-CN"/>
        </w:rPr>
        <w:t>提供产品日常使用的所有配套专用耗材清单，确保产品正常使用。</w:t>
      </w:r>
    </w:p>
    <w:p w14:paraId="05DC5767">
      <w:pPr>
        <w:spacing w:line="360" w:lineRule="auto"/>
        <w:contextualSpacing/>
        <w:rPr>
          <w:b/>
          <w:color w:val="000000"/>
          <w:sz w:val="24"/>
          <w:lang w:eastAsia="zh-CN"/>
        </w:rPr>
      </w:pPr>
      <w:r>
        <w:rPr>
          <w:rFonts w:hint="eastAsia"/>
          <w:b/>
          <w:sz w:val="24"/>
          <w:lang w:eastAsia="zh-CN"/>
        </w:rPr>
        <w:t>须标明品牌、型号、产地、规格、最小供货单位等并分项报价，报价不计入投标总价。在中标后如发现有漏报、瞒报的配套专用耗材，一律视为已包含在投标总价内，不得以赠送形式向采购人提供产品及服务。耗材供应期按照医院相关耗材管理规定执行</w:t>
      </w:r>
      <w:r>
        <w:rPr>
          <w:rFonts w:hint="eastAsia"/>
          <w:b/>
          <w:color w:val="000000"/>
          <w:sz w:val="24"/>
          <w:lang w:eastAsia="zh-CN"/>
        </w:rPr>
        <w:t>；</w:t>
      </w:r>
    </w:p>
    <w:p w14:paraId="72C465F1">
      <w:pPr>
        <w:spacing w:line="360" w:lineRule="auto"/>
        <w:contextualSpacing/>
        <w:rPr>
          <w:b/>
          <w:color w:val="000000"/>
          <w:sz w:val="24"/>
          <w:lang w:eastAsia="zh-CN"/>
        </w:rPr>
      </w:pPr>
      <w:r>
        <w:rPr>
          <w:rFonts w:hint="eastAsia"/>
          <w:b/>
          <w:color w:val="000000"/>
          <w:sz w:val="24"/>
          <w:lang w:eastAsia="zh-CN"/>
        </w:rPr>
        <w:t>3.</w:t>
      </w:r>
      <w:r>
        <w:rPr>
          <w:rFonts w:hint="eastAsia"/>
          <w:b/>
          <w:sz w:val="24"/>
          <w:lang w:eastAsia="zh-CN"/>
        </w:rPr>
        <w:t>说明是否需要其他设备配套使用，请列出配套设备名称、数量等，如未说明一律视为已包含在投标总价内</w:t>
      </w:r>
      <w:r>
        <w:rPr>
          <w:rFonts w:hint="eastAsia"/>
          <w:b/>
          <w:color w:val="000000"/>
          <w:sz w:val="24"/>
          <w:lang w:eastAsia="zh-CN"/>
        </w:rPr>
        <w:t>；</w:t>
      </w:r>
    </w:p>
    <w:p w14:paraId="2F035A9C">
      <w:pPr>
        <w:spacing w:line="360" w:lineRule="auto"/>
        <w:contextualSpacing/>
        <w:rPr>
          <w:b/>
          <w:color w:val="000000"/>
          <w:sz w:val="24"/>
          <w:lang w:eastAsia="zh-CN"/>
        </w:rPr>
      </w:pPr>
      <w:r>
        <w:rPr>
          <w:rFonts w:hint="eastAsia"/>
          <w:b/>
          <w:color w:val="000000"/>
          <w:sz w:val="24"/>
          <w:lang w:eastAsia="zh-CN"/>
        </w:rPr>
        <w:t>4.</w:t>
      </w:r>
      <w:r>
        <w:rPr>
          <w:rFonts w:hint="eastAsia"/>
          <w:b/>
          <w:sz w:val="24"/>
          <w:lang w:eastAsia="zh-CN"/>
        </w:rPr>
        <w:t>投标公司及产品须资质、证照齐全且在有效期内，如确无注册证的产品，须提供官方说明材料</w:t>
      </w:r>
      <w:r>
        <w:rPr>
          <w:rFonts w:hint="eastAsia"/>
          <w:b/>
          <w:color w:val="000000"/>
          <w:sz w:val="24"/>
          <w:lang w:eastAsia="zh-CN"/>
        </w:rPr>
        <w:t>；</w:t>
      </w:r>
    </w:p>
    <w:p w14:paraId="6252E066">
      <w:pPr>
        <w:spacing w:line="360" w:lineRule="auto"/>
        <w:contextualSpacing/>
        <w:rPr>
          <w:b/>
          <w:color w:val="000000"/>
          <w:sz w:val="24"/>
          <w:lang w:eastAsia="zh-CN"/>
        </w:rPr>
      </w:pPr>
      <w:r>
        <w:rPr>
          <w:rFonts w:hint="eastAsia"/>
          <w:b/>
          <w:color w:val="000000"/>
          <w:sz w:val="24"/>
          <w:lang w:eastAsia="zh-CN"/>
        </w:rPr>
        <w:t>5.若属安徽省医用耗材政策管理范围内产品，需满足相关要求（如“集采”、“两票制”等）；若为集采管理范围内产品，需在集采目录中，同类产品原则上选择限价产品，同类无替代选择备案产品，否则，</w:t>
      </w:r>
      <w:r>
        <w:rPr>
          <w:rFonts w:hint="eastAsia"/>
          <w:b/>
          <w:color w:val="000000"/>
          <w:sz w:val="24"/>
          <w:lang w:val="en-US" w:eastAsia="zh-CN"/>
        </w:rPr>
        <w:t>评标委员会有权</w:t>
      </w:r>
      <w:r>
        <w:rPr>
          <w:rFonts w:hint="eastAsia"/>
          <w:b/>
          <w:color w:val="000000"/>
          <w:sz w:val="24"/>
          <w:lang w:eastAsia="zh-CN"/>
        </w:rPr>
        <w:t>作无效标处理。</w:t>
      </w:r>
    </w:p>
    <w:p w14:paraId="3E7866FF">
      <w:pPr>
        <w:spacing w:line="360" w:lineRule="auto"/>
        <w:contextualSpacing/>
        <w:rPr>
          <w:b/>
          <w:color w:val="000000"/>
          <w:sz w:val="24"/>
          <w:lang w:eastAsia="zh-CN"/>
        </w:rPr>
      </w:pPr>
      <w:r>
        <w:rPr>
          <w:rFonts w:hint="eastAsia"/>
          <w:b/>
          <w:color w:val="000000"/>
          <w:sz w:val="24"/>
          <w:lang w:eastAsia="zh-CN"/>
        </w:rPr>
        <w:t>6.</w:t>
      </w:r>
      <w:r>
        <w:rPr>
          <w:rFonts w:hint="eastAsia"/>
          <w:b/>
          <w:sz w:val="24"/>
          <w:lang w:eastAsia="zh-CN"/>
        </w:rPr>
        <w:t>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b/>
          <w:color w:val="000000"/>
          <w:sz w:val="24"/>
          <w:lang w:eastAsia="zh-CN"/>
        </w:rPr>
        <w:t>；</w:t>
      </w:r>
    </w:p>
    <w:p w14:paraId="3EF3FB1D">
      <w:pPr>
        <w:spacing w:line="360" w:lineRule="auto"/>
        <w:contextualSpacing/>
        <w:rPr>
          <w:b/>
          <w:color w:val="000000"/>
          <w:sz w:val="24"/>
          <w:lang w:eastAsia="zh-CN"/>
        </w:rPr>
      </w:pPr>
      <w:r>
        <w:rPr>
          <w:rFonts w:hint="eastAsia"/>
          <w:b/>
          <w:color w:val="000000"/>
          <w:sz w:val="24"/>
          <w:lang w:eastAsia="zh-CN"/>
        </w:rPr>
        <w:t>7.</w:t>
      </w:r>
      <w:r>
        <w:rPr>
          <w:rFonts w:hint="eastAsia"/>
          <w:b/>
          <w:sz w:val="24"/>
          <w:lang w:eastAsia="zh-CN"/>
        </w:rPr>
        <w:t>根据医保政策，可单独收费医用耗材请提供安徽医保局下发的27位医保编码，并按编码进行报价</w:t>
      </w:r>
      <w:r>
        <w:rPr>
          <w:rFonts w:hint="eastAsia"/>
          <w:b/>
          <w:color w:val="000000"/>
          <w:sz w:val="24"/>
          <w:lang w:eastAsia="zh-CN"/>
        </w:rPr>
        <w:t>；</w:t>
      </w:r>
    </w:p>
    <w:p w14:paraId="31C58CB9">
      <w:pPr>
        <w:spacing w:line="360" w:lineRule="auto"/>
        <w:contextualSpacing/>
        <w:rPr>
          <w:b/>
          <w:color w:val="000000"/>
          <w:sz w:val="24"/>
          <w:lang w:eastAsia="zh-CN"/>
        </w:rPr>
      </w:pPr>
      <w:r>
        <w:rPr>
          <w:rFonts w:hint="eastAsia"/>
          <w:b/>
          <w:color w:val="000000"/>
          <w:sz w:val="24"/>
          <w:lang w:eastAsia="zh-CN"/>
        </w:rPr>
        <w:t>8.</w:t>
      </w:r>
      <w:r>
        <w:rPr>
          <w:rFonts w:hint="eastAsia"/>
          <w:b/>
          <w:sz w:val="24"/>
          <w:lang w:eastAsia="zh-CN"/>
        </w:rPr>
        <w:t>需长期供应的医用耗材及试剂产品，中标后合同期内不得变更配送公司，否则取消该品牌成交资格。投标时生产厂家须出具长期授权函，并提供合同期内不变更配送公司的承诺函，如不提供的评审委员会有权按无效投标处理</w:t>
      </w:r>
      <w:r>
        <w:rPr>
          <w:rFonts w:hint="eastAsia"/>
          <w:b/>
          <w:color w:val="000000"/>
          <w:sz w:val="24"/>
          <w:lang w:eastAsia="zh-CN"/>
        </w:rPr>
        <w:t>；</w:t>
      </w:r>
    </w:p>
    <w:p w14:paraId="24F4EC53">
      <w:pPr>
        <w:spacing w:line="360" w:lineRule="auto"/>
        <w:contextualSpacing/>
        <w:rPr>
          <w:b/>
          <w:color w:val="000000"/>
          <w:sz w:val="24"/>
          <w:lang w:eastAsia="zh-CN"/>
        </w:rPr>
      </w:pPr>
      <w:r>
        <w:rPr>
          <w:rFonts w:hint="eastAsia"/>
          <w:b/>
          <w:color w:val="000000"/>
          <w:sz w:val="24"/>
          <w:lang w:eastAsia="zh-CN"/>
        </w:rPr>
        <w:t>9.</w:t>
      </w:r>
      <w:r>
        <w:rPr>
          <w:rFonts w:hint="eastAsia"/>
          <w:b/>
          <w:sz w:val="24"/>
          <w:lang w:eastAsia="zh-CN"/>
        </w:rPr>
        <w:t>医用耗材及配套使用的工具按医院规定需要消毒的，其相关费用由投标人自行承担</w:t>
      </w:r>
      <w:r>
        <w:rPr>
          <w:rFonts w:hint="eastAsia"/>
          <w:b/>
          <w:color w:val="000000"/>
          <w:sz w:val="24"/>
          <w:lang w:eastAsia="zh-CN"/>
        </w:rPr>
        <w:t>；</w:t>
      </w:r>
    </w:p>
    <w:p w14:paraId="3410FAAC">
      <w:pPr>
        <w:spacing w:line="360" w:lineRule="auto"/>
        <w:contextualSpacing/>
        <w:rPr>
          <w:b/>
          <w:color w:val="000000"/>
          <w:sz w:val="24"/>
          <w:lang w:eastAsia="zh-CN"/>
        </w:rPr>
      </w:pPr>
      <w:r>
        <w:rPr>
          <w:rFonts w:hint="eastAsia"/>
          <w:b/>
          <w:color w:val="000000"/>
          <w:sz w:val="24"/>
          <w:lang w:eastAsia="zh-CN"/>
        </w:rPr>
        <w:t>10.</w:t>
      </w:r>
      <w:r>
        <w:rPr>
          <w:rFonts w:hint="eastAsia"/>
          <w:b/>
          <w:sz w:val="24"/>
          <w:lang w:eastAsia="zh-CN"/>
        </w:rPr>
        <w:t>检验试剂项目和需配套检验试剂使用的检验设备项目，均须免费提供同品牌或第三方符合溯源要求的质控品</w:t>
      </w:r>
      <w:r>
        <w:rPr>
          <w:rFonts w:hint="eastAsia"/>
          <w:b/>
          <w:color w:val="000000"/>
          <w:sz w:val="24"/>
          <w:lang w:eastAsia="zh-CN"/>
        </w:rPr>
        <w:t>；</w:t>
      </w:r>
    </w:p>
    <w:p w14:paraId="7990CD46">
      <w:pPr>
        <w:spacing w:line="360" w:lineRule="auto"/>
        <w:contextualSpacing/>
        <w:rPr>
          <w:b/>
          <w:color w:val="000000"/>
          <w:sz w:val="24"/>
          <w:lang w:eastAsia="zh-CN"/>
        </w:rPr>
      </w:pPr>
      <w:r>
        <w:rPr>
          <w:rFonts w:hint="eastAsia"/>
          <w:b/>
          <w:color w:val="000000"/>
          <w:sz w:val="24"/>
          <w:lang w:eastAsia="zh-CN"/>
        </w:rPr>
        <w:t>11.</w:t>
      </w:r>
      <w:r>
        <w:rPr>
          <w:rFonts w:hint="eastAsia"/>
          <w:b/>
          <w:sz w:val="24"/>
          <w:lang w:eastAsia="zh-CN"/>
        </w:rPr>
        <w:t>投标人需无条件接受因国家及安徽省相关政策（如医用耗材带量采购等）对招标结果带来的变动，投标人不得提出异议</w:t>
      </w:r>
      <w:r>
        <w:rPr>
          <w:rFonts w:hint="eastAsia"/>
          <w:b/>
          <w:color w:val="000000"/>
          <w:sz w:val="24"/>
          <w:lang w:eastAsia="zh-CN"/>
        </w:rPr>
        <w:t>；</w:t>
      </w:r>
    </w:p>
    <w:p w14:paraId="029A8F5D">
      <w:pPr>
        <w:spacing w:line="360" w:lineRule="auto"/>
        <w:contextualSpacing/>
        <w:rPr>
          <w:b/>
          <w:color w:val="000000"/>
          <w:sz w:val="24"/>
          <w:lang w:eastAsia="zh-CN"/>
        </w:rPr>
      </w:pPr>
      <w:r>
        <w:rPr>
          <w:rFonts w:hint="eastAsia"/>
          <w:b/>
          <w:color w:val="000000"/>
          <w:sz w:val="24"/>
          <w:lang w:eastAsia="zh-CN"/>
        </w:rPr>
        <w:t>12.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199BCF04">
      <w:pPr>
        <w:spacing w:line="360" w:lineRule="auto"/>
        <w:rPr>
          <w:b/>
          <w:bCs/>
          <w:sz w:val="24"/>
          <w:szCs w:val="24"/>
          <w:lang w:eastAsia="zh-CN"/>
        </w:rPr>
      </w:pPr>
      <w:r>
        <w:rPr>
          <w:rFonts w:hint="eastAsia"/>
          <w:b/>
          <w:color w:val="000000"/>
          <w:sz w:val="24"/>
          <w:lang w:eastAsia="zh-CN"/>
        </w:rPr>
        <w:t>13.检验项目，如后期收费价格下调，试剂供货价格须按中标价格的费率同比例下浮。</w:t>
      </w:r>
      <w:r>
        <w:rPr>
          <w:rFonts w:hint="eastAsia"/>
          <w:b/>
          <w:bCs/>
          <w:sz w:val="24"/>
          <w:szCs w:val="24"/>
          <w:lang w:eastAsia="zh-CN"/>
        </w:rPr>
        <w:br w:type="page"/>
      </w:r>
    </w:p>
    <w:p w14:paraId="3FBA8E22">
      <w:pPr>
        <w:spacing w:line="360" w:lineRule="auto"/>
        <w:contextualSpacing/>
        <w:outlineLvl w:val="1"/>
        <w:rPr>
          <w:b/>
          <w:bCs/>
          <w:sz w:val="24"/>
          <w:szCs w:val="24"/>
          <w:lang w:eastAsia="zh-CN"/>
        </w:rPr>
      </w:pPr>
      <w:r>
        <w:rPr>
          <w:rFonts w:hint="eastAsia"/>
          <w:b/>
          <w:bCs/>
          <w:sz w:val="24"/>
          <w:szCs w:val="24"/>
          <w:lang w:eastAsia="zh-CN"/>
        </w:rPr>
        <w:t>二、技术规格及要求</w:t>
      </w:r>
    </w:p>
    <w:p w14:paraId="4FC46235">
      <w:pPr>
        <w:spacing w:line="360" w:lineRule="auto"/>
        <w:contextualSpacing/>
        <w:rPr>
          <w:rFonts w:hint="eastAsia"/>
          <w:b/>
          <w:bCs/>
          <w:color w:val="000000" w:themeColor="text1"/>
          <w:sz w:val="24"/>
          <w:szCs w:val="24"/>
          <w:lang w:val="en-US" w:eastAsia="zh-CN"/>
          <w14:textFill>
            <w14:solidFill>
              <w14:schemeClr w14:val="tx1"/>
            </w14:solidFill>
          </w14:textFill>
        </w:rPr>
      </w:pPr>
      <w:r>
        <w:rPr>
          <w:rFonts w:hint="eastAsia"/>
          <w:b/>
          <w:bCs/>
          <w:sz w:val="24"/>
          <w:szCs w:val="24"/>
          <w:lang w:eastAsia="zh-CN"/>
        </w:rPr>
        <w:t>（一）货物需求一览表</w:t>
      </w:r>
      <w:bookmarkEnd w:id="2"/>
    </w:p>
    <w:tbl>
      <w:tblPr>
        <w:tblStyle w:val="4"/>
        <w:tblW w:w="5007"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19"/>
        <w:gridCol w:w="755"/>
        <w:gridCol w:w="2788"/>
        <w:gridCol w:w="1448"/>
        <w:gridCol w:w="1489"/>
        <w:gridCol w:w="1335"/>
      </w:tblGrid>
      <w:tr w14:paraId="1AFDFC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1" w:hRule="atLeast"/>
          <w:jc w:val="center"/>
        </w:trPr>
        <w:tc>
          <w:tcPr>
            <w:tcW w:w="421" w:type="pct"/>
            <w:tcBorders>
              <w:tl2br w:val="nil"/>
              <w:tr2bl w:val="nil"/>
            </w:tcBorders>
            <w:shd w:val="clear" w:color="auto" w:fill="auto"/>
            <w:vAlign w:val="center"/>
          </w:tcPr>
          <w:p w14:paraId="55A67068">
            <w:pPr>
              <w:widowControl/>
              <w:jc w:val="center"/>
              <w:textAlignment w:val="center"/>
              <w:rPr>
                <w:color w:val="000000"/>
                <w:sz w:val="24"/>
                <w:szCs w:val="24"/>
              </w:rPr>
            </w:pPr>
            <w:r>
              <w:rPr>
                <w:rFonts w:hint="eastAsia"/>
                <w:color w:val="000000"/>
                <w:sz w:val="24"/>
                <w:szCs w:val="24"/>
                <w:lang w:eastAsia="zh-CN" w:bidi="ar"/>
              </w:rPr>
              <w:t>品目号</w:t>
            </w:r>
          </w:p>
        </w:tc>
        <w:tc>
          <w:tcPr>
            <w:tcW w:w="442" w:type="pct"/>
            <w:tcBorders>
              <w:tl2br w:val="nil"/>
              <w:tr2bl w:val="nil"/>
            </w:tcBorders>
            <w:vAlign w:val="center"/>
          </w:tcPr>
          <w:p w14:paraId="389167CC">
            <w:pPr>
              <w:widowControl/>
              <w:jc w:val="center"/>
              <w:textAlignment w:val="center"/>
              <w:rPr>
                <w:color w:val="000000"/>
                <w:sz w:val="24"/>
                <w:szCs w:val="24"/>
                <w:lang w:eastAsia="zh-CN" w:bidi="ar"/>
              </w:rPr>
            </w:pPr>
            <w:r>
              <w:rPr>
                <w:rFonts w:hint="eastAsia"/>
                <w:color w:val="000000"/>
                <w:sz w:val="24"/>
                <w:szCs w:val="24"/>
                <w:lang w:eastAsia="zh-CN" w:bidi="ar"/>
              </w:rPr>
              <w:t>产品</w:t>
            </w:r>
          </w:p>
          <w:p w14:paraId="24C7036C">
            <w:pPr>
              <w:widowControl/>
              <w:jc w:val="center"/>
              <w:textAlignment w:val="center"/>
              <w:rPr>
                <w:color w:val="000000"/>
                <w:sz w:val="24"/>
                <w:szCs w:val="24"/>
                <w:lang w:eastAsia="zh-CN" w:bidi="ar"/>
              </w:rPr>
            </w:pPr>
            <w:r>
              <w:rPr>
                <w:rFonts w:hint="eastAsia"/>
                <w:color w:val="000000"/>
                <w:sz w:val="24"/>
                <w:szCs w:val="24"/>
                <w:lang w:eastAsia="zh-CN" w:bidi="ar"/>
              </w:rPr>
              <w:t>类型</w:t>
            </w:r>
          </w:p>
        </w:tc>
        <w:tc>
          <w:tcPr>
            <w:tcW w:w="1633" w:type="pct"/>
            <w:tcBorders>
              <w:tl2br w:val="nil"/>
              <w:tr2bl w:val="nil"/>
            </w:tcBorders>
            <w:shd w:val="clear" w:color="auto" w:fill="auto"/>
            <w:vAlign w:val="center"/>
          </w:tcPr>
          <w:p w14:paraId="616C0E75">
            <w:pPr>
              <w:widowControl/>
              <w:jc w:val="center"/>
              <w:textAlignment w:val="center"/>
              <w:rPr>
                <w:color w:val="000000"/>
                <w:sz w:val="24"/>
                <w:szCs w:val="24"/>
              </w:rPr>
            </w:pPr>
            <w:r>
              <w:rPr>
                <w:rFonts w:hint="eastAsia"/>
                <w:color w:val="000000"/>
                <w:sz w:val="24"/>
                <w:szCs w:val="24"/>
                <w:lang w:eastAsia="zh-CN" w:bidi="ar"/>
              </w:rPr>
              <w:t>类别产品</w:t>
            </w:r>
          </w:p>
        </w:tc>
        <w:tc>
          <w:tcPr>
            <w:tcW w:w="848" w:type="pct"/>
            <w:tcBorders>
              <w:tl2br w:val="nil"/>
              <w:tr2bl w:val="nil"/>
            </w:tcBorders>
            <w:shd w:val="clear" w:color="auto" w:fill="auto"/>
            <w:vAlign w:val="center"/>
          </w:tcPr>
          <w:p w14:paraId="12701128">
            <w:pPr>
              <w:widowControl/>
              <w:jc w:val="center"/>
              <w:textAlignment w:val="center"/>
              <w:rPr>
                <w:color w:val="000000"/>
                <w:sz w:val="24"/>
                <w:szCs w:val="24"/>
                <w:lang w:eastAsia="zh-CN" w:bidi="ar"/>
              </w:rPr>
            </w:pPr>
            <w:r>
              <w:rPr>
                <w:rFonts w:hint="eastAsia"/>
                <w:color w:val="000000"/>
                <w:sz w:val="24"/>
                <w:szCs w:val="24"/>
                <w:lang w:eastAsia="zh-CN" w:bidi="ar"/>
              </w:rPr>
              <w:t>供应期/</w:t>
            </w:r>
          </w:p>
          <w:p w14:paraId="48C2C14C">
            <w:pPr>
              <w:widowControl/>
              <w:jc w:val="center"/>
              <w:textAlignment w:val="center"/>
              <w:rPr>
                <w:color w:val="000000"/>
                <w:sz w:val="24"/>
                <w:szCs w:val="24"/>
              </w:rPr>
            </w:pPr>
            <w:r>
              <w:rPr>
                <w:rFonts w:hint="eastAsia"/>
                <w:color w:val="000000"/>
                <w:sz w:val="24"/>
                <w:szCs w:val="24"/>
                <w:lang w:eastAsia="zh-CN" w:bidi="ar"/>
              </w:rPr>
              <w:t>数量</w:t>
            </w:r>
          </w:p>
        </w:tc>
        <w:tc>
          <w:tcPr>
            <w:tcW w:w="872" w:type="pct"/>
            <w:tcBorders>
              <w:tl2br w:val="nil"/>
              <w:tr2bl w:val="nil"/>
            </w:tcBorders>
            <w:shd w:val="clear" w:color="auto" w:fill="auto"/>
            <w:vAlign w:val="center"/>
          </w:tcPr>
          <w:p w14:paraId="12D9BE8E">
            <w:pPr>
              <w:widowControl/>
              <w:jc w:val="center"/>
              <w:textAlignment w:val="center"/>
              <w:rPr>
                <w:bCs/>
                <w:iCs/>
                <w:sz w:val="24"/>
              </w:rPr>
            </w:pPr>
            <w:r>
              <w:rPr>
                <w:rFonts w:hint="eastAsia"/>
                <w:bCs/>
                <w:iCs/>
                <w:sz w:val="24"/>
              </w:rPr>
              <w:t>预估</w:t>
            </w:r>
          </w:p>
          <w:p w14:paraId="24951ED2">
            <w:pPr>
              <w:widowControl/>
              <w:jc w:val="center"/>
              <w:textAlignment w:val="center"/>
              <w:rPr>
                <w:color w:val="000000"/>
                <w:sz w:val="24"/>
                <w:szCs w:val="24"/>
                <w:lang w:eastAsia="zh-CN" w:bidi="ar"/>
              </w:rPr>
            </w:pPr>
            <w:r>
              <w:rPr>
                <w:rFonts w:hint="eastAsia"/>
                <w:bCs/>
                <w:iCs/>
                <w:sz w:val="24"/>
                <w:lang w:eastAsia="zh-CN"/>
              </w:rPr>
              <w:t>年</w:t>
            </w:r>
            <w:r>
              <w:rPr>
                <w:rFonts w:hint="eastAsia"/>
                <w:bCs/>
                <w:iCs/>
                <w:sz w:val="24"/>
              </w:rPr>
              <w:t>用量</w:t>
            </w:r>
          </w:p>
        </w:tc>
        <w:tc>
          <w:tcPr>
            <w:tcW w:w="782" w:type="pct"/>
            <w:tcBorders>
              <w:tl2br w:val="nil"/>
              <w:tr2bl w:val="nil"/>
            </w:tcBorders>
            <w:shd w:val="clear" w:color="auto" w:fill="auto"/>
            <w:vAlign w:val="center"/>
          </w:tcPr>
          <w:p w14:paraId="01807940">
            <w:pPr>
              <w:widowControl/>
              <w:jc w:val="center"/>
              <w:textAlignment w:val="center"/>
              <w:rPr>
                <w:color w:val="000000"/>
                <w:sz w:val="24"/>
                <w:szCs w:val="24"/>
                <w:lang w:eastAsia="zh-CN" w:bidi="ar"/>
              </w:rPr>
            </w:pPr>
            <w:r>
              <w:rPr>
                <w:rFonts w:hint="eastAsia"/>
                <w:color w:val="000000"/>
                <w:sz w:val="24"/>
                <w:szCs w:val="24"/>
                <w:lang w:eastAsia="zh-CN" w:bidi="ar"/>
              </w:rPr>
              <w:t>配套设备（如有）总投标限价</w:t>
            </w:r>
          </w:p>
        </w:tc>
      </w:tr>
      <w:tr w14:paraId="0879DC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421" w:type="pct"/>
            <w:tcBorders>
              <w:tl2br w:val="nil"/>
              <w:tr2bl w:val="nil"/>
            </w:tcBorders>
            <w:shd w:val="clear" w:color="auto" w:fill="auto"/>
            <w:vAlign w:val="center"/>
          </w:tcPr>
          <w:p w14:paraId="5B365396">
            <w:pPr>
              <w:widowControl/>
              <w:jc w:val="center"/>
              <w:textAlignment w:val="center"/>
              <w:rPr>
                <w:color w:val="000000"/>
                <w:sz w:val="24"/>
                <w:szCs w:val="24"/>
                <w:lang w:eastAsia="zh-CN" w:bidi="ar"/>
              </w:rPr>
            </w:pPr>
            <w:r>
              <w:rPr>
                <w:rFonts w:hint="eastAsia"/>
                <w:color w:val="000000"/>
                <w:sz w:val="24"/>
                <w:szCs w:val="24"/>
                <w:lang w:eastAsia="zh-CN" w:bidi="ar"/>
              </w:rPr>
              <w:t>1</w:t>
            </w:r>
          </w:p>
        </w:tc>
        <w:tc>
          <w:tcPr>
            <w:tcW w:w="755" w:type="dxa"/>
            <w:tcBorders>
              <w:tl2br w:val="nil"/>
              <w:tr2bl w:val="nil"/>
            </w:tcBorders>
            <w:vAlign w:val="center"/>
          </w:tcPr>
          <w:p w14:paraId="651A218F">
            <w:pPr>
              <w:widowControl/>
              <w:jc w:val="center"/>
              <w:textAlignment w:val="center"/>
              <w:rPr>
                <w:color w:val="000000"/>
                <w:sz w:val="24"/>
                <w:szCs w:val="24"/>
                <w:lang w:eastAsia="zh-CN" w:bidi="ar"/>
              </w:rPr>
            </w:pPr>
            <w:r>
              <w:rPr>
                <w:rFonts w:hint="eastAsia"/>
                <w:color w:val="000000"/>
                <w:sz w:val="24"/>
                <w:szCs w:val="24"/>
                <w:lang w:eastAsia="zh-CN" w:bidi="ar"/>
              </w:rPr>
              <w:t>耗材</w:t>
            </w:r>
          </w:p>
        </w:tc>
        <w:tc>
          <w:tcPr>
            <w:tcW w:w="2788" w:type="dxa"/>
            <w:tcBorders>
              <w:tl2br w:val="nil"/>
              <w:tr2bl w:val="nil"/>
            </w:tcBorders>
            <w:shd w:val="clear" w:color="auto" w:fill="auto"/>
            <w:vAlign w:val="center"/>
          </w:tcPr>
          <w:p w14:paraId="600AEBD5">
            <w:pPr>
              <w:widowControl/>
              <w:jc w:val="center"/>
              <w:textAlignment w:val="center"/>
              <w:rPr>
                <w:color w:val="000000"/>
                <w:sz w:val="24"/>
                <w:szCs w:val="24"/>
                <w:highlight w:val="none"/>
                <w:lang w:eastAsia="zh-CN" w:bidi="ar"/>
              </w:rPr>
            </w:pPr>
            <w:r>
              <w:rPr>
                <w:rFonts w:hint="eastAsia"/>
                <w:color w:val="000000"/>
                <w:sz w:val="24"/>
                <w:szCs w:val="24"/>
                <w:highlight w:val="none"/>
                <w:lang w:eastAsia="zh-CN" w:bidi="ar"/>
              </w:rPr>
              <w:t>乳房假体</w:t>
            </w:r>
          </w:p>
        </w:tc>
        <w:tc>
          <w:tcPr>
            <w:tcW w:w="1448" w:type="dxa"/>
            <w:tcBorders>
              <w:tl2br w:val="nil"/>
              <w:tr2bl w:val="nil"/>
            </w:tcBorders>
            <w:shd w:val="clear" w:color="auto" w:fill="auto"/>
            <w:vAlign w:val="center"/>
          </w:tcPr>
          <w:p w14:paraId="0B255D2D">
            <w:pPr>
              <w:widowControl/>
              <w:jc w:val="center"/>
              <w:textAlignment w:val="center"/>
              <w:rPr>
                <w:color w:val="000000"/>
                <w:sz w:val="24"/>
                <w:szCs w:val="24"/>
                <w:highlight w:val="none"/>
                <w:lang w:eastAsia="zh-CN" w:bidi="ar"/>
              </w:rPr>
            </w:pPr>
            <w:r>
              <w:rPr>
                <w:rFonts w:hint="eastAsia"/>
                <w:color w:val="000000"/>
                <w:sz w:val="24"/>
                <w:szCs w:val="24"/>
                <w:highlight w:val="none"/>
                <w:lang w:eastAsia="zh-CN" w:bidi="ar"/>
              </w:rPr>
              <w:t>供应期3年</w:t>
            </w:r>
          </w:p>
        </w:tc>
        <w:tc>
          <w:tcPr>
            <w:tcW w:w="1489" w:type="dxa"/>
            <w:tcBorders>
              <w:tl2br w:val="nil"/>
              <w:tr2bl w:val="nil"/>
            </w:tcBorders>
            <w:shd w:val="clear" w:color="auto" w:fill="auto"/>
            <w:vAlign w:val="center"/>
          </w:tcPr>
          <w:p w14:paraId="0370D5C0">
            <w:pPr>
              <w:widowControl/>
              <w:jc w:val="center"/>
              <w:textAlignment w:val="center"/>
              <w:rPr>
                <w:color w:val="000000"/>
                <w:sz w:val="24"/>
                <w:szCs w:val="24"/>
                <w:highlight w:val="none"/>
                <w:lang w:eastAsia="zh-CN" w:bidi="ar"/>
              </w:rPr>
            </w:pPr>
            <w:r>
              <w:rPr>
                <w:rFonts w:hint="eastAsia"/>
                <w:color w:val="000000"/>
                <w:sz w:val="24"/>
                <w:szCs w:val="24"/>
                <w:highlight w:val="none"/>
                <w:lang w:eastAsia="zh-CN" w:bidi="ar"/>
              </w:rPr>
              <w:t>202万元/年</w:t>
            </w:r>
          </w:p>
        </w:tc>
        <w:tc>
          <w:tcPr>
            <w:tcW w:w="1335" w:type="dxa"/>
            <w:tcBorders>
              <w:tl2br w:val="nil"/>
              <w:tr2bl w:val="nil"/>
            </w:tcBorders>
            <w:shd w:val="clear" w:color="auto" w:fill="auto"/>
            <w:vAlign w:val="center"/>
          </w:tcPr>
          <w:p w14:paraId="3795447B">
            <w:pPr>
              <w:widowControl/>
              <w:jc w:val="center"/>
              <w:textAlignment w:val="center"/>
              <w:rPr>
                <w:rFonts w:hint="default"/>
                <w:color w:val="000000"/>
                <w:sz w:val="24"/>
                <w:szCs w:val="24"/>
                <w:lang w:val="en-US" w:eastAsia="zh-CN" w:bidi="ar"/>
              </w:rPr>
            </w:pPr>
            <w:r>
              <w:rPr>
                <w:rFonts w:hint="eastAsia"/>
                <w:color w:val="000000"/>
                <w:sz w:val="24"/>
                <w:szCs w:val="24"/>
                <w:lang w:val="en-US" w:eastAsia="zh-CN" w:bidi="ar"/>
              </w:rPr>
              <w:t>/</w:t>
            </w:r>
          </w:p>
        </w:tc>
      </w:tr>
    </w:tbl>
    <w:p w14:paraId="305EB101">
      <w:pPr>
        <w:pStyle w:val="3"/>
        <w:spacing w:line="360" w:lineRule="auto"/>
        <w:ind w:firstLine="482" w:firstLineChars="200"/>
        <w:rPr>
          <w:b/>
          <w:bCs/>
          <w:color w:val="000000" w:themeColor="text1"/>
          <w:szCs w:val="24"/>
          <w:lang w:eastAsia="zh-CN"/>
          <w14:textFill>
            <w14:solidFill>
              <w14:schemeClr w14:val="tx1"/>
            </w14:solidFill>
          </w14:textFill>
        </w:rPr>
      </w:pPr>
      <w:r>
        <w:rPr>
          <w:rFonts w:hint="eastAsia"/>
          <w:b/>
          <w:bCs/>
          <w:color w:val="000000" w:themeColor="text1"/>
          <w:szCs w:val="24"/>
          <w:lang w:eastAsia="zh-CN"/>
          <w14:textFill>
            <w14:solidFill>
              <w14:schemeClr w14:val="tx1"/>
            </w14:solidFill>
          </w14:textFill>
        </w:rPr>
        <w:t>本项目试剂、耗材预估用量金额仅供投标人参考，采购具体用量以医院实际采购为准。中标后不得以预期收益、利润等任何理由要求招标人赔偿损失。</w:t>
      </w:r>
    </w:p>
    <w:p w14:paraId="78DF9B3D">
      <w:pPr>
        <w:rPr>
          <w:lang w:eastAsia="zh-CN"/>
        </w:rPr>
      </w:pPr>
    </w:p>
    <w:p w14:paraId="41AE3D0A">
      <w:pPr>
        <w:pStyle w:val="3"/>
        <w:spacing w:line="360" w:lineRule="auto"/>
        <w:rPr>
          <w:b/>
          <w:bCs/>
          <w:color w:val="000000" w:themeColor="text1"/>
          <w:szCs w:val="24"/>
          <w:lang w:eastAsia="zh-CN"/>
          <w14:textFill>
            <w14:solidFill>
              <w14:schemeClr w14:val="tx1"/>
            </w14:solidFill>
          </w14:textFill>
        </w:rPr>
      </w:pPr>
      <w:r>
        <w:rPr>
          <w:rFonts w:hint="eastAsia"/>
          <w:b/>
          <w:bCs/>
          <w:color w:val="000000" w:themeColor="text1"/>
          <w:szCs w:val="24"/>
          <w:lang w:eastAsia="zh-CN"/>
          <w14:textFill>
            <w14:solidFill>
              <w14:schemeClr w14:val="tx1"/>
            </w14:solidFill>
          </w14:textFill>
        </w:rPr>
        <w:t>其他要求:</w:t>
      </w:r>
    </w:p>
    <w:p w14:paraId="561E4511">
      <w:pPr>
        <w:pStyle w:val="3"/>
        <w:spacing w:line="360" w:lineRule="auto"/>
        <w:rPr>
          <w:b/>
          <w:bCs/>
          <w:color w:val="000000" w:themeColor="text1"/>
          <w:szCs w:val="24"/>
          <w:lang w:eastAsia="zh-CN"/>
          <w14:textFill>
            <w14:solidFill>
              <w14:schemeClr w14:val="tx1"/>
            </w14:solidFill>
          </w14:textFill>
        </w:rPr>
      </w:pPr>
      <w:r>
        <w:rPr>
          <w:b/>
          <w:bCs/>
          <w:color w:val="000000" w:themeColor="text1"/>
          <w:szCs w:val="24"/>
          <w:lang w:eastAsia="zh-CN"/>
          <w14:textFill>
            <w14:solidFill>
              <w14:schemeClr w14:val="tx1"/>
            </w14:solidFill>
          </w14:textFill>
        </w:rPr>
        <w:t>1</w:t>
      </w:r>
      <w:r>
        <w:rPr>
          <w:rFonts w:hint="eastAsia"/>
          <w:b/>
          <w:bCs/>
          <w:color w:val="000000" w:themeColor="text1"/>
          <w:szCs w:val="24"/>
          <w:lang w:eastAsia="zh-CN"/>
          <w14:textFill>
            <w14:solidFill>
              <w14:schemeClr w14:val="tx1"/>
            </w14:solidFill>
          </w14:textFill>
        </w:rPr>
        <w:t>.投标人须提供可体现所投</w:t>
      </w:r>
      <w:r>
        <w:rPr>
          <w:b/>
          <w:bCs/>
          <w:color w:val="000000" w:themeColor="text1"/>
          <w:szCs w:val="24"/>
          <w:lang w:eastAsia="zh-CN"/>
          <w14:textFill>
            <w14:solidFill>
              <w14:schemeClr w14:val="tx1"/>
            </w14:solidFill>
          </w14:textFill>
        </w:rPr>
        <w:t>产品</w:t>
      </w:r>
      <w:r>
        <w:rPr>
          <w:rFonts w:hint="eastAsia"/>
          <w:b/>
          <w:bCs/>
          <w:color w:val="000000" w:themeColor="text1"/>
          <w:szCs w:val="24"/>
          <w:lang w:eastAsia="zh-CN"/>
          <w14:textFill>
            <w14:solidFill>
              <w14:schemeClr w14:val="tx1"/>
            </w14:solidFill>
          </w14:textFill>
        </w:rPr>
        <w:t>功能及技术参数的</w:t>
      </w:r>
      <w:r>
        <w:rPr>
          <w:b/>
          <w:bCs/>
          <w:color w:val="000000" w:themeColor="text1"/>
          <w:szCs w:val="24"/>
          <w:lang w:eastAsia="zh-CN"/>
          <w14:textFill>
            <w14:solidFill>
              <w14:schemeClr w14:val="tx1"/>
            </w14:solidFill>
          </w14:textFill>
        </w:rPr>
        <w:t>产品彩页、产品说明书</w:t>
      </w:r>
      <w:r>
        <w:rPr>
          <w:rFonts w:hint="eastAsia"/>
          <w:b/>
          <w:bCs/>
          <w:color w:val="000000" w:themeColor="text1"/>
          <w:szCs w:val="24"/>
          <w:lang w:eastAsia="zh-CN"/>
          <w14:textFill>
            <w14:solidFill>
              <w14:schemeClr w14:val="tx1"/>
            </w14:solidFill>
          </w14:textFill>
        </w:rPr>
        <w:t>、技术白皮书（全部或部分）</w:t>
      </w:r>
      <w:r>
        <w:rPr>
          <w:b/>
          <w:bCs/>
          <w:color w:val="000000" w:themeColor="text1"/>
          <w:szCs w:val="24"/>
          <w:lang w:eastAsia="zh-CN"/>
          <w14:textFill>
            <w14:solidFill>
              <w14:schemeClr w14:val="tx1"/>
            </w14:solidFill>
          </w14:textFill>
        </w:rPr>
        <w:t>相关证明材料，否则</w:t>
      </w:r>
      <w:r>
        <w:rPr>
          <w:rFonts w:hint="eastAsia"/>
          <w:b/>
          <w:bCs/>
          <w:color w:val="000000" w:themeColor="text1"/>
          <w:szCs w:val="24"/>
          <w:lang w:eastAsia="zh-CN"/>
          <w14:textFill>
            <w14:solidFill>
              <w14:schemeClr w14:val="tx1"/>
            </w14:solidFill>
          </w14:textFill>
        </w:rPr>
        <w:t>评标委员会有权否决</w:t>
      </w:r>
      <w:r>
        <w:rPr>
          <w:b/>
          <w:bCs/>
          <w:color w:val="000000" w:themeColor="text1"/>
          <w:szCs w:val="24"/>
          <w:lang w:eastAsia="zh-CN"/>
          <w14:textFill>
            <w14:solidFill>
              <w14:schemeClr w14:val="tx1"/>
            </w14:solidFill>
          </w14:textFill>
        </w:rPr>
        <w:t>其投标</w:t>
      </w:r>
      <w:r>
        <w:rPr>
          <w:rFonts w:hint="eastAsia"/>
          <w:b/>
          <w:bCs/>
          <w:color w:val="000000" w:themeColor="text1"/>
          <w:szCs w:val="24"/>
          <w:lang w:eastAsia="zh-CN"/>
          <w14:textFill>
            <w14:solidFill>
              <w14:schemeClr w14:val="tx1"/>
            </w14:solidFill>
          </w14:textFill>
        </w:rPr>
        <w:t>。</w:t>
      </w:r>
    </w:p>
    <w:p w14:paraId="721F579A">
      <w:pPr>
        <w:pStyle w:val="3"/>
        <w:spacing w:line="360" w:lineRule="auto"/>
        <w:rPr>
          <w:b/>
          <w:bCs/>
          <w:color w:val="000000" w:themeColor="text1"/>
          <w:szCs w:val="24"/>
          <w:lang w:eastAsia="zh-CN"/>
          <w14:textFill>
            <w14:solidFill>
              <w14:schemeClr w14:val="tx1"/>
            </w14:solidFill>
          </w14:textFill>
        </w:rPr>
      </w:pPr>
      <w:r>
        <w:rPr>
          <w:rFonts w:hint="eastAsia"/>
          <w:b/>
          <w:bCs/>
          <w:color w:val="000000" w:themeColor="text1"/>
          <w:szCs w:val="24"/>
          <w:lang w:eastAsia="zh-CN"/>
          <w14:textFill>
            <w14:solidFill>
              <w14:schemeClr w14:val="tx1"/>
            </w14:solidFill>
          </w14:textFill>
        </w:rPr>
        <w:t>2.如所投产品为医用耗材的，须为国家医保医用耗材分类与代码数据库内的产品并投标时提供医保编码，如未提供的评标委员会有权否决其投标。特殊情况的投标人须自行提供说明及相关证明材料。</w:t>
      </w:r>
    </w:p>
    <w:p w14:paraId="65D5C079">
      <w:pPr>
        <w:rPr>
          <w:lang w:eastAsia="zh-CN"/>
        </w:rPr>
      </w:pPr>
    </w:p>
    <w:p w14:paraId="1BBD9733">
      <w:pPr>
        <w:numPr>
          <w:ilvl w:val="0"/>
          <w:numId w:val="1"/>
        </w:numPr>
        <w:spacing w:line="360" w:lineRule="auto"/>
        <w:contextualSpacing/>
        <w:rPr>
          <w:rFonts w:cs="Times New Roman"/>
          <w:bCs/>
          <w:kern w:val="2"/>
          <w:sz w:val="24"/>
          <w:szCs w:val="24"/>
          <w:lang w:eastAsia="zh-CN"/>
        </w:rPr>
      </w:pPr>
      <w:r>
        <w:rPr>
          <w:rFonts w:hint="eastAsia"/>
          <w:b/>
          <w:bCs/>
          <w:sz w:val="24"/>
          <w:szCs w:val="24"/>
          <w:lang w:eastAsia="zh-CN"/>
        </w:rPr>
        <w:t>技术参数</w:t>
      </w:r>
    </w:p>
    <w:p w14:paraId="43BDB78C">
      <w:pPr>
        <w:spacing w:line="360" w:lineRule="auto"/>
        <w:rPr>
          <w:rFonts w:hint="eastAsia"/>
          <w:bCs/>
          <w:kern w:val="2"/>
          <w:sz w:val="24"/>
          <w:szCs w:val="24"/>
          <w:lang w:val="en-US" w:eastAsia="zh-CN" w:bidi="ar"/>
        </w:rPr>
      </w:pPr>
      <w:r>
        <w:rPr>
          <w:rFonts w:hint="eastAsia"/>
          <w:bCs/>
          <w:kern w:val="2"/>
          <w:sz w:val="24"/>
          <w:szCs w:val="24"/>
          <w:lang w:val="en-US" w:eastAsia="zh-CN" w:bidi="ar"/>
        </w:rPr>
        <w:t>1.用于乳腺癌患者术后重建乳房外形或隆胸美容使用；</w:t>
      </w:r>
    </w:p>
    <w:p w14:paraId="678BD4A5">
      <w:pPr>
        <w:spacing w:line="360" w:lineRule="auto"/>
        <w:rPr>
          <w:rFonts w:hint="eastAsia"/>
          <w:bCs/>
          <w:kern w:val="2"/>
          <w:sz w:val="24"/>
          <w:szCs w:val="24"/>
          <w:lang w:val="en-US" w:eastAsia="zh-CN" w:bidi="ar"/>
        </w:rPr>
      </w:pPr>
      <w:r>
        <w:rPr>
          <w:rFonts w:hint="eastAsia"/>
          <w:bCs/>
          <w:kern w:val="2"/>
          <w:sz w:val="24"/>
          <w:szCs w:val="24"/>
          <w:lang w:val="en-US" w:eastAsia="zh-CN" w:bidi="ar"/>
        </w:rPr>
        <w:t>2.产品须符合国家及行业现行有效标准，包括但不限于《YY/T 0647-2021无源外科植入物 乳房植入物的专用要求》等相关标准；</w:t>
      </w:r>
    </w:p>
    <w:p w14:paraId="346A1987">
      <w:pPr>
        <w:spacing w:line="360" w:lineRule="auto"/>
        <w:rPr>
          <w:rFonts w:hint="eastAsia"/>
          <w:bCs/>
          <w:kern w:val="2"/>
          <w:sz w:val="24"/>
          <w:szCs w:val="24"/>
          <w:lang w:val="en-US" w:eastAsia="zh-CN" w:bidi="ar"/>
        </w:rPr>
      </w:pPr>
      <w:r>
        <w:rPr>
          <w:rFonts w:hint="eastAsia"/>
          <w:bCs/>
          <w:kern w:val="2"/>
          <w:sz w:val="24"/>
          <w:szCs w:val="24"/>
          <w:lang w:val="en-US" w:eastAsia="zh-CN" w:bidi="ar"/>
        </w:rPr>
        <w:t>3.生物相容性良好，无细胞毒性、无皮肤刺激及致敏反应，符合长期植入医疗器械安全要求；</w:t>
      </w:r>
    </w:p>
    <w:p w14:paraId="5D180B9D">
      <w:pPr>
        <w:spacing w:line="360" w:lineRule="auto"/>
        <w:rPr>
          <w:rFonts w:hint="eastAsia"/>
          <w:bCs/>
          <w:kern w:val="2"/>
          <w:sz w:val="24"/>
          <w:szCs w:val="24"/>
          <w:lang w:val="en-US" w:eastAsia="zh-CN" w:bidi="ar"/>
        </w:rPr>
      </w:pPr>
      <w:r>
        <w:rPr>
          <w:rFonts w:hint="eastAsia"/>
          <w:bCs/>
          <w:kern w:val="2"/>
          <w:sz w:val="24"/>
          <w:szCs w:val="24"/>
          <w:lang w:val="en-US" w:eastAsia="zh-CN" w:bidi="ar"/>
        </w:rPr>
        <w:t>4.产品形态包含光面圆形、微绒面圆形、微绒面自然形（水滴形）三种主流类型，形态规整、工艺稳定，符合临床植入解剖要求。容积规格全覆盖100CC</w:t>
      </w:r>
      <w:r>
        <w:rPr>
          <w:rFonts w:ascii="宋体" w:hAnsi="宋体" w:eastAsia="宋体" w:cs="宋体"/>
          <w:sz w:val="24"/>
          <w:szCs w:val="24"/>
        </w:rPr>
        <w:t>～</w:t>
      </w:r>
      <w:r>
        <w:rPr>
          <w:rFonts w:hint="eastAsia"/>
          <w:bCs/>
          <w:kern w:val="2"/>
          <w:sz w:val="24"/>
          <w:szCs w:val="24"/>
          <w:lang w:val="en-US" w:eastAsia="zh-CN" w:bidi="ar"/>
        </w:rPr>
        <w:t>600CC常规梯度，涵盖临床常用全区间型号，规格齐全；</w:t>
      </w:r>
    </w:p>
    <w:p w14:paraId="4510297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30709"/>
    <w:multiLevelType w:val="singleLevel"/>
    <w:tmpl w:val="EDE30709"/>
    <w:lvl w:ilvl="0" w:tentative="0">
      <w:start w:val="2"/>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02CDE"/>
    <w:rsid w:val="14533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宋体" w:hAnsi="宋体" w:eastAsia="宋体" w:cs="宋体"/>
      <w:sz w:val="22"/>
      <w:szCs w:val="22"/>
      <w:lang w:val="en-US" w:eastAsia="en-US" w:bidi="ar-SA"/>
    </w:rPr>
  </w:style>
  <w:style w:type="paragraph" w:styleId="2">
    <w:name w:val="heading 1"/>
    <w:basedOn w:val="1"/>
    <w:next w:val="1"/>
    <w:qFormat/>
    <w:uiPriority w:val="1"/>
    <w:pPr>
      <w:spacing w:line="590" w:lineRule="exact"/>
      <w:ind w:left="3"/>
      <w:outlineLvl w:val="0"/>
    </w:pPr>
    <w:rPr>
      <w:rFonts w:ascii="Microsoft JhengHei" w:hAnsi="Microsoft JhengHei" w:eastAsia="Microsoft JhengHei" w:cs="Microsoft JhengHei"/>
      <w:b/>
      <w:bCs/>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Date"/>
    <w:basedOn w:val="1"/>
    <w:next w:val="1"/>
    <w:qFormat/>
    <w:uiPriority w:val="0"/>
    <w:pPr>
      <w:adjustRightInd w:val="0"/>
      <w:spacing w:line="360" w:lineRule="atLeast"/>
      <w:jc w:val="both"/>
    </w:pPr>
    <w:rPr>
      <w:rFonts w:hAnsi="Calibri" w:cs="黑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1589</Words>
  <Characters>1649</Characters>
  <Lines>0</Lines>
  <Paragraphs>0</Paragraphs>
  <TotalTime>0</TotalTime>
  <ScaleCrop>false</ScaleCrop>
  <LinksUpToDate>false</LinksUpToDate>
  <CharactersWithSpaces>1654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2026-09-15T06:11:00Z</dcterms:created>
  <dc:creator>Administrator</dc:creator>
  <cp:lastModifiedBy>汪宪宜</cp:lastModifiedBy>
  <dcterms:modified xsi:type="dcterms:W3CDTF">2026-09-15T07:29:41Z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eyJoZGlkIjoiOWY4MDNjZmJiZmMxMzNkZTI1NmY4ZGM5ZTE5NDM1NmMiLCJ1c2VySWQiOiIzOTczODgwOTIifQ==</vt:lpwstr>
  </property>
  <property fmtid="{D5CDD505-2E9C-101B-9397-08002B2CF9AE}" pid="4" name="ICV">
    <vt:lpwstr>8A0ABD0262ED4C09ABBF7173F8647069_13</vt:lpwstr>
  </property>
</Properties>
</file>