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E19B9">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1A34504D">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6624DA73">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207B5149">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2904D18C">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25DDB03A">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130E2D43">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0BFA4921">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20BD733F">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44A0F8AC">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78DB54B4">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498D47F2">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242E1FF8">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392412B1">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7BCF6B50">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148F8B93">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59BE55AD">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39DCAAAD">
      <w:pPr>
        <w:rPr>
          <w:rFonts w:hint="eastAsia"/>
          <w:highlight w:val="none"/>
        </w:rPr>
      </w:pPr>
    </w:p>
    <w:p w14:paraId="32140319">
      <w:pPr>
        <w:spacing w:line="360" w:lineRule="auto"/>
        <w:ind w:firstLine="437"/>
        <w:jc w:val="both"/>
        <w:outlineLvl w:val="1"/>
        <w:rPr>
          <w:rFonts w:hint="eastAsia" w:ascii="宋体" w:hAnsi="宋体" w:cs="@仿宋_GB2312"/>
          <w:b/>
          <w:sz w:val="24"/>
          <w:szCs w:val="24"/>
          <w:highlight w:val="none"/>
        </w:rPr>
      </w:pPr>
      <w:bookmarkStart w:id="1" w:name="_Toc9765"/>
      <w:bookmarkStart w:id="2" w:name="_Toc26330"/>
      <w:r>
        <w:rPr>
          <w:rFonts w:hint="eastAsia" w:ascii="宋体" w:hAnsi="宋体" w:cs="@仿宋_GB2312"/>
          <w:b/>
          <w:sz w:val="24"/>
          <w:szCs w:val="24"/>
          <w:highlight w:val="none"/>
        </w:rPr>
        <w:t>一、采购需求前附表</w:t>
      </w:r>
      <w:bookmarkEnd w:id="1"/>
      <w:bookmarkEnd w:id="2"/>
      <w:r>
        <w:rPr>
          <w:rFonts w:hint="eastAsia" w:ascii="宋体" w:hAnsi="宋体" w:cs="@仿宋_GB2312"/>
          <w:b/>
          <w:color w:val="FF0000"/>
          <w:sz w:val="24"/>
          <w:szCs w:val="24"/>
          <w:highlight w:val="none"/>
        </w:rPr>
        <w:t>（</w:t>
      </w:r>
      <w:r>
        <w:rPr>
          <w:rFonts w:hint="eastAsia" w:ascii="宋体" w:hAnsi="宋体" w:cs="@仿宋_GB2312"/>
          <w:b/>
          <w:color w:val="FF0000"/>
          <w:sz w:val="24"/>
          <w:szCs w:val="24"/>
          <w:highlight w:val="none"/>
          <w:lang w:val="en-US" w:eastAsia="zh-CN"/>
        </w:rPr>
        <w:t>下表</w:t>
      </w:r>
      <w:r>
        <w:rPr>
          <w:rFonts w:hint="eastAsia" w:ascii="宋体" w:hAnsi="宋体" w:cs="@仿宋_GB2312"/>
          <w:b/>
          <w:color w:val="FF0000"/>
          <w:sz w:val="24"/>
          <w:szCs w:val="24"/>
          <w:highlight w:val="none"/>
        </w:rPr>
        <w:t>内容必须响应，不允许偏离）</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20C6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0AD56B7">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106D79DC">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44BB1E8B">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0951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14516D7A">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2527BC8A">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付款方式</w:t>
            </w:r>
          </w:p>
        </w:tc>
        <w:tc>
          <w:tcPr>
            <w:tcW w:w="5476" w:type="dxa"/>
            <w:noWrap w:val="0"/>
            <w:vAlign w:val="center"/>
          </w:tcPr>
          <w:p w14:paraId="329D5730">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先供货后付款，安装验收合格后，以物资采购批次入库时间为起点，三个月后一次性付清。</w:t>
            </w:r>
          </w:p>
        </w:tc>
      </w:tr>
      <w:tr w14:paraId="0019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0602815">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6215B495">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419E7191">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采购人指定地点</w:t>
            </w:r>
          </w:p>
        </w:tc>
      </w:tr>
      <w:tr w14:paraId="10BD4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38373D5C">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03FD9E8D">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0276FE45">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tc>
      </w:tr>
      <w:tr w14:paraId="2C244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725F1D8">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2E66CA31">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49E1252F">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p w14:paraId="1C9DEF93">
            <w:pPr>
              <w:spacing w:line="360" w:lineRule="auto"/>
              <w:jc w:val="both"/>
              <w:rPr>
                <w:rFonts w:hint="eastAsia" w:ascii="宋体" w:hAnsi="宋体" w:eastAsia="宋体" w:cs="@仿宋_GB2312"/>
                <w:bCs/>
                <w:kern w:val="0"/>
                <w:sz w:val="24"/>
                <w:szCs w:val="24"/>
                <w:highlight w:val="none"/>
                <w:lang w:eastAsia="zh-CN"/>
              </w:rPr>
            </w:pPr>
            <w:r>
              <w:rPr>
                <w:rFonts w:hint="eastAsia" w:ascii="宋体" w:hAnsi="宋体" w:cs="@仿宋_GB2312"/>
                <w:bCs/>
                <w:kern w:val="0"/>
                <w:sz w:val="24"/>
                <w:szCs w:val="24"/>
                <w:highlight w:val="none"/>
              </w:rPr>
              <w:t>须提供供应商承诺及产品制造商承诺</w:t>
            </w:r>
          </w:p>
        </w:tc>
      </w:tr>
    </w:tbl>
    <w:p w14:paraId="3AF5C674">
      <w:pPr>
        <w:spacing w:line="360" w:lineRule="auto"/>
        <w:ind w:firstLine="437"/>
        <w:jc w:val="both"/>
        <w:outlineLvl w:val="1"/>
        <w:rPr>
          <w:rFonts w:hint="eastAsia" w:ascii="宋体" w:hAnsi="宋体" w:cs="@仿宋_GB2312"/>
          <w:b/>
          <w:bCs/>
          <w:sz w:val="24"/>
          <w:szCs w:val="24"/>
          <w:highlight w:val="none"/>
        </w:rPr>
      </w:pPr>
    </w:p>
    <w:p w14:paraId="516BE476">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28B9C457">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28060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34C35D2E">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1971DF9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7851B010">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7377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73D81918">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28AC59F2">
            <w:pPr>
              <w:snapToGrid w:val="0"/>
              <w:spacing w:line="360" w:lineRule="auto"/>
              <w:jc w:val="center"/>
              <w:rPr>
                <w:rFonts w:hint="eastAsia" w:ascii="宋体" w:hAnsi="宋体" w:cs="宋体"/>
                <w:bCs/>
                <w:color w:val="000000"/>
                <w:sz w:val="24"/>
                <w:szCs w:val="24"/>
                <w:highlight w:val="none"/>
              </w:rPr>
            </w:pPr>
            <w:r>
              <w:rPr>
                <w:rFonts w:hint="eastAsia" w:ascii="宋体" w:hAnsi="宋体" w:cs="宋体"/>
                <w:bCs/>
                <w:sz w:val="24"/>
                <w:szCs w:val="24"/>
                <w:highlight w:val="none"/>
              </w:rPr>
              <w:t>★</w:t>
            </w:r>
          </w:p>
        </w:tc>
        <w:tc>
          <w:tcPr>
            <w:tcW w:w="5561" w:type="dxa"/>
            <w:noWrap w:val="0"/>
            <w:vAlign w:val="center"/>
          </w:tcPr>
          <w:p w14:paraId="50ED1AC9">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483C3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50AAC24A">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0B66A756">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6FF3D2C0">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0365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5D035B51">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0AED0C28">
      <w:pPr>
        <w:widowControl/>
        <w:snapToGrid w:val="0"/>
        <w:spacing w:line="360" w:lineRule="auto"/>
        <w:ind w:firstLine="482" w:firstLineChars="200"/>
        <w:jc w:val="both"/>
        <w:outlineLvl w:val="2"/>
        <w:rPr>
          <w:rFonts w:hint="eastAsia" w:ascii="宋体" w:hAnsi="宋体" w:cs="宋体"/>
          <w:b/>
          <w:bCs/>
          <w:sz w:val="24"/>
          <w:szCs w:val="24"/>
          <w:highlight w:val="none"/>
        </w:rPr>
      </w:pPr>
    </w:p>
    <w:p w14:paraId="7D75A296">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1E4DD117">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p>
    <w:p w14:paraId="262AF4D4">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bookmarkStart w:id="3" w:name="_Toc4843"/>
      <w:bookmarkStart w:id="4" w:name="_Toc7421"/>
      <w:r>
        <w:rPr>
          <w:rFonts w:hint="eastAsia" w:ascii="宋体" w:hAnsi="宋体" w:eastAsia="宋体" w:cs="宋体"/>
          <w:bCs/>
          <w:kern w:val="2"/>
          <w:sz w:val="24"/>
          <w:szCs w:val="24"/>
          <w:highlight w:val="none"/>
          <w:lang w:val="en-US" w:eastAsia="zh-CN" w:bidi="ar"/>
        </w:rPr>
        <w:t>1.身高体重仪，带自动测量，自动传输功能</w:t>
      </w:r>
    </w:p>
    <w:p w14:paraId="512FE77E">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2.额定AC220V 50Hz，额定输入功率≤30W</w:t>
      </w:r>
    </w:p>
    <w:p w14:paraId="7DD95F46">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3.身高测量范围70-200cm</w:t>
      </w:r>
    </w:p>
    <w:p w14:paraId="3E7C4C92">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4.允许误差：+5~+10℃±0.6，+10~+40℃±0.5</w:t>
      </w:r>
    </w:p>
    <w:p w14:paraId="64E21058">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5.秤量范围：50~200KG</w:t>
      </w:r>
    </w:p>
    <w:p w14:paraId="04EAD0C9">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6.准确度等级III</w:t>
      </w:r>
    </w:p>
    <w:p w14:paraId="2A8D0AC8">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7.语音播报功能：具备</w:t>
      </w:r>
    </w:p>
    <w:p w14:paraId="0C144F6A">
      <w:pPr>
        <w:keepNext w:val="0"/>
        <w:keepLines w:val="0"/>
        <w:pageBreakBefore w:val="0"/>
        <w:widowControl w:val="0"/>
        <w:kinsoku/>
        <w:overflowPunct/>
        <w:topLinePunct w:val="0"/>
        <w:autoSpaceDE/>
        <w:autoSpaceDN/>
        <w:bidi w:val="0"/>
        <w:adjustRightInd/>
        <w:snapToGrid/>
        <w:spacing w:line="360" w:lineRule="auto"/>
        <w:ind w:firstLine="480" w:firstLineChars="200"/>
        <w:jc w:val="both"/>
        <w:textAlignment w:val="auto"/>
        <w:outlineLvl w:val="1"/>
        <w:rPr>
          <w:rFonts w:hint="eastAsia" w:ascii="宋体" w:hAnsi="宋体" w:eastAsia="宋体" w:cs="宋体"/>
          <w:bCs/>
          <w:kern w:val="2"/>
          <w:sz w:val="24"/>
          <w:szCs w:val="24"/>
          <w:highlight w:val="none"/>
          <w:lang w:val="en-US" w:eastAsia="zh-CN" w:bidi="ar"/>
        </w:rPr>
      </w:pPr>
    </w:p>
    <w:p w14:paraId="5B3C9B94">
      <w:pPr>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kern w:val="2"/>
          <w:sz w:val="24"/>
          <w:szCs w:val="24"/>
          <w:highlight w:val="none"/>
          <w:lang w:val="en-US" w:eastAsia="zh-CN" w:bidi="ar"/>
        </w:rPr>
        <w:t>商务条款</w:t>
      </w:r>
      <w:r>
        <w:rPr>
          <w:rFonts w:hint="eastAsia" w:ascii="宋体" w:hAnsi="宋体" w:cs="宋体"/>
          <w:b/>
          <w:bCs w:val="0"/>
          <w:kern w:val="2"/>
          <w:sz w:val="24"/>
          <w:szCs w:val="24"/>
          <w:highlight w:val="none"/>
          <w:lang w:val="en-US" w:eastAsia="zh-CN" w:bidi="ar"/>
        </w:rPr>
        <w:t>（必须满足）</w:t>
      </w:r>
      <w:r>
        <w:rPr>
          <w:rFonts w:hint="eastAsia" w:ascii="宋体" w:hAnsi="宋体" w:eastAsia="宋体" w:cs="宋体"/>
          <w:b/>
          <w:bCs w:val="0"/>
          <w:kern w:val="2"/>
          <w:sz w:val="24"/>
          <w:szCs w:val="24"/>
          <w:highlight w:val="none"/>
          <w:lang w:val="en-US" w:eastAsia="zh-CN" w:bidi="ar"/>
        </w:rPr>
        <w:t>： 原厂保修期≥5年（提供原厂售后服务承诺函），设备全生命周期内提供零配件及维修服务。</w:t>
      </w:r>
    </w:p>
    <w:p w14:paraId="3317FE7C">
      <w:pPr>
        <w:spacing w:line="360" w:lineRule="auto"/>
        <w:ind w:firstLine="437"/>
        <w:jc w:val="both"/>
        <w:outlineLvl w:val="1"/>
        <w:rPr>
          <w:rFonts w:hint="eastAsia" w:ascii="宋体" w:hAnsi="宋体" w:eastAsia="宋体" w:cs="宋体"/>
          <w:bCs/>
          <w:kern w:val="2"/>
          <w:sz w:val="24"/>
          <w:szCs w:val="24"/>
          <w:highlight w:val="none"/>
          <w:lang w:val="en-US" w:eastAsia="zh-CN" w:bidi="ar"/>
        </w:rPr>
      </w:pPr>
    </w:p>
    <w:p w14:paraId="78F0A9F0">
      <w:pPr>
        <w:spacing w:line="360" w:lineRule="auto"/>
        <w:ind w:firstLine="437"/>
        <w:jc w:val="both"/>
        <w:outlineLvl w:val="1"/>
        <w:rPr>
          <w:rFonts w:hint="eastAsia" w:ascii="宋体" w:hAnsi="宋体" w:eastAsia="宋体" w:cs="宋体"/>
          <w:bCs/>
          <w:kern w:val="2"/>
          <w:sz w:val="24"/>
          <w:szCs w:val="24"/>
          <w:highlight w:val="none"/>
          <w:lang w:val="en-US" w:eastAsia="zh-CN" w:bidi="ar"/>
        </w:rPr>
      </w:pPr>
    </w:p>
    <w:bookmarkEnd w:id="3"/>
    <w:bookmarkEnd w:id="4"/>
    <w:p w14:paraId="29A3C684">
      <w:pPr>
        <w:spacing w:line="360" w:lineRule="auto"/>
        <w:ind w:firstLine="437"/>
        <w:jc w:val="both"/>
        <w:outlineLvl w:val="1"/>
        <w:rPr>
          <w:rFonts w:hint="eastAsia" w:ascii="宋体" w:hAnsi="宋体" w:cs="@仿宋_GB2312"/>
          <w:b/>
          <w:bCs/>
          <w:sz w:val="24"/>
          <w:szCs w:val="24"/>
          <w:highlight w:val="none"/>
        </w:rPr>
      </w:pPr>
    </w:p>
    <w:p w14:paraId="4BF081A2">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三、报价要求</w:t>
      </w:r>
    </w:p>
    <w:p w14:paraId="59CEA4E1">
      <w:pPr>
        <w:spacing w:line="360" w:lineRule="auto"/>
        <w:ind w:firstLine="437"/>
        <w:jc w:val="both"/>
        <w:outlineLvl w:val="1"/>
        <w:rPr>
          <w:rFonts w:ascii="宋体" w:hAnsi="宋体" w:cs="@仿宋_GB2312"/>
          <w:sz w:val="24"/>
          <w:szCs w:val="24"/>
          <w:highlight w:val="none"/>
        </w:rPr>
      </w:pPr>
      <w:r>
        <w:rPr>
          <w:rFonts w:hint="eastAsia" w:ascii="宋体" w:hAnsi="宋体" w:cs="@仿宋_GB2312"/>
          <w:sz w:val="24"/>
          <w:szCs w:val="24"/>
          <w:highlight w:val="none"/>
        </w:rPr>
        <w:t>本项目报</w:t>
      </w:r>
      <w:r>
        <w:rPr>
          <w:rFonts w:hint="eastAsia" w:ascii="宋体" w:hAnsi="宋体" w:cs="@仿宋_GB2312"/>
          <w:sz w:val="24"/>
          <w:szCs w:val="24"/>
          <w:highlight w:val="none"/>
          <w:lang w:val="en-US" w:eastAsia="zh-CN"/>
        </w:rPr>
        <w:t>全费用综合单价</w:t>
      </w:r>
      <w:r>
        <w:rPr>
          <w:rFonts w:hint="eastAsia" w:ascii="宋体" w:hAnsi="宋体" w:cs="@仿宋_GB2312"/>
          <w:sz w:val="24"/>
          <w:szCs w:val="24"/>
          <w:highlight w:val="none"/>
        </w:rPr>
        <w:t>，报价包含完成项目所需的一切费用（供应商负责所购全部产品的购置、包装、运输、人工、保险、安装、调试、各种税费、资料、售后服务及项目应有的全部工作）。</w:t>
      </w:r>
    </w:p>
    <w:p w14:paraId="58DACADD">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2D67AE"/>
    <w:rsid w:val="1A2D67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2026-09-15T12:41:00Z</dcterms:created>
  <dc:creator>省招-wxy</dc:creator>
  <cp:lastModifiedBy>省招-wxy</cp:lastModifiedBy>
  <dcterms:modified xsi:type="dcterms:W3CDTF">2026-09-15T12:41:42Z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3C890CCDDECE4ADA94C301FBAD7407F6_11</vt:lpwstr>
  </property>
  <property fmtid="{D5CDD505-2E9C-101B-9397-08002B2CF9AE}" pid="4" name="KSOTemplateDocerSaveRecord">
    <vt:lpwstr>eyJoZGlkIjoiZWUyOTQ1NDM2Zjc0YjU0MjZhMWI3YTAyMzgxNTM2MDQiLCJ1c2VySWQiOiI0NjEyMTI0ODEifQ==</vt:lpwstr>
  </property>
</Properties>
</file>