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0227C1">
      <w:pPr>
        <w:pStyle w:val="2"/>
        <w:spacing w:line="360" w:lineRule="auto"/>
        <w:ind w:left="0" w:firstLine="0"/>
        <w:jc w:val="center"/>
        <w:rPr>
          <w:rFonts w:ascii="宋体" w:hAnsi="宋体"/>
          <w:szCs w:val="36"/>
          <w:highlight w:val="none"/>
        </w:rPr>
      </w:pPr>
      <w:bookmarkStart w:id="10" w:name="_GoBack"/>
      <w:r>
        <w:rPr>
          <w:rFonts w:hint="eastAsia" w:ascii="宋体" w:hAnsi="宋体"/>
          <w:szCs w:val="36"/>
          <w:highlight w:val="none"/>
        </w:rPr>
        <w:t>采购需求</w:t>
      </w:r>
    </w:p>
    <w:bookmarkEnd w:id="10"/>
    <w:p w14:paraId="79FED72B">
      <w:pPr>
        <w:ind w:firstLine="437"/>
        <w:jc w:val="both"/>
        <w:outlineLvl w:val="1"/>
        <w:rPr>
          <w:rFonts w:hint="eastAsia" w:ascii="宋体" w:hAnsi="宋体" w:cs="@仿宋_GB2312"/>
          <w:b/>
          <w:szCs w:val="18"/>
          <w:highlight w:val="none"/>
        </w:rPr>
      </w:pPr>
      <w:bookmarkStart w:id="0" w:name="_Toc9765"/>
      <w:bookmarkStart w:id="1" w:name="_Toc26330"/>
      <w:bookmarkStart w:id="2" w:name="_Hlk16461016"/>
    </w:p>
    <w:p w14:paraId="1FE148B8">
      <w:pPr>
        <w:ind w:firstLine="437"/>
        <w:jc w:val="both"/>
        <w:outlineLvl w:val="1"/>
        <w:rPr>
          <w:rFonts w:hint="eastAsia" w:ascii="宋体" w:hAnsi="宋体" w:cs="@仿宋_GB2312"/>
          <w:b/>
          <w:szCs w:val="18"/>
          <w:highlight w:val="none"/>
        </w:rPr>
      </w:pPr>
      <w:r>
        <w:rPr>
          <w:rFonts w:hint="eastAsia" w:ascii="宋体" w:hAnsi="宋体" w:cs="@仿宋_GB2312"/>
          <w:b/>
          <w:szCs w:val="18"/>
          <w:highlight w:val="none"/>
        </w:rPr>
        <w:t>一、采购需求前附表</w:t>
      </w:r>
      <w:bookmarkEnd w:id="0"/>
      <w:bookmarkEnd w:id="1"/>
      <w:r>
        <w:rPr>
          <w:rFonts w:hint="eastAsia" w:ascii="宋体" w:hAnsi="宋体" w:eastAsia="宋体"/>
          <w:b/>
          <w:color w:val="FF0000"/>
          <w:sz w:val="24"/>
          <w:szCs w:val="18"/>
          <w:highlight w:val="none"/>
          <w:lang w:eastAsia="zh-CN"/>
        </w:rPr>
        <w:t>（</w:t>
      </w:r>
      <w:r>
        <w:rPr>
          <w:rFonts w:hint="eastAsia" w:ascii="宋体" w:hAnsi="宋体" w:eastAsia="宋体"/>
          <w:b/>
          <w:color w:val="FF0000"/>
          <w:sz w:val="24"/>
          <w:szCs w:val="18"/>
          <w:highlight w:val="none"/>
          <w:lang w:val="en-US" w:eastAsia="zh-CN"/>
        </w:rPr>
        <w:t>以下内容必须响应，不允许偏离</w:t>
      </w:r>
      <w:r>
        <w:rPr>
          <w:rFonts w:hint="eastAsia" w:ascii="宋体" w:hAnsi="宋体" w:eastAsia="宋体"/>
          <w:b/>
          <w:color w:val="FF0000"/>
          <w:sz w:val="24"/>
          <w:szCs w:val="18"/>
          <w:highlight w:val="none"/>
          <w:lang w:eastAsia="zh-CN"/>
        </w:rPr>
        <w:t>）</w:t>
      </w:r>
    </w:p>
    <w:tbl>
      <w:tblPr>
        <w:tblStyle w:val="3"/>
        <w:tblW w:w="8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191"/>
        <w:gridCol w:w="5476"/>
      </w:tblGrid>
      <w:tr w14:paraId="137A1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4C6C04B9">
            <w:pPr>
              <w:spacing w:line="240" w:lineRule="auto"/>
              <w:jc w:val="center"/>
              <w:rPr>
                <w:rFonts w:hint="eastAsia" w:ascii="宋体" w:hAnsi="宋体" w:cs="@仿宋_GB2312"/>
                <w:b/>
                <w:szCs w:val="20"/>
                <w:highlight w:val="none"/>
              </w:rPr>
            </w:pPr>
            <w:r>
              <w:rPr>
                <w:rFonts w:hint="eastAsia" w:ascii="宋体" w:hAnsi="宋体" w:cs="@仿宋_GB2312"/>
                <w:b/>
                <w:szCs w:val="20"/>
                <w:highlight w:val="none"/>
              </w:rPr>
              <w:t>序号</w:t>
            </w:r>
          </w:p>
        </w:tc>
        <w:tc>
          <w:tcPr>
            <w:tcW w:w="2191" w:type="dxa"/>
            <w:noWrap w:val="0"/>
            <w:vAlign w:val="center"/>
          </w:tcPr>
          <w:p w14:paraId="73B694B3">
            <w:pPr>
              <w:jc w:val="center"/>
              <w:rPr>
                <w:rFonts w:hint="eastAsia" w:ascii="宋体" w:hAnsi="宋体" w:cs="@仿宋_GB2312"/>
                <w:b/>
                <w:kern w:val="0"/>
                <w:szCs w:val="28"/>
                <w:highlight w:val="none"/>
              </w:rPr>
            </w:pPr>
            <w:r>
              <w:rPr>
                <w:rFonts w:hint="eastAsia" w:ascii="宋体" w:hAnsi="宋体" w:cs="@仿宋_GB2312"/>
                <w:b/>
                <w:kern w:val="0"/>
                <w:szCs w:val="28"/>
                <w:highlight w:val="none"/>
              </w:rPr>
              <w:t>条款名称</w:t>
            </w:r>
          </w:p>
        </w:tc>
        <w:tc>
          <w:tcPr>
            <w:tcW w:w="5476" w:type="dxa"/>
            <w:noWrap w:val="0"/>
            <w:vAlign w:val="center"/>
          </w:tcPr>
          <w:p w14:paraId="071CB8A9">
            <w:pPr>
              <w:jc w:val="center"/>
              <w:rPr>
                <w:rFonts w:hint="eastAsia" w:ascii="宋体" w:hAnsi="宋体" w:cs="@仿宋_GB2312"/>
                <w:b/>
                <w:kern w:val="0"/>
                <w:szCs w:val="28"/>
                <w:highlight w:val="none"/>
              </w:rPr>
            </w:pPr>
            <w:r>
              <w:rPr>
                <w:rFonts w:hint="eastAsia" w:ascii="宋体" w:hAnsi="宋体" w:cs="@仿宋_GB2312"/>
                <w:b/>
                <w:kern w:val="0"/>
                <w:szCs w:val="28"/>
                <w:highlight w:val="none"/>
              </w:rPr>
              <w:t>内容、说明与要求</w:t>
            </w:r>
          </w:p>
        </w:tc>
      </w:tr>
      <w:tr w14:paraId="291D8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7F77B992">
            <w:pPr>
              <w:spacing w:line="240" w:lineRule="auto"/>
              <w:jc w:val="center"/>
              <w:rPr>
                <w:rFonts w:hint="eastAsia" w:ascii="宋体" w:hAnsi="宋体" w:cs="@仿宋_GB2312"/>
                <w:bCs/>
                <w:szCs w:val="20"/>
                <w:highlight w:val="none"/>
              </w:rPr>
            </w:pPr>
            <w:r>
              <w:rPr>
                <w:rFonts w:hint="eastAsia" w:ascii="宋体" w:hAnsi="宋体" w:cs="@仿宋_GB2312"/>
                <w:bCs/>
                <w:szCs w:val="20"/>
                <w:highlight w:val="none"/>
              </w:rPr>
              <w:t>1</w:t>
            </w:r>
          </w:p>
        </w:tc>
        <w:tc>
          <w:tcPr>
            <w:tcW w:w="2191" w:type="dxa"/>
            <w:noWrap w:val="0"/>
            <w:vAlign w:val="center"/>
          </w:tcPr>
          <w:p w14:paraId="0FBA4ABD">
            <w:pPr>
              <w:jc w:val="center"/>
              <w:rPr>
                <w:rFonts w:hint="eastAsia" w:ascii="宋体" w:hAnsi="宋体" w:cs="@仿宋_GB2312"/>
                <w:bCs/>
                <w:kern w:val="0"/>
                <w:szCs w:val="28"/>
                <w:highlight w:val="none"/>
              </w:rPr>
            </w:pPr>
            <w:r>
              <w:rPr>
                <w:rFonts w:hint="eastAsia" w:ascii="宋体" w:hAnsi="宋体" w:cs="@仿宋_GB2312"/>
                <w:bCs/>
                <w:kern w:val="0"/>
                <w:szCs w:val="28"/>
                <w:highlight w:val="none"/>
              </w:rPr>
              <w:t>付款方式</w:t>
            </w:r>
          </w:p>
        </w:tc>
        <w:tc>
          <w:tcPr>
            <w:tcW w:w="5476" w:type="dxa"/>
            <w:noWrap w:val="0"/>
            <w:vAlign w:val="center"/>
          </w:tcPr>
          <w:p w14:paraId="042BC0AD">
            <w:pPr>
              <w:jc w:val="both"/>
              <w:rPr>
                <w:rFonts w:hint="eastAsia" w:ascii="宋体" w:hAnsi="宋体" w:cs="@仿宋_GB2312"/>
                <w:bCs/>
                <w:kern w:val="0"/>
                <w:szCs w:val="28"/>
                <w:highlight w:val="none"/>
              </w:rPr>
            </w:pPr>
            <w:r>
              <w:rPr>
                <w:rFonts w:hint="eastAsia" w:ascii="宋体" w:hAnsi="宋体" w:eastAsia="宋体" w:cs="@仿宋_GB2312"/>
                <w:b w:val="0"/>
                <w:bCs/>
                <w:kern w:val="0"/>
                <w:sz w:val="24"/>
                <w:highlight w:val="none"/>
                <w:u w:val="none"/>
              </w:rPr>
              <w:t>项目验收合格后三个月内首付 90%合同款，余额10%合同款作为质保金项目验收合格后一年如无质量问题无息付清。</w:t>
            </w:r>
          </w:p>
        </w:tc>
      </w:tr>
      <w:tr w14:paraId="7ADAB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088BE0F2">
            <w:pPr>
              <w:spacing w:line="240" w:lineRule="auto"/>
              <w:jc w:val="center"/>
              <w:rPr>
                <w:rFonts w:hint="eastAsia" w:ascii="宋体" w:hAnsi="宋体" w:cs="@仿宋_GB2312"/>
                <w:bCs/>
                <w:szCs w:val="20"/>
                <w:highlight w:val="none"/>
              </w:rPr>
            </w:pPr>
            <w:r>
              <w:rPr>
                <w:rFonts w:hint="eastAsia" w:ascii="宋体" w:hAnsi="宋体" w:cs="@仿宋_GB2312"/>
                <w:bCs/>
                <w:szCs w:val="20"/>
                <w:highlight w:val="none"/>
              </w:rPr>
              <w:t>2</w:t>
            </w:r>
          </w:p>
        </w:tc>
        <w:tc>
          <w:tcPr>
            <w:tcW w:w="2191" w:type="dxa"/>
            <w:noWrap w:val="0"/>
            <w:vAlign w:val="center"/>
          </w:tcPr>
          <w:p w14:paraId="26BCDF6B">
            <w:pPr>
              <w:spacing w:line="360" w:lineRule="auto"/>
              <w:jc w:val="center"/>
              <w:rPr>
                <w:rFonts w:hint="eastAsia" w:ascii="宋体" w:hAnsi="宋体" w:cs="@仿宋_GB2312"/>
                <w:bCs/>
                <w:kern w:val="0"/>
                <w:szCs w:val="28"/>
                <w:highlight w:val="none"/>
              </w:rPr>
            </w:pPr>
            <w:r>
              <w:rPr>
                <w:rFonts w:hint="eastAsia" w:ascii="宋体" w:hAnsi="宋体" w:cs="@仿宋_GB2312"/>
                <w:bCs/>
                <w:kern w:val="0"/>
                <w:sz w:val="24"/>
                <w:szCs w:val="24"/>
                <w:highlight w:val="none"/>
              </w:rPr>
              <w:t>供货及安装地点</w:t>
            </w:r>
          </w:p>
        </w:tc>
        <w:tc>
          <w:tcPr>
            <w:tcW w:w="5476" w:type="dxa"/>
            <w:noWrap w:val="0"/>
            <w:vAlign w:val="center"/>
          </w:tcPr>
          <w:p w14:paraId="3F4172BA">
            <w:pPr>
              <w:spacing w:line="360" w:lineRule="auto"/>
              <w:jc w:val="both"/>
              <w:rPr>
                <w:rFonts w:hint="eastAsia" w:ascii="宋体" w:hAnsi="宋体" w:cs="@仿宋_GB2312"/>
                <w:bCs/>
                <w:kern w:val="0"/>
                <w:szCs w:val="28"/>
                <w:highlight w:val="none"/>
              </w:rPr>
            </w:pPr>
            <w:r>
              <w:rPr>
                <w:rFonts w:hint="eastAsia" w:ascii="宋体" w:hAnsi="宋体" w:cs="@仿宋_GB2312"/>
                <w:bCs/>
                <w:kern w:val="0"/>
                <w:sz w:val="24"/>
                <w:szCs w:val="24"/>
                <w:highlight w:val="none"/>
              </w:rPr>
              <w:t>采购人指定地点</w:t>
            </w:r>
          </w:p>
        </w:tc>
      </w:tr>
      <w:tr w14:paraId="402D2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3DCB47C5">
            <w:pPr>
              <w:spacing w:line="240" w:lineRule="auto"/>
              <w:jc w:val="center"/>
              <w:rPr>
                <w:rFonts w:hint="eastAsia" w:ascii="宋体" w:hAnsi="宋体" w:cs="@仿宋_GB2312"/>
                <w:bCs/>
                <w:szCs w:val="20"/>
                <w:highlight w:val="none"/>
              </w:rPr>
            </w:pPr>
            <w:r>
              <w:rPr>
                <w:rFonts w:hint="eastAsia" w:ascii="宋体" w:hAnsi="宋体" w:cs="@仿宋_GB2312"/>
                <w:bCs/>
                <w:szCs w:val="20"/>
                <w:highlight w:val="none"/>
              </w:rPr>
              <w:t>3</w:t>
            </w:r>
          </w:p>
        </w:tc>
        <w:tc>
          <w:tcPr>
            <w:tcW w:w="2191" w:type="dxa"/>
            <w:noWrap w:val="0"/>
            <w:vAlign w:val="center"/>
          </w:tcPr>
          <w:p w14:paraId="3201D84C">
            <w:pPr>
              <w:spacing w:line="360" w:lineRule="auto"/>
              <w:jc w:val="center"/>
              <w:rPr>
                <w:rFonts w:hint="eastAsia" w:ascii="宋体" w:hAnsi="宋体" w:eastAsia="宋体" w:cs="@仿宋_GB2312"/>
                <w:bCs/>
                <w:kern w:val="0"/>
                <w:szCs w:val="28"/>
                <w:highlight w:val="none"/>
                <w:lang w:eastAsia="zh-CN"/>
              </w:rPr>
            </w:pPr>
            <w:r>
              <w:rPr>
                <w:rFonts w:hint="eastAsia" w:ascii="宋体" w:hAnsi="宋体" w:cs="@仿宋_GB2312"/>
                <w:bCs/>
                <w:kern w:val="0"/>
                <w:sz w:val="24"/>
                <w:szCs w:val="24"/>
                <w:highlight w:val="none"/>
                <w:lang w:eastAsia="zh-CN"/>
              </w:rPr>
              <w:t>建设周期</w:t>
            </w:r>
          </w:p>
        </w:tc>
        <w:tc>
          <w:tcPr>
            <w:tcW w:w="5476" w:type="dxa"/>
            <w:noWrap w:val="0"/>
            <w:vAlign w:val="center"/>
          </w:tcPr>
          <w:p w14:paraId="51C3E502">
            <w:pPr>
              <w:spacing w:line="360" w:lineRule="auto"/>
              <w:jc w:val="both"/>
              <w:rPr>
                <w:rFonts w:hint="eastAsia" w:ascii="宋体" w:hAnsi="宋体" w:cs="@仿宋_GB2312"/>
                <w:bCs/>
                <w:kern w:val="0"/>
                <w:szCs w:val="28"/>
                <w:highlight w:val="none"/>
              </w:rPr>
            </w:pPr>
            <w:r>
              <w:rPr>
                <w:rFonts w:hint="eastAsia" w:ascii="宋体" w:hAnsi="宋体" w:cs="@仿宋_GB2312"/>
                <w:bCs/>
                <w:kern w:val="0"/>
                <w:sz w:val="24"/>
                <w:szCs w:val="24"/>
                <w:highlight w:val="none"/>
                <w:lang w:val="en-US" w:eastAsia="zh-CN"/>
              </w:rPr>
              <w:t>详见采购公告</w:t>
            </w:r>
            <w:r>
              <w:rPr>
                <w:rFonts w:hint="eastAsia" w:ascii="宋体" w:hAnsi="宋体" w:cs="@仿宋_GB2312"/>
                <w:bCs/>
                <w:kern w:val="0"/>
                <w:sz w:val="24"/>
                <w:szCs w:val="24"/>
                <w:highlight w:val="none"/>
              </w:rPr>
              <w:t>。</w:t>
            </w:r>
          </w:p>
        </w:tc>
      </w:tr>
      <w:tr w14:paraId="35323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2DA1AA20">
            <w:pPr>
              <w:spacing w:line="360" w:lineRule="auto"/>
              <w:jc w:val="center"/>
              <w:rPr>
                <w:rFonts w:hint="eastAsia" w:ascii="宋体" w:hAnsi="宋体" w:cs="@仿宋_GB2312"/>
                <w:bCs/>
                <w:szCs w:val="20"/>
                <w:highlight w:val="none"/>
              </w:rPr>
            </w:pPr>
            <w:r>
              <w:rPr>
                <w:rFonts w:hint="eastAsia" w:ascii="宋体" w:hAnsi="宋体" w:cs="@仿宋_GB2312"/>
                <w:bCs/>
                <w:sz w:val="24"/>
                <w:szCs w:val="24"/>
                <w:highlight w:val="none"/>
              </w:rPr>
              <w:t>4</w:t>
            </w:r>
          </w:p>
        </w:tc>
        <w:tc>
          <w:tcPr>
            <w:tcW w:w="2191" w:type="dxa"/>
            <w:noWrap w:val="0"/>
            <w:vAlign w:val="center"/>
          </w:tcPr>
          <w:p w14:paraId="7D9C85A9">
            <w:pPr>
              <w:spacing w:line="360" w:lineRule="auto"/>
              <w:jc w:val="center"/>
              <w:rPr>
                <w:rFonts w:hint="eastAsia" w:ascii="宋体" w:hAnsi="宋体" w:cs="@仿宋_GB2312"/>
                <w:bCs/>
                <w:kern w:val="0"/>
                <w:szCs w:val="28"/>
                <w:highlight w:val="none"/>
              </w:rPr>
            </w:pPr>
            <w:r>
              <w:rPr>
                <w:rFonts w:hint="eastAsia" w:ascii="宋体" w:hAnsi="宋体" w:cs="@仿宋_GB2312"/>
                <w:bCs/>
                <w:kern w:val="0"/>
                <w:sz w:val="24"/>
                <w:szCs w:val="24"/>
                <w:highlight w:val="none"/>
                <w:lang w:eastAsia="zh-CN"/>
              </w:rPr>
              <w:t>免费维保</w:t>
            </w:r>
            <w:r>
              <w:rPr>
                <w:rFonts w:hint="eastAsia" w:ascii="宋体" w:hAnsi="宋体" w:cs="@仿宋_GB2312"/>
                <w:bCs/>
                <w:kern w:val="0"/>
                <w:sz w:val="24"/>
                <w:szCs w:val="24"/>
                <w:highlight w:val="none"/>
              </w:rPr>
              <w:t>期（如有）</w:t>
            </w:r>
          </w:p>
        </w:tc>
        <w:tc>
          <w:tcPr>
            <w:tcW w:w="5476" w:type="dxa"/>
            <w:noWrap w:val="0"/>
            <w:vAlign w:val="center"/>
          </w:tcPr>
          <w:p w14:paraId="5757805C">
            <w:pPr>
              <w:spacing w:line="360" w:lineRule="auto"/>
              <w:jc w:val="both"/>
              <w:rPr>
                <w:rFonts w:hint="eastAsia" w:ascii="宋体" w:hAnsi="宋体" w:cs="@仿宋_GB2312"/>
                <w:bCs/>
                <w:kern w:val="0"/>
                <w:szCs w:val="28"/>
                <w:highlight w:val="none"/>
              </w:rPr>
            </w:pPr>
            <w:r>
              <w:rPr>
                <w:rFonts w:hint="eastAsia" w:ascii="宋体" w:hAnsi="宋体" w:cs="@仿宋_GB2312"/>
                <w:bCs/>
                <w:kern w:val="0"/>
                <w:sz w:val="24"/>
                <w:szCs w:val="24"/>
                <w:highlight w:val="none"/>
                <w:lang w:val="en-US" w:eastAsia="zh-CN"/>
              </w:rPr>
              <w:t>详见采购公告</w:t>
            </w:r>
            <w:r>
              <w:rPr>
                <w:rFonts w:hint="eastAsia" w:ascii="宋体" w:hAnsi="宋体" w:cs="@仿宋_GB2312"/>
                <w:bCs/>
                <w:kern w:val="0"/>
                <w:sz w:val="24"/>
                <w:szCs w:val="24"/>
                <w:highlight w:val="none"/>
              </w:rPr>
              <w:t>。</w:t>
            </w:r>
          </w:p>
        </w:tc>
      </w:tr>
    </w:tbl>
    <w:p w14:paraId="7D3E0883">
      <w:pPr>
        <w:ind w:firstLine="437"/>
        <w:jc w:val="both"/>
        <w:outlineLvl w:val="1"/>
        <w:rPr>
          <w:rFonts w:hint="eastAsia" w:ascii="宋体" w:hAnsi="宋体" w:cs="@仿宋_GB2312"/>
          <w:b/>
          <w:bCs/>
          <w:szCs w:val="18"/>
          <w:highlight w:val="none"/>
        </w:rPr>
      </w:pPr>
    </w:p>
    <w:p w14:paraId="5D17AE53">
      <w:pPr>
        <w:spacing w:line="360" w:lineRule="auto"/>
        <w:ind w:firstLine="437"/>
        <w:jc w:val="both"/>
        <w:outlineLvl w:val="1"/>
        <w:rPr>
          <w:rFonts w:hint="eastAsia" w:ascii="宋体" w:hAnsi="宋体" w:cs="@仿宋_GB2312"/>
          <w:b/>
          <w:bCs/>
          <w:sz w:val="24"/>
          <w:szCs w:val="24"/>
          <w:highlight w:val="none"/>
        </w:rPr>
      </w:pPr>
      <w:bookmarkStart w:id="3" w:name="_Toc7421"/>
      <w:bookmarkStart w:id="4" w:name="_Toc4843"/>
      <w:r>
        <w:rPr>
          <w:rFonts w:hint="eastAsia" w:ascii="宋体" w:hAnsi="宋体" w:cs="@仿宋_GB2312"/>
          <w:b/>
          <w:bCs/>
          <w:sz w:val="24"/>
          <w:szCs w:val="24"/>
          <w:highlight w:val="none"/>
        </w:rPr>
        <w:t>二、</w:t>
      </w:r>
      <w:r>
        <w:rPr>
          <w:rFonts w:hint="eastAsia" w:ascii="宋体" w:hAnsi="宋体" w:cs="@仿宋_GB2312"/>
          <w:b/>
          <w:sz w:val="24"/>
          <w:szCs w:val="24"/>
          <w:highlight w:val="none"/>
          <w:lang w:val="en-US" w:eastAsia="zh-CN"/>
        </w:rPr>
        <w:t>技术</w:t>
      </w:r>
      <w:r>
        <w:rPr>
          <w:rFonts w:hint="eastAsia" w:ascii="宋体" w:hAnsi="宋体" w:cs="@仿宋_GB2312"/>
          <w:b/>
          <w:bCs/>
          <w:sz w:val="24"/>
          <w:szCs w:val="24"/>
          <w:highlight w:val="none"/>
        </w:rPr>
        <w:t>需求</w:t>
      </w:r>
    </w:p>
    <w:bookmarkEnd w:id="3"/>
    <w:bookmarkEnd w:id="4"/>
    <w:p w14:paraId="3316F0D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eastAsia="宋体" w:cs="宋体"/>
          <w:kern w:val="2"/>
          <w:sz w:val="24"/>
          <w:szCs w:val="24"/>
          <w:highlight w:val="none"/>
          <w:lang w:val="en-US" w:eastAsia="zh-CN" w:bidi="ar-SA"/>
        </w:rPr>
      </w:pPr>
    </w:p>
    <w:p w14:paraId="102531D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kern w:val="2"/>
          <w:sz w:val="24"/>
          <w:szCs w:val="24"/>
          <w:highlight w:val="none"/>
          <w:lang w:val="en-US" w:eastAsia="zh-CN" w:bidi="ar-SA"/>
        </w:rPr>
        <w:t>【一】</w:t>
      </w:r>
      <w:r>
        <w:rPr>
          <w:rFonts w:hint="eastAsia" w:ascii="宋体" w:hAnsi="宋体" w:eastAsia="宋体" w:cs="宋体"/>
          <w:b/>
          <w:bCs/>
          <w:sz w:val="24"/>
          <w:szCs w:val="24"/>
          <w:highlight w:val="none"/>
          <w:lang w:val="en-US" w:eastAsia="zh-CN"/>
        </w:rPr>
        <w:t>建设目标</w:t>
      </w:r>
    </w:p>
    <w:p w14:paraId="14C4164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根据国家和安徽省的医保支付方式改革、公立医院绩效监测、卫生信息化建设相关要求，结合医院的实际情况，建立一套以“医保结算清单管理”为核心，满足医院医保精细化管理的系统（以下简称“清单绩效系统”）。</w:t>
      </w:r>
    </w:p>
    <w:p w14:paraId="73121B85">
      <w:pPr>
        <w:pStyle w:val="5"/>
        <w:keepNext w:val="0"/>
        <w:keepLines w:val="0"/>
        <w:pageBreakBefore w:val="0"/>
        <w:widowControl w:val="0"/>
        <w:numPr>
          <w:ilvl w:val="0"/>
          <w:numId w:val="1"/>
        </w:numPr>
        <w:kinsoku/>
        <w:wordWrap/>
        <w:overflowPunct/>
        <w:topLinePunct w:val="0"/>
        <w:bidi w:val="0"/>
        <w:spacing w:line="360" w:lineRule="auto"/>
        <w:ind w:left="425" w:leftChars="0" w:hanging="425"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清单系统建设目标</w:t>
      </w:r>
    </w:p>
    <w:p w14:paraId="71A0DBF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（1）高效质控：清单系统能够根据国家、省、市质控要求，对所有清单进行质控，找出问题，推荐解决方案。</w:t>
      </w:r>
    </w:p>
    <w:p w14:paraId="39CBF01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（2）专项质控：清单系统能够根据医保局、省、市审核规则，及时完善系统内审核规则，进行专项质控，找出问题，推荐解决方案。</w:t>
      </w:r>
    </w:p>
    <w:p w14:paraId="5A311574">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（3）全流程管理：通过清单管理系统实现生成、编辑、审核的全流程一站式体验，规范清单管理流程。</w:t>
      </w:r>
    </w:p>
    <w:p w14:paraId="50A30674">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（4）精细化管理：对清单问题跟踪溯源，持续改进清单质量，推进精细化管理。</w:t>
      </w:r>
    </w:p>
    <w:p w14:paraId="6997FF6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（5）清单独立保存功能，真正区分病案首页和医保结算清单，以满足不同的管理和上报要求。</w:t>
      </w:r>
    </w:p>
    <w:p w14:paraId="12870A9C">
      <w:pPr>
        <w:pStyle w:val="5"/>
        <w:spacing w:line="360" w:lineRule="auto"/>
        <w:rPr>
          <w:rFonts w:hint="eastAsia" w:ascii="宋体" w:hAnsi="宋体" w:eastAsia="宋体" w:cs="宋体"/>
          <w:sz w:val="24"/>
          <w:szCs w:val="24"/>
          <w:highlight w:val="none"/>
          <w:lang w:val="en-US" w:eastAsia="zh-CN"/>
        </w:rPr>
      </w:pPr>
    </w:p>
    <w:p w14:paraId="10A7864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kern w:val="2"/>
          <w:sz w:val="24"/>
          <w:szCs w:val="24"/>
          <w:highlight w:val="none"/>
          <w:lang w:val="en-US" w:eastAsia="zh-CN" w:bidi="ar-SA"/>
        </w:rPr>
        <w:t>【二】</w:t>
      </w:r>
      <w:r>
        <w:rPr>
          <w:rFonts w:hint="eastAsia" w:ascii="宋体" w:hAnsi="宋体" w:eastAsia="宋体" w:cs="宋体"/>
          <w:b/>
          <w:bCs/>
          <w:sz w:val="24"/>
          <w:szCs w:val="24"/>
          <w:highlight w:val="none"/>
          <w:lang w:val="en-US" w:eastAsia="zh-CN"/>
        </w:rPr>
        <w:t>技术要求</w:t>
      </w:r>
    </w:p>
    <w:p w14:paraId="66D989D5">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本次项目为软件系统服务项目，硬件、网络、安全等都利用现有医院资源，不另行采购。总体技术需求如下：</w:t>
      </w:r>
    </w:p>
    <w:p w14:paraId="0A18FE41">
      <w:pPr>
        <w:pStyle w:val="5"/>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425" w:leftChars="0" w:hanging="425"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lang w:val="en-US" w:eastAsia="zh-CN" w:bidi="ar-SA"/>
        </w:rPr>
        <w:t>1.</w:t>
      </w:r>
      <w:r>
        <w:rPr>
          <w:rFonts w:hint="eastAsia" w:ascii="宋体" w:hAnsi="宋体" w:eastAsia="宋体" w:cs="宋体"/>
          <w:sz w:val="24"/>
          <w:szCs w:val="24"/>
          <w:highlight w:val="none"/>
          <w:lang w:val="en-US" w:eastAsia="zh-CN"/>
        </w:rPr>
        <w:t>采用多层架构的B/S结构，应用展示端建议采用HTML5技术，必须支持跨平台的应用展示；</w:t>
      </w:r>
    </w:p>
    <w:p w14:paraId="065627C0">
      <w:pPr>
        <w:pStyle w:val="5"/>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425" w:leftChars="0" w:hanging="425"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lang w:val="en-US" w:eastAsia="zh-CN" w:bidi="ar-SA"/>
        </w:rPr>
        <w:t>2.</w:t>
      </w:r>
      <w:r>
        <w:rPr>
          <w:rFonts w:hint="eastAsia" w:ascii="宋体" w:hAnsi="宋体" w:eastAsia="宋体" w:cs="宋体"/>
          <w:sz w:val="24"/>
          <w:szCs w:val="24"/>
          <w:highlight w:val="none"/>
          <w:lang w:val="en-US" w:eastAsia="zh-CN"/>
        </w:rPr>
        <w:t>考虑到平台将来的可扩展性，平台必须是开放式的：展示页面可视化配置，灵活增加；具有数据集，且数据集可自定义配置；</w:t>
      </w:r>
    </w:p>
    <w:p w14:paraId="163AF2EA">
      <w:pPr>
        <w:pStyle w:val="5"/>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425" w:leftChars="0" w:hanging="425"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lang w:val="en-US" w:eastAsia="zh-CN" w:bidi="ar-SA"/>
        </w:rPr>
        <w:t>3.</w:t>
      </w:r>
      <w:r>
        <w:rPr>
          <w:rFonts w:hint="eastAsia" w:ascii="宋体" w:hAnsi="宋体" w:eastAsia="宋体" w:cs="宋体"/>
          <w:sz w:val="24"/>
          <w:szCs w:val="24"/>
          <w:highlight w:val="none"/>
          <w:lang w:val="en-US" w:eastAsia="zh-CN"/>
        </w:rPr>
        <w:t>要有数据展现引擎，可以根据医院需求灵活地配置相关管理指标的呈现；</w:t>
      </w:r>
    </w:p>
    <w:p w14:paraId="34967201">
      <w:pPr>
        <w:pStyle w:val="5"/>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425" w:leftChars="0" w:hanging="425"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lang w:val="en-US" w:eastAsia="zh-CN" w:bidi="ar-SA"/>
        </w:rPr>
        <w:t>4.</w:t>
      </w:r>
      <w:r>
        <w:rPr>
          <w:rFonts w:hint="eastAsia" w:ascii="宋体" w:hAnsi="宋体" w:eastAsia="宋体" w:cs="宋体"/>
          <w:sz w:val="24"/>
          <w:szCs w:val="24"/>
          <w:highlight w:val="none"/>
          <w:lang w:val="en-US" w:eastAsia="zh-CN"/>
        </w:rPr>
        <w:t>系统应采用B/S架构设计，全面满足国产化信创要求，适配主流国产操作系统、数据库、服务器等运行环境，确保全栈国产化环境下的稳定运行；</w:t>
      </w:r>
    </w:p>
    <w:p w14:paraId="3A1BCC8A">
      <w:pPr>
        <w:pStyle w:val="5"/>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425" w:leftChars="0" w:hanging="425"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lang w:val="en-US" w:eastAsia="zh-CN" w:bidi="ar-SA"/>
        </w:rPr>
        <w:t>5.</w:t>
      </w:r>
      <w:r>
        <w:rPr>
          <w:rFonts w:hint="eastAsia" w:ascii="宋体" w:hAnsi="宋体" w:eastAsia="宋体" w:cs="宋体"/>
          <w:sz w:val="24"/>
          <w:szCs w:val="24"/>
          <w:highlight w:val="none"/>
          <w:lang w:val="en-US" w:eastAsia="zh-CN"/>
        </w:rPr>
        <w:t>须提供配套的ETL工具、数据订阅工具、消息引擎、规则库、报表工具、数据共享引擎等一系列应用工具，可确保各种临床和管理应用效果的配置扩展实现。</w:t>
      </w:r>
    </w:p>
    <w:p w14:paraId="4405092F">
      <w:pPr>
        <w:pStyle w:val="5"/>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425" w:leftChars="0" w:hanging="425"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lang w:val="en-US" w:eastAsia="zh-CN" w:bidi="ar-SA"/>
        </w:rPr>
        <w:t>6.</w:t>
      </w:r>
      <w:r>
        <w:rPr>
          <w:rFonts w:hint="eastAsia" w:ascii="宋体" w:hAnsi="宋体" w:eastAsia="宋体" w:cs="宋体"/>
          <w:sz w:val="24"/>
          <w:szCs w:val="24"/>
          <w:highlight w:val="none"/>
          <w:lang w:val="en-US" w:eastAsia="zh-CN"/>
        </w:rPr>
        <w:t>数据中心从HIS、电子病历等医院业务系统接入数据时，为不影响当前业务系统的正常运行，也不增加接口改造的风险及费用，推荐采用CDC技术方案（只要能达到准确、高效的数据采集，也可以允许其他技术方案），支持ESB接入。</w:t>
      </w:r>
    </w:p>
    <w:p w14:paraId="4261414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eastAsia="宋体" w:cs="宋体"/>
          <w:b/>
          <w:bCs/>
          <w:kern w:val="2"/>
          <w:sz w:val="24"/>
          <w:szCs w:val="24"/>
          <w:highlight w:val="none"/>
          <w:lang w:val="en-US" w:eastAsia="zh-CN" w:bidi="ar-SA"/>
        </w:rPr>
      </w:pPr>
    </w:p>
    <w:p w14:paraId="6C68894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kern w:val="2"/>
          <w:sz w:val="24"/>
          <w:szCs w:val="24"/>
          <w:highlight w:val="none"/>
          <w:lang w:val="en-US" w:eastAsia="zh-CN" w:bidi="ar-SA"/>
        </w:rPr>
        <w:t>【三】</w:t>
      </w:r>
      <w:r>
        <w:rPr>
          <w:rFonts w:hint="eastAsia" w:ascii="宋体" w:hAnsi="宋体" w:eastAsia="宋体" w:cs="宋体"/>
          <w:b/>
          <w:bCs/>
          <w:sz w:val="24"/>
          <w:szCs w:val="24"/>
          <w:highlight w:val="none"/>
          <w:lang w:val="en-US" w:eastAsia="zh-CN"/>
        </w:rPr>
        <w:t>系统功能需求</w:t>
      </w:r>
    </w:p>
    <w:p w14:paraId="15C01649">
      <w:pPr>
        <w:pStyle w:val="5"/>
        <w:keepNext w:val="0"/>
        <w:keepLines w:val="0"/>
        <w:pageBreakBefore w:val="0"/>
        <w:widowControl w:val="0"/>
        <w:numPr>
          <w:ilvl w:val="0"/>
          <w:numId w:val="0"/>
        </w:numPr>
        <w:kinsoku/>
        <w:wordWrap/>
        <w:overflowPunct/>
        <w:topLinePunct w:val="0"/>
        <w:bidi w:val="0"/>
        <w:spacing w:line="360" w:lineRule="auto"/>
        <w:ind w:left="425" w:leftChars="0" w:hanging="425"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lang w:val="en-US" w:eastAsia="zh-CN" w:bidi="ar-SA"/>
        </w:rPr>
        <w:t>1.</w:t>
      </w:r>
      <w:r>
        <w:rPr>
          <w:rFonts w:hint="eastAsia" w:ascii="宋体" w:hAnsi="宋体" w:eastAsia="宋体" w:cs="宋体"/>
          <w:sz w:val="24"/>
          <w:szCs w:val="24"/>
          <w:highlight w:val="none"/>
          <w:lang w:val="en-US" w:eastAsia="zh-CN"/>
        </w:rPr>
        <w:t>医保结算清单管理系统</w:t>
      </w:r>
    </w:p>
    <w:p w14:paraId="26C65C18">
      <w:pPr>
        <w:pStyle w:val="5"/>
        <w:keepNext w:val="0"/>
        <w:keepLines w:val="0"/>
        <w:pageBreakBefore w:val="0"/>
        <w:widowControl w:val="0"/>
        <w:numPr>
          <w:ilvl w:val="1"/>
          <w:numId w:val="0"/>
        </w:numPr>
        <w:kinsoku/>
        <w:wordWrap/>
        <w:overflowPunct/>
        <w:topLinePunct w:val="0"/>
        <w:bidi w:val="0"/>
        <w:spacing w:line="360" w:lineRule="auto"/>
        <w:ind w:left="567" w:leftChars="0" w:hanging="567"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lang w:val="en-US" w:eastAsia="zh-CN" w:bidi="ar-SA"/>
        </w:rPr>
        <w:t>1.1.</w:t>
      </w:r>
      <w:r>
        <w:rPr>
          <w:rFonts w:hint="eastAsia" w:ascii="宋体" w:hAnsi="宋体" w:eastAsia="宋体" w:cs="宋体"/>
          <w:sz w:val="24"/>
          <w:szCs w:val="24"/>
          <w:highlight w:val="none"/>
          <w:lang w:val="en-US" w:eastAsia="zh-CN"/>
        </w:rPr>
        <w:t>清单驾驶舱</w:t>
      </w:r>
    </w:p>
    <w:p w14:paraId="3D94696D">
      <w:pPr>
        <w:pStyle w:val="5"/>
        <w:keepNext w:val="0"/>
        <w:keepLines w:val="0"/>
        <w:pageBreakBefore w:val="0"/>
        <w:widowControl w:val="0"/>
        <w:numPr>
          <w:ilvl w:val="2"/>
          <w:numId w:val="0"/>
        </w:numPr>
        <w:kinsoku/>
        <w:wordWrap/>
        <w:overflowPunct/>
        <w:topLinePunct w:val="0"/>
        <w:bidi w:val="0"/>
        <w:spacing w:line="360" w:lineRule="auto"/>
        <w:ind w:left="709" w:leftChars="0" w:hanging="709" w:firstLineChars="0"/>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bidi="ar-SA"/>
        </w:rPr>
        <w:t>1.1.1.</w:t>
      </w:r>
      <w:r>
        <w:rPr>
          <w:rFonts w:hint="eastAsia" w:ascii="宋体" w:hAnsi="宋体" w:eastAsia="宋体" w:cs="宋体"/>
          <w:kern w:val="0"/>
          <w:sz w:val="24"/>
          <w:szCs w:val="24"/>
          <w:highlight w:val="none"/>
        </w:rPr>
        <w:t>清单任务统计</w:t>
      </w:r>
    </w:p>
    <w:p w14:paraId="203E2CF9">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rPr>
        <w:t>支持展示已生成清单的数量</w:t>
      </w:r>
      <w:r>
        <w:rPr>
          <w:rFonts w:hint="eastAsia" w:ascii="宋体" w:hAnsi="宋体" w:eastAsia="宋体" w:cs="宋体"/>
          <w:kern w:val="0"/>
          <w:sz w:val="24"/>
          <w:szCs w:val="24"/>
          <w:highlight w:val="none"/>
          <w:lang w:val="en-US" w:eastAsia="zh-CN"/>
        </w:rPr>
        <w:t>与待生成的清单数量，及时与局端对比、校正；</w:t>
      </w:r>
      <w:r>
        <w:rPr>
          <w:rFonts w:hint="eastAsia" w:ascii="宋体" w:hAnsi="宋体" w:eastAsia="宋体" w:cs="宋体"/>
          <w:kern w:val="0"/>
          <w:sz w:val="24"/>
          <w:szCs w:val="24"/>
          <w:highlight w:val="none"/>
        </w:rPr>
        <w:t>支持根据医院实际配置的审核流程节点，分别展示清单初审、清单复审、清单终审任务节点中具体的清单审核状态及数量，支持下钻到对应清单列表</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支持按院内结算日期、出院日期统计筛选时间段内以上清单的数量及状态</w:t>
      </w:r>
      <w:r>
        <w:rPr>
          <w:rFonts w:hint="eastAsia" w:ascii="宋体" w:hAnsi="宋体" w:eastAsia="宋体" w:cs="宋体"/>
          <w:kern w:val="0"/>
          <w:sz w:val="24"/>
          <w:szCs w:val="24"/>
          <w:highlight w:val="none"/>
          <w:lang w:eastAsia="zh-CN"/>
        </w:rPr>
        <w:t>。</w:t>
      </w:r>
    </w:p>
    <w:p w14:paraId="474CD97B">
      <w:pPr>
        <w:pStyle w:val="5"/>
        <w:keepNext w:val="0"/>
        <w:keepLines w:val="0"/>
        <w:pageBreakBefore w:val="0"/>
        <w:widowControl w:val="0"/>
        <w:numPr>
          <w:ilvl w:val="2"/>
          <w:numId w:val="0"/>
        </w:numPr>
        <w:kinsoku/>
        <w:wordWrap/>
        <w:overflowPunct/>
        <w:topLinePunct w:val="0"/>
        <w:bidi w:val="0"/>
        <w:spacing w:line="360" w:lineRule="auto"/>
        <w:ind w:left="709" w:leftChars="0" w:hanging="709" w:firstLineChars="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1.1.2.</w:t>
      </w:r>
      <w:r>
        <w:rPr>
          <w:rFonts w:hint="eastAsia" w:ascii="宋体" w:hAnsi="宋体" w:eastAsia="宋体" w:cs="宋体"/>
          <w:kern w:val="0"/>
          <w:sz w:val="24"/>
          <w:szCs w:val="24"/>
          <w:highlight w:val="none"/>
          <w:lang w:val="en-US" w:eastAsia="zh-CN"/>
        </w:rPr>
        <w:t>清单管控指标</w:t>
      </w:r>
    </w:p>
    <w:p w14:paraId="31AF3619">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rPr>
        <w:t>支持统计筛选时间段内的审核完成率、首次上报合格率</w:t>
      </w:r>
      <w:r>
        <w:rPr>
          <w:rFonts w:hint="eastAsia" w:ascii="宋体" w:hAnsi="宋体" w:eastAsia="宋体" w:cs="宋体"/>
          <w:kern w:val="0"/>
          <w:sz w:val="24"/>
          <w:szCs w:val="24"/>
          <w:highlight w:val="none"/>
          <w:lang w:eastAsia="zh-CN"/>
        </w:rPr>
        <w:t>。</w:t>
      </w:r>
    </w:p>
    <w:p w14:paraId="4532E489">
      <w:pPr>
        <w:pStyle w:val="5"/>
        <w:keepNext w:val="0"/>
        <w:keepLines w:val="0"/>
        <w:pageBreakBefore w:val="0"/>
        <w:widowControl w:val="0"/>
        <w:numPr>
          <w:ilvl w:val="2"/>
          <w:numId w:val="0"/>
        </w:numPr>
        <w:kinsoku/>
        <w:wordWrap/>
        <w:overflowPunct/>
        <w:topLinePunct w:val="0"/>
        <w:bidi w:val="0"/>
        <w:spacing w:line="360" w:lineRule="auto"/>
        <w:ind w:left="709" w:leftChars="0" w:hanging="709" w:firstLineChars="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1.1.3.</w:t>
      </w:r>
      <w:r>
        <w:rPr>
          <w:rFonts w:hint="eastAsia" w:ascii="宋体" w:hAnsi="宋体" w:eastAsia="宋体" w:cs="宋体"/>
          <w:kern w:val="0"/>
          <w:sz w:val="24"/>
          <w:szCs w:val="24"/>
          <w:highlight w:val="none"/>
          <w:lang w:val="en-US" w:eastAsia="zh-CN"/>
        </w:rPr>
        <w:t>清单常见错误统计</w:t>
      </w:r>
    </w:p>
    <w:p w14:paraId="45953881">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支持统计清单常见错误分析、归类，可以从错误、科室等维度查询。</w:t>
      </w:r>
    </w:p>
    <w:p w14:paraId="190E9E6E">
      <w:pPr>
        <w:pStyle w:val="5"/>
        <w:keepNext w:val="0"/>
        <w:keepLines w:val="0"/>
        <w:pageBreakBefore w:val="0"/>
        <w:widowControl w:val="0"/>
        <w:numPr>
          <w:ilvl w:val="1"/>
          <w:numId w:val="0"/>
        </w:numPr>
        <w:kinsoku/>
        <w:wordWrap/>
        <w:overflowPunct/>
        <w:topLinePunct w:val="0"/>
        <w:bidi w:val="0"/>
        <w:spacing w:line="360" w:lineRule="auto"/>
        <w:ind w:left="567" w:leftChars="0" w:hanging="567"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lang w:val="en-US" w:eastAsia="zh-CN" w:bidi="ar-SA"/>
        </w:rPr>
        <w:t>1.2.</w:t>
      </w:r>
      <w:r>
        <w:rPr>
          <w:rFonts w:hint="eastAsia" w:ascii="宋体" w:hAnsi="宋体" w:eastAsia="宋体" w:cs="宋体"/>
          <w:sz w:val="24"/>
          <w:szCs w:val="24"/>
          <w:highlight w:val="none"/>
          <w:lang w:val="en-US" w:eastAsia="zh-CN"/>
        </w:rPr>
        <w:t>清单上传前质控</w:t>
      </w:r>
    </w:p>
    <w:p w14:paraId="162346B4">
      <w:pPr>
        <w:pStyle w:val="5"/>
        <w:keepNext w:val="0"/>
        <w:keepLines w:val="0"/>
        <w:pageBreakBefore w:val="0"/>
        <w:widowControl w:val="0"/>
        <w:numPr>
          <w:ilvl w:val="2"/>
          <w:numId w:val="0"/>
        </w:numPr>
        <w:kinsoku/>
        <w:wordWrap/>
        <w:overflowPunct/>
        <w:topLinePunct w:val="0"/>
        <w:bidi w:val="0"/>
        <w:spacing w:line="360" w:lineRule="auto"/>
        <w:ind w:left="709" w:leftChars="0" w:hanging="709" w:firstLineChars="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1.2.1.</w:t>
      </w:r>
      <w:r>
        <w:rPr>
          <w:rFonts w:hint="eastAsia" w:ascii="宋体" w:hAnsi="宋体" w:eastAsia="宋体" w:cs="宋体"/>
          <w:kern w:val="0"/>
          <w:sz w:val="24"/>
          <w:szCs w:val="24"/>
          <w:highlight w:val="none"/>
          <w:lang w:val="en-US" w:eastAsia="zh-CN"/>
        </w:rPr>
        <w:t>清单书写阶段质控</w:t>
      </w:r>
    </w:p>
    <w:p w14:paraId="4276A992">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通过获取病案首页和结算清单的诊断、手术操作相关信息进行同屏质控，对比展示两份文书的填写内容及两套规则的质控结果，包括：</w:t>
      </w:r>
    </w:p>
    <w:p w14:paraId="117881D3">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同时展示同一病例的病案首页与结算清单，及其对应两套规则的质控结果；</w:t>
      </w:r>
    </w:p>
    <w:p w14:paraId="40E26A7D">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支持对病案诊断手术进行调整，并查看模拟调整后的质控结果及入组情况；</w:t>
      </w:r>
    </w:p>
    <w:p w14:paraId="3C935304">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支持对清单诊断手术进行调整，并保存调整内容，提供清单审核通过、审核退回、审核撤销等操作；支持基于结算清单诊断手术信息推荐更多组合参考；</w:t>
      </w:r>
    </w:p>
    <w:p w14:paraId="2C6D74FB">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支持常见质控规则及本地化特有质控规则，例如低标入院、高套低编、分解住院等安徽省、合肥市DRG付费审核规则，进行识别、预警，满足院方质控需求；</w:t>
      </w:r>
    </w:p>
    <w:p w14:paraId="1304B546">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结合资源消耗，对于存疑诊断及手术操作，进行合理合规推荐；</w:t>
      </w:r>
    </w:p>
    <w:p w14:paraId="005419DE">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其他因政策变化所需的质控功能。</w:t>
      </w:r>
    </w:p>
    <w:p w14:paraId="36F748DC">
      <w:pPr>
        <w:pStyle w:val="5"/>
        <w:keepNext w:val="0"/>
        <w:keepLines w:val="0"/>
        <w:pageBreakBefore w:val="0"/>
        <w:widowControl w:val="0"/>
        <w:numPr>
          <w:ilvl w:val="2"/>
          <w:numId w:val="0"/>
        </w:numPr>
        <w:kinsoku/>
        <w:wordWrap/>
        <w:overflowPunct/>
        <w:topLinePunct w:val="0"/>
        <w:bidi w:val="0"/>
        <w:spacing w:line="360" w:lineRule="auto"/>
        <w:ind w:left="709" w:leftChars="0" w:hanging="709" w:firstLineChars="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1.2.2.</w:t>
      </w:r>
      <w:r>
        <w:rPr>
          <w:rFonts w:hint="eastAsia" w:ascii="宋体" w:hAnsi="宋体" w:eastAsia="宋体" w:cs="宋体"/>
          <w:kern w:val="0"/>
          <w:sz w:val="24"/>
          <w:szCs w:val="24"/>
          <w:highlight w:val="none"/>
          <w:lang w:val="en-US" w:eastAsia="zh-CN"/>
        </w:rPr>
        <w:t>清单上传前质控</w:t>
      </w:r>
    </w:p>
    <w:p w14:paraId="7067168B">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支持自动获取医院各系统相关数据，生成待审核结算清单，自动对结算清单进行全量质检质控；</w:t>
      </w:r>
    </w:p>
    <w:p w14:paraId="63000589">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支持自定义筛选不同时间段内清单及质控结果；</w:t>
      </w:r>
    </w:p>
    <w:p w14:paraId="34CFAA98">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支持自定义设置清单列表展示数量，如20条/页、50条/页、100条/页等；</w:t>
      </w:r>
    </w:p>
    <w:p w14:paraId="3DF35052">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支持对清单标记疑问病例，并在列表内进行差异化标识展示，支持搜索查询；</w:t>
      </w:r>
    </w:p>
    <w:p w14:paraId="2BCBFFF9">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支持在列表内对于已读清单和未读清单进行差异化展示，支持搜索查询；</w:t>
      </w:r>
    </w:p>
    <w:p w14:paraId="673C8548">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支持对符合再入院条件的患者进行差异化标识展示，支持查看上次住院信息，支持搜索查询；</w:t>
      </w:r>
    </w:p>
    <w:p w14:paraId="23E31779">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支持对与病案首页不一致的清单进行标注，支持查看病案首页与结算清单不一致的具体对比情况；</w:t>
      </w:r>
    </w:p>
    <w:p w14:paraId="5221AC8A">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查看每份清单的基本信息，包括患者信息、病案号、住院号、住院医师、入组情况、预计结余、病例类型等信息；支持按费用类型查看费用明细，并展示费用分布情况和费用占比。支持对于入组异常患者展示入组解析。</w:t>
      </w:r>
    </w:p>
    <w:p w14:paraId="131D5A1E">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支持按病组结算和床日结算两种结算方式，对于同时符合两种结算方式的患者支持切换结算方式进行对比查看；</w:t>
      </w:r>
    </w:p>
    <w:p w14:paraId="0FE62820">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支持展示清单质检结果，对不同预警级别差异化展示；支持展示诊断手术信息；支持展示清单批注信息并进行操作；</w:t>
      </w:r>
    </w:p>
    <w:p w14:paraId="7B3F4871">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通过大数据分析建立多维度优选策略，在保证清单合规的前提下提供结算更多组合的参考；支持通过大数据对疑似手术缺漏进行提醒，提供对应的优选组合，并对缺漏手术进行差异化标识，结合清单填写规则，进行合理合规推荐；</w:t>
      </w:r>
    </w:p>
    <w:p w14:paraId="48C5723C">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下钻查看清单详情，定位展示对应的质控问题点，支持对诊断、手术信息进行编辑，包括顺序调整、新增、删除、修改；支持在调整清单内容后模拟质检，比对查看新旧分组预测与质控结果信息；支持保存修改后的清单；</w:t>
      </w:r>
    </w:p>
    <w:p w14:paraId="3D84ABA3">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支持对已修改的清单，手动开启清单自动更新；</w:t>
      </w:r>
    </w:p>
    <w:p w14:paraId="59ABB1C1">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支持对不适用的清单规则进行关闭，并记录关闭理由；支持针对于个别患者无需修改的规则进行关闭，并记录关闭理由；</w:t>
      </w:r>
    </w:p>
    <w:p w14:paraId="7612FCD9">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支持查看清单编辑日志，日志记录所有操作人员、时间、操作内容，可查看修改前后对比，支持查看与初始清单的对比；</w:t>
      </w:r>
    </w:p>
    <w:p w14:paraId="45A6B0B2">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支持通过调整主次诊断、手术顺序对清单进行模拟入组，比对查看新旧分组预测与质控结果信息，支持将模拟分组结果快捷添加至批注或详情页；</w:t>
      </w:r>
    </w:p>
    <w:p w14:paraId="4B290552">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支持通过手动刷新HIS实时信息，更新待审核清单数据；</w:t>
      </w:r>
    </w:p>
    <w:p w14:paraId="6DF0E76D">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支持将清单质控问题发送至指定人员；</w:t>
      </w:r>
    </w:p>
    <w:p w14:paraId="0B9C9524">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支持常见质控规则及本地化特有质控规则，例如低标入院、高套低编、分解住院等安徽省、合肥市DRG付费审核规则，进行识别、预警，满足院方质控需求；</w:t>
      </w:r>
    </w:p>
    <w:p w14:paraId="2AF1A151">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其他因政策变化所需的质控功能。</w:t>
      </w:r>
    </w:p>
    <w:p w14:paraId="28EF91D3">
      <w:pPr>
        <w:pStyle w:val="5"/>
        <w:keepNext w:val="0"/>
        <w:keepLines w:val="0"/>
        <w:pageBreakBefore w:val="0"/>
        <w:widowControl w:val="0"/>
        <w:numPr>
          <w:ilvl w:val="2"/>
          <w:numId w:val="0"/>
        </w:numPr>
        <w:kinsoku/>
        <w:wordWrap/>
        <w:overflowPunct/>
        <w:topLinePunct w:val="0"/>
        <w:bidi w:val="0"/>
        <w:spacing w:line="360" w:lineRule="auto"/>
        <w:ind w:left="709" w:leftChars="0" w:hanging="709" w:firstLineChars="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1.2.3.</w:t>
      </w:r>
      <w:r>
        <w:rPr>
          <w:rFonts w:hint="eastAsia" w:ascii="宋体" w:hAnsi="宋体" w:eastAsia="宋体" w:cs="宋体"/>
          <w:kern w:val="0"/>
          <w:sz w:val="24"/>
          <w:szCs w:val="24"/>
          <w:highlight w:val="none"/>
          <w:lang w:val="en-US" w:eastAsia="zh-CN"/>
        </w:rPr>
        <w:t>清单审核</w:t>
      </w:r>
    </w:p>
    <w:p w14:paraId="74C8710B">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待审核清算：支持按分配的数据权限，查看本人负责的所有待审核的结算清单；支持对待审核清单操作审核通过，支持批量勾选操作审核通过，支持一键全部审核通过；已审核通过的清单根据审核流程配置，自动分配进入下一节点审核人员的待审核列表，并自动保存固化清单数据；支持设置自定义校验条件，对符合条件的清单自动审核通过并进入本人审核通过列表，未通过审核的清单进入待审核列表等待人工处理审核；支持对审核不通过的清单进行退回操作，可选择退回至指定流程的待审核列表；支持下载导出本人所有待审核清单列表。</w:t>
      </w:r>
    </w:p>
    <w:p w14:paraId="61229474">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审核通过清单：支持查看所有本人审核通过的清单；支持批量撤销本人已审核通过的清单，撤销审核后的清单变为本人待审核状态；支持下载导出本人所有审核通过清单列表。</w:t>
      </w:r>
    </w:p>
    <w:p w14:paraId="0DD727B3">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val="en-US" w:eastAsia="zh-CN"/>
        </w:rPr>
        <w:t>被退回清单：支持退回问题清单至特定节点；支持下载导出</w:t>
      </w:r>
      <w:r>
        <w:rPr>
          <w:rFonts w:hint="eastAsia" w:ascii="宋体" w:hAnsi="宋体" w:eastAsia="宋体" w:cs="宋体"/>
          <w:kern w:val="0"/>
          <w:sz w:val="24"/>
          <w:szCs w:val="24"/>
          <w:highlight w:val="none"/>
        </w:rPr>
        <w:t>本人所有审核被退回清单列表</w:t>
      </w:r>
      <w:r>
        <w:rPr>
          <w:rFonts w:hint="eastAsia" w:ascii="宋体" w:hAnsi="宋体" w:eastAsia="宋体" w:cs="宋体"/>
          <w:kern w:val="0"/>
          <w:sz w:val="24"/>
          <w:szCs w:val="24"/>
          <w:highlight w:val="none"/>
          <w:lang w:eastAsia="zh-CN"/>
        </w:rPr>
        <w:t>。</w:t>
      </w:r>
    </w:p>
    <w:p w14:paraId="35BF86F5">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rPr>
        <w:t>超时未审核清单</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支持查看</w:t>
      </w:r>
      <w:r>
        <w:rPr>
          <w:rFonts w:hint="eastAsia" w:ascii="宋体" w:hAnsi="宋体" w:eastAsia="宋体" w:cs="宋体"/>
          <w:kern w:val="0"/>
          <w:sz w:val="24"/>
          <w:szCs w:val="24"/>
          <w:highlight w:val="none"/>
        </w:rPr>
        <w:t>未审核清单</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支持下载导出</w:t>
      </w:r>
      <w:r>
        <w:rPr>
          <w:rFonts w:hint="eastAsia" w:ascii="宋体" w:hAnsi="宋体" w:eastAsia="宋体" w:cs="宋体"/>
          <w:kern w:val="0"/>
          <w:sz w:val="24"/>
          <w:szCs w:val="24"/>
          <w:highlight w:val="none"/>
        </w:rPr>
        <w:t>本人未审核清单列表</w:t>
      </w:r>
      <w:r>
        <w:rPr>
          <w:rFonts w:hint="eastAsia" w:ascii="宋体" w:hAnsi="宋体" w:eastAsia="宋体" w:cs="宋体"/>
          <w:kern w:val="0"/>
          <w:sz w:val="24"/>
          <w:szCs w:val="24"/>
          <w:highlight w:val="none"/>
          <w:lang w:eastAsia="zh-CN"/>
        </w:rPr>
        <w:t>。</w:t>
      </w:r>
    </w:p>
    <w:p w14:paraId="0EA43F70">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自定义筛选：支持单个、多个条件筛选，并下载。</w:t>
      </w:r>
    </w:p>
    <w:p w14:paraId="478A62C8">
      <w:pPr>
        <w:pStyle w:val="5"/>
        <w:keepNext w:val="0"/>
        <w:keepLines w:val="0"/>
        <w:pageBreakBefore w:val="0"/>
        <w:widowControl w:val="0"/>
        <w:numPr>
          <w:ilvl w:val="2"/>
          <w:numId w:val="0"/>
        </w:numPr>
        <w:kinsoku/>
        <w:wordWrap/>
        <w:overflowPunct/>
        <w:topLinePunct w:val="0"/>
        <w:bidi w:val="0"/>
        <w:spacing w:line="360" w:lineRule="auto"/>
        <w:ind w:left="709" w:leftChars="0" w:hanging="709" w:firstLineChars="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1.2.4.</w:t>
      </w:r>
      <w:r>
        <w:rPr>
          <w:rFonts w:hint="eastAsia" w:ascii="宋体" w:hAnsi="宋体" w:eastAsia="宋体" w:cs="宋体"/>
          <w:kern w:val="0"/>
          <w:sz w:val="24"/>
          <w:szCs w:val="24"/>
          <w:highlight w:val="none"/>
          <w:lang w:val="en-US" w:eastAsia="zh-CN"/>
        </w:rPr>
        <w:t>我的清单</w:t>
      </w:r>
    </w:p>
    <w:p w14:paraId="0095AACD">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支持按分配的权限，查看本人负责的全部流程节点下的所有结算清单；</w:t>
      </w:r>
    </w:p>
    <w:p w14:paraId="61395297">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支持查看结算清单当前审核状态，支持按姓名、住院号、病案号、医生、分组、主诊断、主手术进行搜索，支持下载导出列表；</w:t>
      </w:r>
    </w:p>
    <w:p w14:paraId="2D81F24F">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支持对于清单问题主动进行推送，如已审核清单被退回、收到批注消息等。</w:t>
      </w:r>
    </w:p>
    <w:p w14:paraId="7CB4CED7">
      <w:pPr>
        <w:pStyle w:val="5"/>
        <w:keepNext w:val="0"/>
        <w:keepLines w:val="0"/>
        <w:pageBreakBefore w:val="0"/>
        <w:widowControl w:val="0"/>
        <w:numPr>
          <w:ilvl w:val="1"/>
          <w:numId w:val="0"/>
        </w:numPr>
        <w:kinsoku/>
        <w:wordWrap/>
        <w:overflowPunct/>
        <w:topLinePunct w:val="0"/>
        <w:bidi w:val="0"/>
        <w:spacing w:line="360" w:lineRule="auto"/>
        <w:ind w:left="567" w:leftChars="0" w:hanging="567" w:firstLineChars="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1.3.</w:t>
      </w:r>
      <w:r>
        <w:rPr>
          <w:rFonts w:hint="eastAsia" w:ascii="宋体" w:hAnsi="宋体" w:eastAsia="宋体" w:cs="宋体"/>
          <w:kern w:val="0"/>
          <w:sz w:val="24"/>
          <w:szCs w:val="24"/>
          <w:highlight w:val="none"/>
          <w:lang w:val="en-US" w:eastAsia="zh-CN"/>
        </w:rPr>
        <w:t>医保结算清单上传</w:t>
      </w:r>
    </w:p>
    <w:p w14:paraId="28BB620C">
      <w:pPr>
        <w:pStyle w:val="5"/>
        <w:keepNext w:val="0"/>
        <w:keepLines w:val="0"/>
        <w:pageBreakBefore w:val="0"/>
        <w:widowControl w:val="0"/>
        <w:numPr>
          <w:ilvl w:val="2"/>
          <w:numId w:val="0"/>
        </w:numPr>
        <w:kinsoku/>
        <w:wordWrap/>
        <w:overflowPunct/>
        <w:topLinePunct w:val="0"/>
        <w:bidi w:val="0"/>
        <w:spacing w:line="360" w:lineRule="auto"/>
        <w:ind w:left="709" w:leftChars="0" w:hanging="709" w:firstLineChars="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1.3.1.</w:t>
      </w:r>
      <w:r>
        <w:rPr>
          <w:rFonts w:hint="eastAsia" w:ascii="宋体" w:hAnsi="宋体" w:eastAsia="宋体" w:cs="宋体"/>
          <w:kern w:val="0"/>
          <w:sz w:val="24"/>
          <w:szCs w:val="24"/>
          <w:highlight w:val="none"/>
          <w:lang w:val="en-US" w:eastAsia="zh-CN"/>
        </w:rPr>
        <w:t>医保上报管理</w:t>
      </w:r>
    </w:p>
    <w:p w14:paraId="0213FB81">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提供清单上传可视化界面，方便医院对清单上报进行管理；</w:t>
      </w:r>
    </w:p>
    <w:p w14:paraId="511F88C6">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支持按姓名、住院号、病案号、医生、主诊断、主手术等搜索清单；</w:t>
      </w:r>
    </w:p>
    <w:p w14:paraId="3AFAAA9A">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支持手动上报和定时自动上报，支持批量一键上报，对自动上传失败的结算清单进行手动上报；</w:t>
      </w:r>
    </w:p>
    <w:p w14:paraId="60E90BA0">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支持对未上传清单进行批量退回操作，可选择退回至指定审核流程；</w:t>
      </w:r>
    </w:p>
    <w:p w14:paraId="28BC0ACB">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支持对已上报的清单，撤销提交后重新进行上报；</w:t>
      </w:r>
    </w:p>
    <w:p w14:paraId="207AFABA">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支持查看清单上报日志，包括上报时间、上报结果、接口返回信息；</w:t>
      </w:r>
    </w:p>
    <w:p w14:paraId="4096C847">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支持筛选查看自定义时间范围内上报的结算清单和对应诊断的统计情况；</w:t>
      </w:r>
    </w:p>
    <w:p w14:paraId="3717DD02">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支持预览结算清单，支持下载导出pdf版结算清单，可选择默认模板和紧凑模板。</w:t>
      </w:r>
    </w:p>
    <w:p w14:paraId="4F4D2A69">
      <w:pPr>
        <w:pStyle w:val="5"/>
        <w:keepNext w:val="0"/>
        <w:keepLines w:val="0"/>
        <w:pageBreakBefore w:val="0"/>
        <w:widowControl w:val="0"/>
        <w:numPr>
          <w:ilvl w:val="2"/>
          <w:numId w:val="0"/>
        </w:numPr>
        <w:kinsoku/>
        <w:wordWrap/>
        <w:overflowPunct/>
        <w:topLinePunct w:val="0"/>
        <w:bidi w:val="0"/>
        <w:spacing w:line="360" w:lineRule="auto"/>
        <w:ind w:left="709" w:leftChars="0" w:hanging="709" w:firstLineChars="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1.3.2.</w:t>
      </w:r>
      <w:r>
        <w:rPr>
          <w:rFonts w:hint="eastAsia" w:ascii="宋体" w:hAnsi="宋体" w:eastAsia="宋体" w:cs="宋体"/>
          <w:kern w:val="0"/>
          <w:sz w:val="24"/>
          <w:szCs w:val="24"/>
          <w:highlight w:val="none"/>
          <w:lang w:val="en-US" w:eastAsia="zh-CN"/>
        </w:rPr>
        <w:t>医保结算清单上报服务</w:t>
      </w:r>
    </w:p>
    <w:p w14:paraId="0DBD3396">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支持适配医保局端加密对接方式，适配签到接口，完成上报前的身份验证；</w:t>
      </w:r>
    </w:p>
    <w:p w14:paraId="19180426">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支持对接医保局端医疗保障基金结算清单信息上传接口，支持将所有完成审核的清单上传至医保局；</w:t>
      </w:r>
    </w:p>
    <w:p w14:paraId="354B40D1">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支持对接医保局端医疗保障基金结算清单信息状态修改接口，修改结算清单提交状态；</w:t>
      </w:r>
    </w:p>
    <w:p w14:paraId="30479461">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支持对接医保局端医疗保障基金结算清单信息查询接口，获取医保局端返回的上报结果；</w:t>
      </w:r>
    </w:p>
    <w:p w14:paraId="29FCEEF6">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支持对不同院区配置不同的上报参数，使用不同的定点医疗机构编码、定点医疗机构名称、就医地医保区划，完成不同院区数据的上报。</w:t>
      </w:r>
    </w:p>
    <w:p w14:paraId="6F67CA71">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根据医保局结算清单上传要求，为医院提供在要求的时限内完成结算清单上传至医保局的全流程上传服务；</w:t>
      </w:r>
    </w:p>
    <w:p w14:paraId="4124E783">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支持对清单上传过程中发生的问题进行自动化识别，分派任务至指定服务工程师进行及时处理，可视化跟踪问题处理进度和完成情况；</w:t>
      </w:r>
    </w:p>
    <w:p w14:paraId="118A549F">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提供需要医院重新生成清单并上传的处理服务，如：自费转医保、跨笔冲销等情况；</w:t>
      </w:r>
    </w:p>
    <w:p w14:paraId="5D028985">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提供上传失败清单的问题定位、协调处理、重新上传、补传服务，确保每一份有效清单均成功上传至医保局。</w:t>
      </w:r>
    </w:p>
    <w:p w14:paraId="0269CF27">
      <w:pPr>
        <w:pStyle w:val="5"/>
        <w:keepNext w:val="0"/>
        <w:keepLines w:val="0"/>
        <w:pageBreakBefore w:val="0"/>
        <w:widowControl w:val="0"/>
        <w:numPr>
          <w:ilvl w:val="1"/>
          <w:numId w:val="0"/>
        </w:numPr>
        <w:kinsoku/>
        <w:wordWrap/>
        <w:overflowPunct/>
        <w:topLinePunct w:val="0"/>
        <w:bidi w:val="0"/>
        <w:spacing w:line="360" w:lineRule="auto"/>
        <w:ind w:left="567" w:leftChars="0" w:hanging="567" w:firstLineChars="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1.4.</w:t>
      </w:r>
      <w:r>
        <w:rPr>
          <w:rFonts w:hint="eastAsia" w:ascii="宋体" w:hAnsi="宋体" w:eastAsia="宋体" w:cs="宋体"/>
          <w:kern w:val="0"/>
          <w:sz w:val="24"/>
          <w:szCs w:val="24"/>
          <w:highlight w:val="none"/>
          <w:lang w:val="en-US" w:eastAsia="zh-CN"/>
        </w:rPr>
        <w:t>清单分析报告</w:t>
      </w:r>
    </w:p>
    <w:p w14:paraId="63F64F29">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分析问题分布情况、问题影响、问题成因、问题改进趋势等；对医院发展的影响维度及改进措施等。</w:t>
      </w:r>
    </w:p>
    <w:p w14:paraId="0B819028">
      <w:pPr>
        <w:pStyle w:val="5"/>
        <w:keepNext w:val="0"/>
        <w:keepLines w:val="0"/>
        <w:pageBreakBefore w:val="0"/>
        <w:widowControl w:val="0"/>
        <w:numPr>
          <w:ilvl w:val="1"/>
          <w:numId w:val="0"/>
        </w:numPr>
        <w:kinsoku/>
        <w:wordWrap/>
        <w:overflowPunct/>
        <w:topLinePunct w:val="0"/>
        <w:bidi w:val="0"/>
        <w:spacing w:line="360" w:lineRule="auto"/>
        <w:ind w:left="567" w:leftChars="0" w:hanging="567" w:firstLineChars="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1.5.</w:t>
      </w:r>
      <w:r>
        <w:rPr>
          <w:rFonts w:hint="eastAsia" w:ascii="宋体" w:hAnsi="宋体" w:eastAsia="宋体" w:cs="宋体"/>
          <w:kern w:val="0"/>
          <w:sz w:val="24"/>
          <w:szCs w:val="24"/>
          <w:highlight w:val="none"/>
          <w:lang w:val="en-US" w:eastAsia="zh-CN"/>
        </w:rPr>
        <w:t>清单效果分析</w:t>
      </w:r>
    </w:p>
    <w:p w14:paraId="39389178">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0"/>
          <w:sz w:val="24"/>
          <w:szCs w:val="24"/>
          <w:highlight w:val="none"/>
        </w:rPr>
        <w:t>支持对已调整清单进行分类筛选，包括调整前后分组不一致、主要诊断不一致、其它诊断不一致、主要手术不一致、其它手术不一致</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支持查看调整清单分类的具体数量及占比，支持查看每一分类下具体科室和病例情况，支持查看具体科室清单调整前后点数差、结余差、修正问题数，支持查看清单调整前后具体对比，支持下载导出列表</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支持多维度筛选条件，通过图表展示清单调整前后结余分析、质控问题分析，支持查看总点数差、结余差、修正问题数</w:t>
      </w:r>
      <w:r>
        <w:rPr>
          <w:rFonts w:hint="eastAsia" w:ascii="宋体" w:hAnsi="宋体" w:eastAsia="宋体" w:cs="宋体"/>
          <w:kern w:val="0"/>
          <w:sz w:val="24"/>
          <w:szCs w:val="24"/>
          <w:highlight w:val="none"/>
          <w:lang w:val="en-US" w:eastAsia="zh-CN"/>
        </w:rPr>
        <w:t>等。</w:t>
      </w:r>
    </w:p>
    <w:p w14:paraId="03424943">
      <w:pPr>
        <w:pStyle w:val="5"/>
        <w:keepNext w:val="0"/>
        <w:keepLines w:val="0"/>
        <w:pageBreakBefore w:val="0"/>
        <w:widowControl w:val="0"/>
        <w:numPr>
          <w:ilvl w:val="1"/>
          <w:numId w:val="0"/>
        </w:numPr>
        <w:kinsoku/>
        <w:wordWrap/>
        <w:overflowPunct/>
        <w:topLinePunct w:val="0"/>
        <w:bidi w:val="0"/>
        <w:spacing w:line="360" w:lineRule="auto"/>
        <w:ind w:left="567" w:leftChars="0" w:hanging="567" w:firstLineChars="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1.6.</w:t>
      </w:r>
      <w:r>
        <w:rPr>
          <w:rFonts w:hint="eastAsia" w:ascii="宋体" w:hAnsi="宋体" w:eastAsia="宋体" w:cs="宋体"/>
          <w:kern w:val="0"/>
          <w:sz w:val="24"/>
          <w:szCs w:val="24"/>
          <w:highlight w:val="none"/>
          <w:lang w:val="en-US" w:eastAsia="zh-CN"/>
        </w:rPr>
        <w:t>特例单议病例管理</w:t>
      </w:r>
    </w:p>
    <w:p w14:paraId="45766D68">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完全体现本地化特例单议规则，并根据本地化特例单议规则，自动识别可纳入特例单议病例，并计算进行特例单议前后结余变化。</w:t>
      </w:r>
    </w:p>
    <w:p w14:paraId="7DE56398">
      <w:pPr>
        <w:pStyle w:val="5"/>
        <w:keepNext w:val="0"/>
        <w:keepLines w:val="0"/>
        <w:pageBreakBefore w:val="0"/>
        <w:widowControl w:val="0"/>
        <w:numPr>
          <w:ilvl w:val="1"/>
          <w:numId w:val="0"/>
        </w:numPr>
        <w:kinsoku/>
        <w:wordWrap/>
        <w:overflowPunct/>
        <w:topLinePunct w:val="0"/>
        <w:bidi w:val="0"/>
        <w:spacing w:line="360" w:lineRule="auto"/>
        <w:ind w:left="567" w:leftChars="0" w:hanging="567" w:firstLineChars="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1.7.</w:t>
      </w:r>
      <w:r>
        <w:rPr>
          <w:rFonts w:hint="eastAsia" w:ascii="宋体" w:hAnsi="宋体" w:eastAsia="宋体" w:cs="宋体"/>
          <w:kern w:val="0"/>
          <w:sz w:val="24"/>
          <w:szCs w:val="24"/>
          <w:highlight w:val="none"/>
          <w:lang w:val="en-US" w:eastAsia="zh-CN"/>
        </w:rPr>
        <w:t>日常审核管理</w:t>
      </w:r>
    </w:p>
    <w:p w14:paraId="791029F3">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支持全时段、全量清单质控，并进行归纳、分析、校正建议；支持将医保经办机构审核结果回写入系统并保存。</w:t>
      </w:r>
    </w:p>
    <w:p w14:paraId="486B9173">
      <w:pPr>
        <w:pStyle w:val="5"/>
        <w:keepNext w:val="0"/>
        <w:keepLines w:val="0"/>
        <w:pageBreakBefore w:val="0"/>
        <w:widowControl w:val="0"/>
        <w:numPr>
          <w:ilvl w:val="1"/>
          <w:numId w:val="0"/>
        </w:numPr>
        <w:kinsoku/>
        <w:wordWrap/>
        <w:overflowPunct/>
        <w:topLinePunct w:val="0"/>
        <w:bidi w:val="0"/>
        <w:spacing w:line="360" w:lineRule="auto"/>
        <w:ind w:left="567" w:leftChars="0" w:hanging="567" w:firstLineChars="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1.8.</w:t>
      </w:r>
      <w:r>
        <w:rPr>
          <w:rFonts w:hint="eastAsia" w:ascii="宋体" w:hAnsi="宋体" w:eastAsia="宋体" w:cs="宋体"/>
          <w:kern w:val="0"/>
          <w:sz w:val="24"/>
          <w:szCs w:val="24"/>
          <w:highlight w:val="none"/>
          <w:lang w:val="en-US" w:eastAsia="zh-CN"/>
        </w:rPr>
        <w:t>清算管理</w:t>
      </w:r>
    </w:p>
    <w:p w14:paraId="6C5E5023">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支持年终清算结果回写入清单，例如某病例享受四级手术补亏、重点专科支持等，与医保经办机构公布的数据保持一致。</w:t>
      </w:r>
    </w:p>
    <w:p w14:paraId="23D64B71">
      <w:pPr>
        <w:pStyle w:val="5"/>
        <w:keepNext w:val="0"/>
        <w:keepLines w:val="0"/>
        <w:pageBreakBefore w:val="0"/>
        <w:widowControl w:val="0"/>
        <w:numPr>
          <w:ilvl w:val="1"/>
          <w:numId w:val="0"/>
        </w:numPr>
        <w:kinsoku/>
        <w:wordWrap/>
        <w:overflowPunct/>
        <w:topLinePunct w:val="0"/>
        <w:bidi w:val="0"/>
        <w:spacing w:line="360" w:lineRule="auto"/>
        <w:ind w:left="567" w:leftChars="0" w:hanging="567" w:firstLineChars="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1.9.</w:t>
      </w:r>
      <w:r>
        <w:rPr>
          <w:rFonts w:hint="eastAsia" w:ascii="宋体" w:hAnsi="宋体" w:eastAsia="宋体" w:cs="宋体"/>
          <w:kern w:val="0"/>
          <w:sz w:val="24"/>
          <w:szCs w:val="24"/>
          <w:highlight w:val="none"/>
          <w:lang w:val="en-US" w:eastAsia="zh-CN"/>
        </w:rPr>
        <w:t>审核申诉</w:t>
      </w:r>
    </w:p>
    <w:p w14:paraId="675554AA">
      <w:pPr>
        <w:pStyle w:val="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支持对医保经办机构提出的核减病例，进行申诉理由推荐，并提供相应附件。</w:t>
      </w:r>
    </w:p>
    <w:p w14:paraId="281AC9C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eastAsia="宋体" w:cs="宋体"/>
          <w:b/>
          <w:bCs/>
          <w:kern w:val="2"/>
          <w:sz w:val="24"/>
          <w:szCs w:val="24"/>
          <w:highlight w:val="none"/>
          <w:lang w:val="en-US" w:eastAsia="zh-CN" w:bidi="ar-SA"/>
        </w:rPr>
      </w:pPr>
    </w:p>
    <w:p w14:paraId="441BCA1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kern w:val="2"/>
          <w:sz w:val="24"/>
          <w:szCs w:val="24"/>
          <w:highlight w:val="none"/>
          <w:lang w:val="en-US" w:eastAsia="zh-CN" w:bidi="ar-SA"/>
        </w:rPr>
        <w:t>【四】</w:t>
      </w:r>
      <w:r>
        <w:rPr>
          <w:rFonts w:hint="eastAsia" w:ascii="宋体" w:hAnsi="宋体" w:eastAsia="宋体" w:cs="宋体"/>
          <w:b/>
          <w:bCs/>
          <w:sz w:val="24"/>
          <w:szCs w:val="24"/>
          <w:highlight w:val="none"/>
          <w:lang w:val="en-US" w:eastAsia="zh-CN"/>
        </w:rPr>
        <w:t>接口要求</w:t>
      </w:r>
    </w:p>
    <w:p w14:paraId="6008BA8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1.</w:t>
      </w:r>
      <w:r>
        <w:rPr>
          <w:rFonts w:hint="eastAsia" w:ascii="宋体" w:hAnsi="宋体" w:eastAsia="宋体" w:cs="宋体"/>
          <w:sz w:val="24"/>
          <w:szCs w:val="24"/>
          <w:highlight w:val="none"/>
          <w:lang w:val="en-US" w:eastAsia="zh-CN"/>
        </w:rPr>
        <w:t>支持与采购人ESB服务总线对接,按照采购人ESB服务总线接口规范要求进行开发接口，对于采购人ESB服务总线已部署的公共接口,需按照公共接口格式规范进行接口对接，对于采购人公共接口不能满足的部分进行定制接口对接。</w:t>
      </w:r>
    </w:p>
    <w:p w14:paraId="04176E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2.</w:t>
      </w:r>
      <w:r>
        <w:rPr>
          <w:rFonts w:hint="eastAsia" w:ascii="宋体" w:hAnsi="宋体" w:eastAsia="宋体" w:cs="宋体"/>
          <w:sz w:val="24"/>
          <w:szCs w:val="24"/>
          <w:highlight w:val="none"/>
          <w:lang w:val="en-US" w:eastAsia="zh-CN"/>
        </w:rPr>
        <w:t>★供应商可免费适配ESB服务总线公共函数接口，供应商承担定制第三方接口费用，免费开放本业务系统接口提供推送和调用服务适配 ESB服务总线供第三方业务系统使用</w:t>
      </w:r>
      <w:r>
        <w:rPr>
          <w:rFonts w:hint="eastAsia" w:ascii="宋体" w:hAnsi="宋体" w:eastAsia="宋体" w:cs="宋体"/>
          <w:b/>
          <w:bCs/>
          <w:sz w:val="24"/>
          <w:szCs w:val="24"/>
          <w:highlight w:val="none"/>
          <w:lang w:val="en-US" w:eastAsia="zh-CN"/>
        </w:rPr>
        <w:t>（提供承诺函）</w:t>
      </w:r>
      <w:r>
        <w:rPr>
          <w:rFonts w:hint="eastAsia" w:ascii="宋体" w:hAnsi="宋体" w:eastAsia="宋体" w:cs="宋体"/>
          <w:sz w:val="24"/>
          <w:szCs w:val="24"/>
          <w:highlight w:val="none"/>
          <w:lang w:val="en-US" w:eastAsia="zh-CN"/>
        </w:rPr>
        <w:t>。</w:t>
      </w:r>
    </w:p>
    <w:p w14:paraId="5D8B424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bookmarkStart w:id="5" w:name="OLE_LINK26"/>
      <w:bookmarkStart w:id="6" w:name="OLE_LINK25"/>
      <w:r>
        <w:rPr>
          <w:rFonts w:hint="eastAsia" w:ascii="宋体" w:hAnsi="宋体" w:eastAsia="宋体" w:cs="宋体"/>
          <w:kern w:val="2"/>
          <w:sz w:val="24"/>
          <w:szCs w:val="24"/>
          <w:highlight w:val="none"/>
          <w:lang w:val="en-US" w:eastAsia="zh-CN" w:bidi="ar-SA"/>
        </w:rPr>
        <w:t>3.</w:t>
      </w:r>
      <w:r>
        <w:rPr>
          <w:rFonts w:hint="eastAsia" w:ascii="宋体" w:hAnsi="宋体" w:eastAsia="宋体" w:cs="宋体"/>
          <w:sz w:val="24"/>
          <w:szCs w:val="24"/>
          <w:highlight w:val="none"/>
          <w:lang w:val="en-US" w:eastAsia="zh-CN"/>
        </w:rPr>
        <w:t>供应商需要通过服务器与 ESB 服务总线进行接口对接，对于同一厂商的多台、多套设备或者同一厂商在我院有多个业务系统的，原则上只能通过统一的一个接口服务器与 ESB 进行对接,并由统一的平台进行管理。</w:t>
      </w:r>
    </w:p>
    <w:p w14:paraId="31696B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4.</w:t>
      </w:r>
      <w:r>
        <w:rPr>
          <w:rFonts w:hint="eastAsia" w:ascii="宋体" w:hAnsi="宋体" w:eastAsia="宋体" w:cs="宋体"/>
          <w:sz w:val="24"/>
          <w:szCs w:val="24"/>
          <w:highlight w:val="none"/>
          <w:lang w:val="en-US" w:eastAsia="zh-CN"/>
        </w:rPr>
        <w:t>对接：用户有对接第三方软件的需求时，在第三方软件提供对接文档和入口后，需积极配合对接。</w:t>
      </w:r>
    </w:p>
    <w:p w14:paraId="492DD8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5.</w:t>
      </w:r>
      <w:r>
        <w:rPr>
          <w:rFonts w:hint="eastAsia" w:ascii="宋体" w:hAnsi="宋体" w:eastAsia="宋体" w:cs="宋体"/>
          <w:sz w:val="24"/>
          <w:szCs w:val="24"/>
          <w:highlight w:val="none"/>
          <w:lang w:val="en-US" w:eastAsia="zh-CN"/>
        </w:rPr>
        <w:t>接入：用户有第三方软件接入我方系统的需求时，需配合我方向第三方公司提供相应文档与接口。</w:t>
      </w:r>
    </w:p>
    <w:p w14:paraId="15C63B3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p>
    <w:bookmarkEnd w:id="5"/>
    <w:bookmarkEnd w:id="6"/>
    <w:p w14:paraId="0BBA29C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kern w:val="2"/>
          <w:sz w:val="24"/>
          <w:szCs w:val="24"/>
          <w:highlight w:val="none"/>
          <w:lang w:val="en-US" w:eastAsia="zh-CN" w:bidi="ar-SA"/>
        </w:rPr>
        <w:t>【五】</w:t>
      </w:r>
      <w:r>
        <w:rPr>
          <w:rFonts w:hint="eastAsia" w:ascii="宋体" w:hAnsi="宋体" w:eastAsia="宋体" w:cs="宋体"/>
          <w:b/>
          <w:bCs/>
          <w:sz w:val="24"/>
          <w:szCs w:val="24"/>
          <w:highlight w:val="none"/>
          <w:lang w:val="en-US" w:eastAsia="zh-CN"/>
        </w:rPr>
        <w:t>服务器配置需求</w:t>
      </w:r>
    </w:p>
    <w:p w14:paraId="7A55763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1.</w:t>
      </w:r>
      <w:r>
        <w:rPr>
          <w:rFonts w:hint="eastAsia" w:ascii="宋体" w:hAnsi="宋体" w:eastAsia="宋体" w:cs="宋体"/>
          <w:sz w:val="24"/>
          <w:szCs w:val="24"/>
          <w:highlight w:val="none"/>
          <w:lang w:val="en-US" w:eastAsia="zh-CN"/>
        </w:rPr>
        <w:t>项目本地化部署，服务器由采购人提供，供应商随响应文件提供本项目所需服务器的最低配置参数文档。项目中涉及的所有功能可在本地虚拟服务器运行。</w:t>
      </w:r>
    </w:p>
    <w:p w14:paraId="3BBF1A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2.</w:t>
      </w:r>
      <w:r>
        <w:rPr>
          <w:rFonts w:hint="eastAsia" w:ascii="宋体" w:hAnsi="宋体" w:eastAsia="宋体" w:cs="宋体"/>
          <w:sz w:val="24"/>
          <w:szCs w:val="24"/>
          <w:highlight w:val="none"/>
          <w:lang w:val="en-US" w:eastAsia="zh-CN"/>
        </w:rPr>
        <w:t>适配国产化部署环境（如操作系统、数据库等）。</w:t>
      </w:r>
    </w:p>
    <w:p w14:paraId="42A044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3.</w:t>
      </w:r>
      <w:r>
        <w:rPr>
          <w:rFonts w:hint="eastAsia" w:ascii="宋体" w:hAnsi="宋体" w:eastAsia="宋体" w:cs="宋体"/>
          <w:sz w:val="24"/>
          <w:szCs w:val="24"/>
          <w:highlight w:val="none"/>
          <w:lang w:val="en-US" w:eastAsia="zh-CN"/>
        </w:rPr>
        <w:t>供应商应确保操作系统、数据库安全补丁升级后系统正常运行的要求。</w:t>
      </w:r>
    </w:p>
    <w:p w14:paraId="38AB5D7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4.</w:t>
      </w:r>
      <w:r>
        <w:rPr>
          <w:rFonts w:hint="eastAsia" w:ascii="宋体" w:hAnsi="宋体" w:eastAsia="宋体" w:cs="宋体"/>
          <w:sz w:val="24"/>
          <w:szCs w:val="24"/>
          <w:highlight w:val="none"/>
          <w:lang w:val="en-US" w:eastAsia="zh-CN"/>
        </w:rPr>
        <w:t>供应商应做好相关设置、安全补丁安装，按甲方需求，配合甲方安全等级保护检测信息安全问题改造。</w:t>
      </w:r>
    </w:p>
    <w:p w14:paraId="3315F9E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0"/>
        <w:textAlignment w:val="auto"/>
        <w:rPr>
          <w:rFonts w:hint="eastAsia" w:ascii="宋体" w:hAnsi="宋体" w:eastAsia="宋体" w:cs="宋体"/>
          <w:sz w:val="24"/>
          <w:szCs w:val="24"/>
          <w:highlight w:val="none"/>
          <w:lang w:val="en-US" w:eastAsia="zh-CN"/>
        </w:rPr>
      </w:pPr>
    </w:p>
    <w:p w14:paraId="747A1B9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eastAsia="宋体" w:cs="宋体"/>
          <w:b/>
          <w:bCs/>
          <w:sz w:val="24"/>
          <w:szCs w:val="24"/>
          <w:highlight w:val="none"/>
          <w:lang w:val="en-US" w:eastAsia="zh-CN"/>
        </w:rPr>
      </w:pPr>
      <w:bookmarkStart w:id="7" w:name="_Toc28243"/>
      <w:r>
        <w:rPr>
          <w:rFonts w:hint="eastAsia" w:ascii="宋体" w:hAnsi="宋体" w:eastAsia="宋体" w:cs="宋体"/>
          <w:b/>
          <w:bCs/>
          <w:kern w:val="2"/>
          <w:sz w:val="24"/>
          <w:szCs w:val="24"/>
          <w:highlight w:val="none"/>
          <w:lang w:val="en-US" w:eastAsia="zh-CN" w:bidi="ar-SA"/>
        </w:rPr>
        <w:t>【六】</w:t>
      </w:r>
      <w:r>
        <w:rPr>
          <w:rFonts w:hint="eastAsia" w:ascii="宋体" w:hAnsi="宋体" w:eastAsia="宋体" w:cs="宋体"/>
          <w:b/>
          <w:bCs/>
          <w:sz w:val="24"/>
          <w:szCs w:val="24"/>
          <w:highlight w:val="none"/>
          <w:lang w:val="en-US" w:eastAsia="zh-CN"/>
        </w:rPr>
        <w:t>实施要求</w:t>
      </w:r>
      <w:bookmarkEnd w:id="7"/>
    </w:p>
    <w:p w14:paraId="1022CC1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1.</w:t>
      </w:r>
      <w:r>
        <w:rPr>
          <w:rFonts w:hint="eastAsia" w:ascii="宋体" w:hAnsi="宋体" w:eastAsia="宋体" w:cs="宋体"/>
          <w:sz w:val="24"/>
          <w:szCs w:val="24"/>
          <w:highlight w:val="none"/>
          <w:lang w:val="en-US" w:eastAsia="zh-CN"/>
        </w:rPr>
        <w:t>★供应商收到成交通知书接采购人通知后即进场调研，合同签订后接采购人通知起10日内进场实施，3个月内完成本地化部署及试运行（1个月）。如因供应商原因造成无法按照合同约定工期完成实施，则采购人将按照合同约定条款对供应商进行处罚</w:t>
      </w:r>
      <w:r>
        <w:rPr>
          <w:rFonts w:hint="eastAsia" w:ascii="宋体" w:hAnsi="宋体" w:eastAsia="宋体" w:cs="宋体"/>
          <w:b/>
          <w:bCs/>
          <w:sz w:val="24"/>
          <w:szCs w:val="24"/>
          <w:highlight w:val="none"/>
          <w:lang w:val="en-US" w:eastAsia="zh-CN"/>
        </w:rPr>
        <w:t>（提供承诺函）</w:t>
      </w:r>
      <w:r>
        <w:rPr>
          <w:rFonts w:hint="eastAsia" w:ascii="宋体" w:hAnsi="宋体" w:eastAsia="宋体" w:cs="宋体"/>
          <w:sz w:val="24"/>
          <w:szCs w:val="24"/>
          <w:highlight w:val="none"/>
          <w:lang w:val="en-US" w:eastAsia="zh-CN"/>
        </w:rPr>
        <w:t>。</w:t>
      </w:r>
    </w:p>
    <w:p w14:paraId="41F6884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2.</w:t>
      </w:r>
      <w:r>
        <w:rPr>
          <w:rFonts w:hint="eastAsia" w:ascii="宋体" w:hAnsi="宋体" w:eastAsia="宋体" w:cs="宋体"/>
          <w:sz w:val="24"/>
          <w:szCs w:val="24"/>
          <w:highlight w:val="none"/>
          <w:lang w:val="en-US" w:eastAsia="zh-CN"/>
        </w:rPr>
        <w:t>试运行期间，须保证无重大差错发生。试运行通过后经过1个月正常平稳运行后，可进行评估与验收。</w:t>
      </w:r>
    </w:p>
    <w:p w14:paraId="4FA6769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3.</w:t>
      </w:r>
      <w:r>
        <w:rPr>
          <w:rFonts w:hint="eastAsia" w:ascii="宋体" w:hAnsi="宋体" w:eastAsia="宋体" w:cs="宋体"/>
          <w:sz w:val="24"/>
          <w:szCs w:val="24"/>
          <w:highlight w:val="none"/>
          <w:lang w:val="en-US" w:eastAsia="zh-CN"/>
        </w:rPr>
        <w:t>调研期间，供应商应根据采购人的需求，制定整体上线实施方案，提供详细实施方案与进度计划。</w:t>
      </w:r>
    </w:p>
    <w:p w14:paraId="69B4B3E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4.</w:t>
      </w:r>
      <w:r>
        <w:rPr>
          <w:rFonts w:hint="eastAsia" w:ascii="宋体" w:hAnsi="宋体" w:eastAsia="宋体" w:cs="宋体"/>
          <w:sz w:val="24"/>
          <w:szCs w:val="24"/>
          <w:highlight w:val="none"/>
          <w:lang w:val="en-US" w:eastAsia="zh-CN"/>
        </w:rPr>
        <w:t>供应商需提供拥有丰富经验的实施团队完成本次项目实施，针对本项目成立项目小组，在响应文件中提供书面名单，人员一旦得到采购人确认，无特殊理由不得变动，且项目经理未得到医院同意的情况下不得更换。</w:t>
      </w:r>
    </w:p>
    <w:p w14:paraId="3785E4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5.</w:t>
      </w:r>
      <w:r>
        <w:rPr>
          <w:rFonts w:hint="eastAsia" w:ascii="宋体" w:hAnsi="宋体" w:eastAsia="宋体" w:cs="宋体"/>
          <w:sz w:val="24"/>
          <w:szCs w:val="24"/>
          <w:highlight w:val="none"/>
          <w:lang w:val="en-US" w:eastAsia="zh-CN"/>
        </w:rPr>
        <w:t>采购人有权根据实施情况要求更换项目经理和实施人员。</w:t>
      </w:r>
    </w:p>
    <w:p w14:paraId="065F88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6.</w:t>
      </w:r>
      <w:r>
        <w:rPr>
          <w:rFonts w:hint="eastAsia" w:ascii="宋体" w:hAnsi="宋体" w:eastAsia="宋体" w:cs="宋体"/>
          <w:sz w:val="24"/>
          <w:szCs w:val="24"/>
          <w:highlight w:val="none"/>
          <w:lang w:val="en-US" w:eastAsia="zh-CN"/>
        </w:rPr>
        <w:t>按采购人需求进行本地化开发。</w:t>
      </w:r>
    </w:p>
    <w:p w14:paraId="7017A2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7.</w:t>
      </w:r>
      <w:r>
        <w:rPr>
          <w:rFonts w:hint="eastAsia" w:ascii="宋体" w:hAnsi="宋体" w:eastAsia="宋体" w:cs="宋体"/>
          <w:sz w:val="24"/>
          <w:szCs w:val="24"/>
          <w:highlight w:val="none"/>
          <w:lang w:val="en-US" w:eastAsia="zh-CN"/>
        </w:rPr>
        <w:t>供应商需按照采购人的项目管理流程进行实施，验收前供应商需提供项目过程中所需审计材料并装订成册。</w:t>
      </w:r>
    </w:p>
    <w:p w14:paraId="36688D0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8.</w:t>
      </w:r>
      <w:r>
        <w:rPr>
          <w:rFonts w:hint="eastAsia" w:ascii="宋体" w:hAnsi="宋体" w:eastAsia="宋体" w:cs="宋体"/>
          <w:sz w:val="24"/>
          <w:szCs w:val="24"/>
          <w:highlight w:val="none"/>
          <w:lang w:val="en-US" w:eastAsia="zh-CN"/>
        </w:rPr>
        <w:t>如遇突发紧急事件，供应商应无条件配合加班。</w:t>
      </w:r>
    </w:p>
    <w:p w14:paraId="7EADF9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9.</w:t>
      </w:r>
      <w:r>
        <w:rPr>
          <w:rFonts w:hint="eastAsia" w:ascii="宋体" w:hAnsi="宋体" w:eastAsia="宋体" w:cs="宋体"/>
          <w:sz w:val="24"/>
          <w:szCs w:val="24"/>
          <w:highlight w:val="none"/>
          <w:lang w:val="en-US" w:eastAsia="zh-CN"/>
        </w:rPr>
        <w:t>所有设备免费安装。</w:t>
      </w:r>
    </w:p>
    <w:p w14:paraId="5C61AA09">
      <w:pPr>
        <w:pStyle w:val="6"/>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p>
    <w:p w14:paraId="1EEB055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eastAsia="宋体" w:cs="宋体"/>
          <w:b/>
          <w:bCs/>
          <w:sz w:val="24"/>
          <w:szCs w:val="24"/>
          <w:highlight w:val="none"/>
          <w:lang w:val="en-US" w:eastAsia="zh-CN"/>
        </w:rPr>
      </w:pPr>
      <w:bookmarkStart w:id="8" w:name="_Toc13966"/>
      <w:r>
        <w:rPr>
          <w:rFonts w:hint="eastAsia" w:ascii="宋体" w:hAnsi="宋体" w:eastAsia="宋体" w:cs="宋体"/>
          <w:b/>
          <w:bCs/>
          <w:kern w:val="2"/>
          <w:sz w:val="24"/>
          <w:szCs w:val="24"/>
          <w:highlight w:val="none"/>
          <w:lang w:val="en-US" w:eastAsia="zh-CN" w:bidi="ar-SA"/>
        </w:rPr>
        <w:t>【七】</w:t>
      </w:r>
      <w:r>
        <w:rPr>
          <w:rFonts w:hint="eastAsia" w:ascii="宋体" w:hAnsi="宋体" w:eastAsia="宋体" w:cs="宋体"/>
          <w:b/>
          <w:bCs/>
          <w:sz w:val="24"/>
          <w:szCs w:val="24"/>
          <w:highlight w:val="none"/>
          <w:lang w:val="en-US" w:eastAsia="zh-CN"/>
        </w:rPr>
        <w:t>培训要求</w:t>
      </w:r>
      <w:bookmarkEnd w:id="8"/>
    </w:p>
    <w:p w14:paraId="4078311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1.</w:t>
      </w:r>
      <w:r>
        <w:rPr>
          <w:rFonts w:hint="eastAsia" w:ascii="宋体" w:hAnsi="宋体" w:eastAsia="宋体" w:cs="宋体"/>
          <w:sz w:val="24"/>
          <w:szCs w:val="24"/>
          <w:highlight w:val="none"/>
          <w:lang w:val="en-US" w:eastAsia="zh-CN"/>
        </w:rPr>
        <w:t>提供项目培训计划，成交供应商须为本项目中涉及的各个部门的管理员及使用人员组织详尽的培训，确保相关人员可以熟练正确的使用系统。</w:t>
      </w:r>
    </w:p>
    <w:p w14:paraId="78AD9C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2.</w:t>
      </w:r>
      <w:r>
        <w:rPr>
          <w:rFonts w:hint="eastAsia" w:ascii="宋体" w:hAnsi="宋体" w:eastAsia="宋体" w:cs="宋体"/>
          <w:sz w:val="24"/>
          <w:szCs w:val="24"/>
          <w:highlight w:val="none"/>
          <w:lang w:val="en-US" w:eastAsia="zh-CN"/>
        </w:rPr>
        <w:t>必须为所有被培训人员提供培训用文字资料和讲义等相关用品。</w:t>
      </w:r>
    </w:p>
    <w:p w14:paraId="3ACBF7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3.</w:t>
      </w:r>
      <w:r>
        <w:rPr>
          <w:rFonts w:hint="eastAsia" w:ascii="宋体" w:hAnsi="宋体" w:eastAsia="宋体" w:cs="宋体"/>
          <w:sz w:val="24"/>
          <w:szCs w:val="24"/>
          <w:highlight w:val="none"/>
          <w:lang w:val="en-US" w:eastAsia="zh-CN"/>
        </w:rPr>
        <w:t>根据用户需要，提供后续培训任务。</w:t>
      </w:r>
    </w:p>
    <w:p w14:paraId="49D008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0"/>
        <w:textAlignment w:val="auto"/>
        <w:rPr>
          <w:rFonts w:hint="eastAsia" w:ascii="宋体" w:hAnsi="宋体" w:eastAsia="宋体" w:cs="宋体"/>
          <w:sz w:val="24"/>
          <w:szCs w:val="24"/>
          <w:highlight w:val="none"/>
          <w:lang w:val="en-US" w:eastAsia="zh-CN"/>
        </w:rPr>
      </w:pPr>
    </w:p>
    <w:p w14:paraId="407BF3D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eastAsia="宋体" w:cs="宋体"/>
          <w:b/>
          <w:bCs/>
          <w:sz w:val="24"/>
          <w:szCs w:val="24"/>
          <w:highlight w:val="none"/>
          <w:lang w:val="en-US" w:eastAsia="zh-CN"/>
        </w:rPr>
      </w:pPr>
      <w:bookmarkStart w:id="9" w:name="_Toc26935"/>
      <w:r>
        <w:rPr>
          <w:rFonts w:hint="eastAsia" w:ascii="宋体" w:hAnsi="宋体" w:eastAsia="宋体" w:cs="宋体"/>
          <w:b/>
          <w:bCs/>
          <w:kern w:val="2"/>
          <w:sz w:val="24"/>
          <w:szCs w:val="24"/>
          <w:highlight w:val="none"/>
          <w:lang w:val="en-US" w:eastAsia="zh-CN" w:bidi="ar-SA"/>
        </w:rPr>
        <w:t>【八】</w:t>
      </w:r>
      <w:r>
        <w:rPr>
          <w:rFonts w:hint="eastAsia" w:ascii="宋体" w:hAnsi="宋体" w:eastAsia="宋体" w:cs="宋体"/>
          <w:b/>
          <w:bCs/>
          <w:sz w:val="24"/>
          <w:szCs w:val="24"/>
          <w:highlight w:val="none"/>
          <w:lang w:val="en-US" w:eastAsia="zh-CN"/>
        </w:rPr>
        <w:t>维保服务要求</w:t>
      </w:r>
      <w:bookmarkEnd w:id="9"/>
    </w:p>
    <w:p w14:paraId="0EBDF9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1.</w:t>
      </w:r>
      <w:r>
        <w:rPr>
          <w:rFonts w:hint="eastAsia" w:ascii="宋体" w:hAnsi="宋体" w:eastAsia="宋体" w:cs="宋体"/>
          <w:sz w:val="24"/>
          <w:szCs w:val="24"/>
          <w:highlight w:val="none"/>
          <w:lang w:val="en-US" w:eastAsia="zh-CN"/>
        </w:rPr>
        <w:t>承诺提供7*24小时技术支持，包括各种软件系统故障及对各种突发事件采取应急措施等。</w:t>
      </w:r>
    </w:p>
    <w:p w14:paraId="424C4B7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2.</w:t>
      </w:r>
      <w:r>
        <w:rPr>
          <w:rFonts w:hint="eastAsia" w:ascii="宋体" w:hAnsi="宋体" w:eastAsia="宋体" w:cs="宋体"/>
          <w:sz w:val="24"/>
          <w:szCs w:val="24"/>
          <w:highlight w:val="none"/>
          <w:lang w:val="en-US" w:eastAsia="zh-CN"/>
        </w:rPr>
        <w:t>提供运维工程师1人。负责处理使用过程中的各项需求及问题。</w:t>
      </w:r>
    </w:p>
    <w:p w14:paraId="561D739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3.</w:t>
      </w:r>
      <w:r>
        <w:rPr>
          <w:rFonts w:hint="eastAsia" w:ascii="宋体" w:hAnsi="宋体" w:eastAsia="宋体" w:cs="宋体"/>
          <w:sz w:val="24"/>
          <w:szCs w:val="24"/>
          <w:highlight w:val="none"/>
          <w:lang w:val="en-US" w:eastAsia="zh-CN"/>
        </w:rPr>
        <w:t>现场服务：根据要求到达现场提供问题解决和支持服务。服务完成后，双方签署现场服务记录。</w:t>
      </w:r>
    </w:p>
    <w:p w14:paraId="71C1EA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4.</w:t>
      </w:r>
      <w:r>
        <w:rPr>
          <w:rFonts w:hint="eastAsia" w:ascii="宋体" w:hAnsi="宋体" w:eastAsia="宋体" w:cs="宋体"/>
          <w:sz w:val="24"/>
          <w:szCs w:val="24"/>
          <w:highlight w:val="none"/>
          <w:lang w:val="en-US" w:eastAsia="zh-CN"/>
        </w:rPr>
        <w:t>如遇突发紧急事件，供应商应无条件配合加班。</w:t>
      </w:r>
    </w:p>
    <w:p w14:paraId="23AA94F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5.</w:t>
      </w:r>
      <w:r>
        <w:rPr>
          <w:rFonts w:hint="eastAsia" w:ascii="宋体" w:hAnsi="宋体" w:eastAsia="宋体" w:cs="宋体"/>
          <w:sz w:val="24"/>
          <w:szCs w:val="24"/>
          <w:highlight w:val="none"/>
          <w:lang w:val="en-US" w:eastAsia="zh-CN"/>
        </w:rPr>
        <w:t>办公时间内的免费热线支持与E-mail支持。</w:t>
      </w:r>
    </w:p>
    <w:p w14:paraId="27BC75D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6.</w:t>
      </w:r>
      <w:r>
        <w:rPr>
          <w:rFonts w:hint="eastAsia" w:ascii="宋体" w:hAnsi="宋体" w:eastAsia="宋体" w:cs="宋体"/>
          <w:sz w:val="24"/>
          <w:szCs w:val="24"/>
          <w:highlight w:val="none"/>
          <w:lang w:val="en-US" w:eastAsia="zh-CN"/>
        </w:rPr>
        <w:t>远程技术支持：通过网络远程通讯和远程控制的技术手段进行远程现场服务。</w:t>
      </w:r>
    </w:p>
    <w:p w14:paraId="3EAF5CC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7.</w:t>
      </w:r>
      <w:r>
        <w:rPr>
          <w:rFonts w:hint="eastAsia" w:ascii="宋体" w:hAnsi="宋体" w:eastAsia="宋体" w:cs="宋体"/>
          <w:sz w:val="24"/>
          <w:szCs w:val="24"/>
          <w:highlight w:val="none"/>
          <w:lang w:val="en-US" w:eastAsia="zh-CN"/>
        </w:rPr>
        <w:t>维保期内提供免费的系统升级、软件功能修改、与第三方软件接口、系统迁移，以及其他的支持服务；服务年度内供应商至少应对系统每季度一次整体检修，多方位排查系统可能存在的潜在故障，以确保系统正常运行。</w:t>
      </w:r>
    </w:p>
    <w:p w14:paraId="7BBDDB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8.</w:t>
      </w:r>
      <w:r>
        <w:rPr>
          <w:rFonts w:hint="eastAsia" w:ascii="宋体" w:hAnsi="宋体" w:eastAsia="宋体" w:cs="宋体"/>
          <w:sz w:val="24"/>
          <w:szCs w:val="24"/>
          <w:highlight w:val="none"/>
          <w:lang w:val="en-US" w:eastAsia="zh-CN"/>
        </w:rPr>
        <w:t>服务响应时间：承诺系统运行出现故障时，迅速提供技术服务，对于各类故障在1小时内做出明确响应和安排，若远程不能解决问题，在7小时内赶到现场。对涉及系统代码、数据库修改等系统实质性内容的修改，在24小时内派人到现场上门服务，排除故障，并分析故障原因，提出书面故障分析报告及防范措施。</w:t>
      </w:r>
    </w:p>
    <w:p w14:paraId="6DC87D6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840" w:leftChars="0" w:hanging="42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9.</w:t>
      </w:r>
      <w:r>
        <w:rPr>
          <w:rFonts w:hint="eastAsia" w:ascii="宋体" w:hAnsi="宋体" w:eastAsia="宋体" w:cs="宋体"/>
          <w:sz w:val="24"/>
          <w:szCs w:val="24"/>
          <w:highlight w:val="none"/>
          <w:lang w:val="en-US" w:eastAsia="zh-CN"/>
        </w:rPr>
        <w:t>自系统验收之日起5年内，免费提供以上条款中系统维护的服务。</w:t>
      </w:r>
    </w:p>
    <w:p w14:paraId="3530410E">
      <w:pPr>
        <w:rPr>
          <w:rFonts w:ascii="宋体" w:hAnsi="宋体" w:cs="宋体"/>
          <w:b/>
          <w:sz w:val="21"/>
          <w:szCs w:val="21"/>
          <w:highlight w:val="none"/>
        </w:rPr>
      </w:pPr>
    </w:p>
    <w:p w14:paraId="681F20FA">
      <w:pPr>
        <w:ind w:firstLine="413" w:firstLineChars="196"/>
        <w:rPr>
          <w:rFonts w:ascii="宋体" w:hAnsi="宋体"/>
          <w:b/>
          <w:sz w:val="21"/>
          <w:szCs w:val="21"/>
          <w:highlight w:val="none"/>
        </w:rPr>
      </w:pPr>
    </w:p>
    <w:p w14:paraId="30F9AE4E">
      <w:pPr>
        <w:ind w:firstLine="437"/>
        <w:jc w:val="both"/>
        <w:outlineLvl w:val="1"/>
        <w:rPr>
          <w:rFonts w:hint="eastAsia" w:ascii="宋体" w:hAnsi="宋体" w:cs="@仿宋_GB2312"/>
          <w:szCs w:val="18"/>
          <w:highlight w:val="none"/>
        </w:rPr>
      </w:pPr>
    </w:p>
    <w:bookmarkEnd w:id="2"/>
    <w:p w14:paraId="34ACF34F">
      <w:r>
        <w:rPr>
          <w:rFonts w:hint="eastAsia" w:ascii="宋体" w:hAnsi="宋体" w:eastAsia="宋体" w:cs="宋体"/>
          <w:b/>
          <w:bCs/>
          <w:sz w:val="24"/>
          <w:highlight w:val="none"/>
          <w:lang w:bidi="ar"/>
        </w:rPr>
        <w:t>备注：本章中所有</w:t>
      </w:r>
      <w:r>
        <w:rPr>
          <w:rFonts w:hint="eastAsia" w:ascii="宋体" w:hAnsi="宋体" w:eastAsia="宋体" w:cs="宋体"/>
          <w:b/>
          <w:bCs/>
          <w:sz w:val="24"/>
          <w:highlight w:val="none"/>
          <w:lang w:val="en-US" w:eastAsia="zh-CN" w:bidi="ar"/>
        </w:rPr>
        <w:t>内容</w:t>
      </w:r>
      <w:r>
        <w:rPr>
          <w:rFonts w:hint="eastAsia" w:ascii="宋体" w:hAnsi="宋体" w:eastAsia="宋体" w:cs="宋体"/>
          <w:b/>
          <w:bCs/>
          <w:sz w:val="24"/>
          <w:highlight w:val="none"/>
          <w:lang w:bidi="ar"/>
        </w:rPr>
        <w:t>要求必须全部响应满足，不得负偏离，否则做无效参选处理。</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144906"/>
    <w:multiLevelType w:val="multilevel"/>
    <w:tmpl w:val="7F144906"/>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7E4666"/>
    <w:rsid w:val="437E46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9"/>
    <w:pPr>
      <w:keepNext/>
      <w:tabs>
        <w:tab w:val="left" w:pos="420"/>
      </w:tabs>
      <w:spacing w:line="500" w:lineRule="exact"/>
      <w:ind w:left="420" w:hanging="420"/>
      <w:outlineLvl w:val="0"/>
    </w:pPr>
    <w:rPr>
      <w:b/>
      <w:sz w:val="36"/>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customStyle="1" w:styleId="6">
    <w:name w:val="_Style 12"/>
    <w:basedOn w:val="1"/>
    <w:next w:val="7"/>
    <w:qFormat/>
    <w:uiPriority w:val="0"/>
    <w:pPr>
      <w:ind w:firstLine="420" w:firstLineChars="200"/>
    </w:pPr>
    <w:rPr>
      <w:rFonts w:ascii="Calibri" w:hAnsi="Calibri" w:eastAsia="宋体" w:cs="Times New Roman"/>
    </w:rPr>
  </w:style>
  <w:style w:type="paragraph" w:styleId="7">
    <w:name w:val="List Paragraph"/>
    <w:basedOn w:val="1"/>
    <w:qFormat/>
    <w:uiPriority w:val="34"/>
    <w:pPr>
      <w:spacing w:line="240" w:lineRule="auto"/>
      <w:ind w:firstLine="420" w:firstLineChars="200"/>
      <w:jc w:val="both"/>
    </w:pPr>
    <w:rPr>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2026-09-17T10:44:00Z</dcterms:created>
  <dc:creator>省招-wxy</dc:creator>
  <cp:lastModifiedBy>省招-wxy</cp:lastModifiedBy>
  <dcterms:modified xsi:type="dcterms:W3CDTF">2026-09-17T10:45:37Z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D09056DC210D45FD8A88B55C7856259F_11</vt:lpwstr>
  </property>
  <property fmtid="{D5CDD505-2E9C-101B-9397-08002B2CF9AE}" pid="4" name="KSOTemplateDocerSaveRecord">
    <vt:lpwstr>eyJoZGlkIjoiZWUyOTQ1NDM2Zjc0YjU0MjZhMWI3YTAyMzgxNTM2MDQiLCJ1c2VySWQiOiI0NjEyMTI0ODEifQ==</vt:lpwstr>
  </property>
</Properties>
</file>