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A78FF">
      <w:pPr>
        <w:pStyle w:val="2"/>
        <w:tabs>
          <w:tab w:val="left" w:pos="420"/>
        </w:tabs>
        <w:spacing w:line="360" w:lineRule="auto"/>
        <w:ind w:left="0" w:firstLine="0"/>
        <w:jc w:val="center"/>
        <w:rPr>
          <w:rFonts w:ascii="宋体" w:hAnsi="宋体"/>
          <w:szCs w:val="36"/>
          <w:highlight w:val="none"/>
        </w:rPr>
      </w:pPr>
      <w:bookmarkStart w:id="2" w:name="_GoBack"/>
      <w:r>
        <w:rPr>
          <w:rFonts w:hint="eastAsia" w:ascii="宋体" w:hAnsi="宋体"/>
          <w:szCs w:val="36"/>
          <w:highlight w:val="none"/>
        </w:rPr>
        <w:t>采购需求</w:t>
      </w:r>
    </w:p>
    <w:bookmarkEnd w:id="2"/>
    <w:p w14:paraId="03F90648">
      <w:pPr>
        <w:spacing w:line="360" w:lineRule="auto"/>
        <w:jc w:val="both"/>
        <w:outlineLvl w:val="1"/>
        <w:rPr>
          <w:rFonts w:hint="eastAsia" w:ascii="宋体" w:hAnsi="宋体" w:cs="@仿宋_GB2312"/>
          <w:b/>
          <w:sz w:val="24"/>
          <w:szCs w:val="24"/>
          <w:highlight w:val="none"/>
        </w:rPr>
      </w:pPr>
      <w:bookmarkStart w:id="0" w:name="_Toc26330"/>
      <w:bookmarkStart w:id="1" w:name="_Toc9765"/>
      <w:r>
        <w:rPr>
          <w:rFonts w:hint="eastAsia" w:ascii="宋体" w:hAnsi="宋体" w:cs="@仿宋_GB2312"/>
          <w:b/>
          <w:sz w:val="24"/>
          <w:szCs w:val="24"/>
          <w:highlight w:val="none"/>
        </w:rPr>
        <w:t>采购需求前附表</w:t>
      </w:r>
      <w:bookmarkEnd w:id="0"/>
      <w:bookmarkEnd w:id="1"/>
    </w:p>
    <w:tbl>
      <w:tblPr>
        <w:tblStyle w:val="3"/>
        <w:tblW w:w="87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7"/>
        <w:gridCol w:w="2191"/>
        <w:gridCol w:w="5476"/>
      </w:tblGrid>
      <w:tr w14:paraId="626EB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6F394E02">
            <w:pPr>
              <w:spacing w:line="360" w:lineRule="auto"/>
              <w:jc w:val="center"/>
              <w:rPr>
                <w:rFonts w:hint="eastAsia" w:ascii="宋体" w:hAnsi="宋体" w:cs="@仿宋_GB2312"/>
                <w:b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191" w:type="dxa"/>
            <w:noWrap w:val="0"/>
            <w:vAlign w:val="center"/>
          </w:tcPr>
          <w:p w14:paraId="632D136F">
            <w:pPr>
              <w:spacing w:line="360" w:lineRule="auto"/>
              <w:jc w:val="center"/>
              <w:rPr>
                <w:rFonts w:hint="eastAsia" w:ascii="宋体" w:hAnsi="宋体" w:cs="@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/>
                <w:kern w:val="0"/>
                <w:sz w:val="24"/>
                <w:szCs w:val="24"/>
                <w:highlight w:val="none"/>
              </w:rPr>
              <w:t>条款名称</w:t>
            </w:r>
          </w:p>
        </w:tc>
        <w:tc>
          <w:tcPr>
            <w:tcW w:w="5476" w:type="dxa"/>
            <w:noWrap w:val="0"/>
            <w:vAlign w:val="center"/>
          </w:tcPr>
          <w:p w14:paraId="240A7748">
            <w:pPr>
              <w:spacing w:line="360" w:lineRule="auto"/>
              <w:jc w:val="center"/>
              <w:rPr>
                <w:rFonts w:hint="eastAsia" w:ascii="宋体" w:hAnsi="宋体" w:cs="@仿宋_GB2312"/>
                <w:b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/>
                <w:kern w:val="0"/>
                <w:sz w:val="24"/>
                <w:szCs w:val="24"/>
                <w:highlight w:val="none"/>
              </w:rPr>
              <w:t>内容、说明与要求</w:t>
            </w:r>
          </w:p>
        </w:tc>
      </w:tr>
      <w:tr w14:paraId="4699B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035BDFF2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sz w:val="24"/>
                <w:szCs w:val="24"/>
                <w:highlight w:val="none"/>
              </w:rPr>
              <w:t>1</w:t>
            </w:r>
          </w:p>
        </w:tc>
        <w:tc>
          <w:tcPr>
            <w:tcW w:w="2191" w:type="dxa"/>
            <w:noWrap w:val="0"/>
            <w:vAlign w:val="center"/>
          </w:tcPr>
          <w:p w14:paraId="1A160D91">
            <w:pPr>
              <w:pStyle w:val="8"/>
              <w:widowControl w:val="0"/>
              <w:spacing w:before="0" w:beforeAutospacing="0" w:after="0" w:afterAutospacing="0" w:line="360" w:lineRule="auto"/>
              <w:rPr>
                <w:rFonts w:hint="eastAsia" w:ascii="宋体" w:hAnsi="宋体" w:cs="@仿宋_GB2312"/>
                <w:bCs w:val="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/>
                <w:b w:val="0"/>
                <w:sz w:val="24"/>
                <w:highlight w:val="none"/>
              </w:rPr>
              <w:t>付款方式</w:t>
            </w:r>
          </w:p>
        </w:tc>
        <w:tc>
          <w:tcPr>
            <w:tcW w:w="5476" w:type="dxa"/>
            <w:noWrap w:val="0"/>
            <w:vAlign w:val="center"/>
          </w:tcPr>
          <w:p w14:paraId="1167EDF6">
            <w:pPr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</w:rPr>
              <w:t>验收</w:t>
            </w:r>
            <w:r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合格</w:t>
            </w:r>
            <w:r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</w:rPr>
              <w:t>通过后一次性支付</w:t>
            </w:r>
            <w:r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合同款</w:t>
            </w:r>
            <w:r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</w:rPr>
              <w:t>。</w:t>
            </w:r>
          </w:p>
        </w:tc>
      </w:tr>
      <w:tr w14:paraId="7CC32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012D34DD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sz w:val="24"/>
                <w:szCs w:val="24"/>
                <w:highlight w:val="none"/>
              </w:rPr>
              <w:t>2</w:t>
            </w:r>
          </w:p>
        </w:tc>
        <w:tc>
          <w:tcPr>
            <w:tcW w:w="2191" w:type="dxa"/>
            <w:noWrap w:val="0"/>
            <w:vAlign w:val="center"/>
          </w:tcPr>
          <w:p w14:paraId="78CB72CF">
            <w:pPr>
              <w:spacing w:line="360" w:lineRule="auto"/>
              <w:jc w:val="center"/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服务地点</w:t>
            </w:r>
          </w:p>
        </w:tc>
        <w:tc>
          <w:tcPr>
            <w:tcW w:w="5476" w:type="dxa"/>
            <w:noWrap w:val="0"/>
            <w:vAlign w:val="center"/>
          </w:tcPr>
          <w:p w14:paraId="65547615">
            <w:pPr>
              <w:spacing w:line="360" w:lineRule="auto"/>
              <w:jc w:val="both"/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</w:rPr>
              <w:t>采购人指定地点</w:t>
            </w:r>
          </w:p>
        </w:tc>
      </w:tr>
      <w:tr w14:paraId="16A019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33D31329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sz w:val="24"/>
                <w:szCs w:val="24"/>
                <w:highlight w:val="none"/>
              </w:rPr>
              <w:t>3</w:t>
            </w:r>
          </w:p>
        </w:tc>
        <w:tc>
          <w:tcPr>
            <w:tcW w:w="2191" w:type="dxa"/>
            <w:noWrap w:val="0"/>
            <w:vAlign w:val="center"/>
          </w:tcPr>
          <w:p w14:paraId="517E5D4D">
            <w:pPr>
              <w:spacing w:line="360" w:lineRule="auto"/>
              <w:jc w:val="center"/>
              <w:rPr>
                <w:rFonts w:hint="eastAsia" w:ascii="宋体" w:hAnsi="宋体" w:eastAsia="宋体" w:cs="@仿宋_GB2312"/>
                <w:bCs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  <w:lang w:eastAsia="zh-CN"/>
              </w:rPr>
              <w:t>建设周期</w:t>
            </w:r>
          </w:p>
        </w:tc>
        <w:tc>
          <w:tcPr>
            <w:tcW w:w="5476" w:type="dxa"/>
            <w:noWrap w:val="0"/>
            <w:vAlign w:val="center"/>
          </w:tcPr>
          <w:p w14:paraId="6C028D5F">
            <w:pPr>
              <w:spacing w:line="360" w:lineRule="auto"/>
              <w:jc w:val="both"/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详见采购公告</w:t>
            </w:r>
            <w:r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</w:rPr>
              <w:t>。</w:t>
            </w:r>
          </w:p>
        </w:tc>
      </w:tr>
      <w:tr w14:paraId="539FFD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1087" w:type="dxa"/>
            <w:noWrap w:val="0"/>
            <w:vAlign w:val="center"/>
          </w:tcPr>
          <w:p w14:paraId="3BBDA71A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sz w:val="24"/>
                <w:szCs w:val="24"/>
                <w:highlight w:val="none"/>
              </w:rPr>
              <w:t>4</w:t>
            </w:r>
          </w:p>
        </w:tc>
        <w:tc>
          <w:tcPr>
            <w:tcW w:w="2191" w:type="dxa"/>
            <w:noWrap w:val="0"/>
            <w:vAlign w:val="center"/>
          </w:tcPr>
          <w:p w14:paraId="43CFBBB8">
            <w:pPr>
              <w:spacing w:line="360" w:lineRule="auto"/>
              <w:jc w:val="center"/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  <w:lang w:eastAsia="zh-CN"/>
              </w:rPr>
              <w:t>免费维保期</w:t>
            </w:r>
            <w:r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</w:rPr>
              <w:t>（如有）</w:t>
            </w:r>
          </w:p>
        </w:tc>
        <w:tc>
          <w:tcPr>
            <w:tcW w:w="5476" w:type="dxa"/>
            <w:noWrap w:val="0"/>
            <w:vAlign w:val="center"/>
          </w:tcPr>
          <w:p w14:paraId="6FCC76B8">
            <w:pPr>
              <w:spacing w:line="360" w:lineRule="auto"/>
              <w:jc w:val="both"/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  <w:lang w:val="en-US" w:eastAsia="zh-CN"/>
              </w:rPr>
              <w:t>详见采购公告</w:t>
            </w:r>
            <w:r>
              <w:rPr>
                <w:rFonts w:hint="eastAsia" w:ascii="宋体" w:hAnsi="宋体" w:cs="@仿宋_GB2312"/>
                <w:bCs/>
                <w:kern w:val="0"/>
                <w:sz w:val="24"/>
                <w:szCs w:val="24"/>
                <w:highlight w:val="none"/>
              </w:rPr>
              <w:t>。</w:t>
            </w:r>
          </w:p>
        </w:tc>
      </w:tr>
    </w:tbl>
    <w:p w14:paraId="5913BBA4">
      <w:pPr>
        <w:spacing w:line="360" w:lineRule="auto"/>
        <w:ind w:firstLine="437"/>
        <w:jc w:val="both"/>
        <w:outlineLvl w:val="1"/>
        <w:rPr>
          <w:rFonts w:hint="eastAsia" w:ascii="宋体" w:hAnsi="宋体" w:cs="@仿宋_GB2312"/>
          <w:b/>
          <w:bCs/>
          <w:sz w:val="24"/>
          <w:szCs w:val="24"/>
          <w:highlight w:val="none"/>
        </w:rPr>
      </w:pPr>
    </w:p>
    <w:p w14:paraId="787ACE70">
      <w:pPr>
        <w:spacing w:line="360" w:lineRule="auto"/>
        <w:ind w:firstLine="437"/>
        <w:jc w:val="both"/>
        <w:outlineLvl w:val="1"/>
        <w:rPr>
          <w:rFonts w:hint="eastAsia" w:ascii="宋体" w:hAnsi="宋体" w:cs="@仿宋_GB2312"/>
          <w:b/>
          <w:bCs/>
          <w:sz w:val="24"/>
          <w:szCs w:val="24"/>
          <w:highlight w:val="none"/>
        </w:rPr>
      </w:pPr>
    </w:p>
    <w:p w14:paraId="41EB9839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1500"/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 w:bidi="ar-SA"/>
        </w:rPr>
        <w:t>一、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项目背景</w:t>
      </w:r>
    </w:p>
    <w:p w14:paraId="46DFD9B1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西区参与安徽省互联互通测评，为满足测评要求，需对住院电子病历系统按照评审要求进行接口开发。</w:t>
      </w:r>
    </w:p>
    <w:p w14:paraId="209BDCAB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1500"/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firstLine="482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 w:bidi="ar-SA"/>
        </w:rPr>
        <w:t>二、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技术要求</w:t>
      </w:r>
    </w:p>
    <w:p w14:paraId="3FBE0290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按照指定服务地址与协议，建设标准接口服务，</w:t>
      </w:r>
      <w:r>
        <w:rPr>
          <w:rFonts w:hint="eastAsia" w:ascii="宋体" w:hAnsi="宋体" w:eastAsia="宋体" w:cs="宋体"/>
          <w:bCs/>
          <w:sz w:val="24"/>
          <w:szCs w:val="24"/>
          <w:highlight w:val="none"/>
        </w:rPr>
        <w:t>支持通过WebService接口向测评总线插入结构化医疗数据，并配套提供测试工具、模板库与运维能力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。</w:t>
      </w:r>
    </w:p>
    <w:p w14:paraId="5FECBF3E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具体内容包括：</w:t>
      </w:r>
    </w:p>
    <w:p w14:paraId="39F85302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（1）</w:t>
      </w: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数据自动保存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第三方系统能够通过调用指定的 Web 服务接口（</w:t>
      </w:r>
      <w:r>
        <w:rPr>
          <w:rStyle w:val="7"/>
          <w:rFonts w:hint="eastAsia" w:ascii="宋体" w:hAnsi="宋体" w:eastAsia="宋体" w:cs="宋体"/>
          <w:sz w:val="24"/>
          <w:szCs w:val="24"/>
          <w:highlight w:val="none"/>
        </w:rPr>
        <w:t>SaveData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方法），将业务数据自动插入或更新到医院指定的中间库表中。</w:t>
      </w:r>
    </w:p>
    <w:p w14:paraId="01A565D2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（2）</w:t>
      </w: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支持多种数据操作类型</w:t>
      </w:r>
    </w:p>
    <w:p w14:paraId="26971643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新增或全字段更新</w:t>
      </w:r>
    </w:p>
    <w:p w14:paraId="69D482EB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部分字段更新</w:t>
      </w:r>
    </w:p>
    <w:p w14:paraId="187F817F">
      <w:pPr>
        <w:pStyle w:val="10"/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360" w:lineRule="auto"/>
        <w:ind w:left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删除数据</w:t>
      </w:r>
    </w:p>
    <w:p w14:paraId="4E21EBB3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（3）</w:t>
      </w: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数据映射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第三方系统需要按照医院提供的数据模型，将本地数据字段映射到平台的标准字段。</w:t>
      </w:r>
    </w:p>
    <w:p w14:paraId="49E0C5E9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（4）</w:t>
      </w: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标准化接入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第三方系统遵循统一的接口规范（XML 格式、指定表名、服务地址等），以便不同厂商的系统能够平滑接入互联互通平台。</w:t>
      </w:r>
    </w:p>
    <w:p w14:paraId="0C6E668D">
      <w:pPr>
        <w:pStyle w:val="10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val="en-US" w:eastAsia="zh-CN" w:bidi="ar-SA"/>
        </w:rPr>
        <w:t>（5）</w:t>
      </w: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支持临床文档或业务单据传输。</w:t>
      </w:r>
    </w:p>
    <w:p w14:paraId="728A9608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系统应具备以下共享文档（CDA）模板的结构化数据采集、生成、存储与输出能力，并完成与东华系统的适配对接，实现互联互通、数据共享。</w:t>
      </w:r>
    </w:p>
    <w:tbl>
      <w:tblPr>
        <w:tblStyle w:val="4"/>
        <w:tblW w:w="3414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4"/>
        <w:gridCol w:w="4515"/>
      </w:tblGrid>
      <w:tr w14:paraId="18D334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top"/>
          </w:tcPr>
          <w:p w14:paraId="57FCFE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3879" w:type="pct"/>
            <w:noWrap w:val="0"/>
            <w:vAlign w:val="top"/>
          </w:tcPr>
          <w:p w14:paraId="10D33D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文档标题</w:t>
            </w:r>
          </w:p>
        </w:tc>
      </w:tr>
      <w:tr w14:paraId="2ED135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5F9CC10B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1.</w:t>
            </w:r>
          </w:p>
        </w:tc>
        <w:tc>
          <w:tcPr>
            <w:tcW w:w="3879" w:type="pct"/>
            <w:noWrap w:val="0"/>
            <w:vAlign w:val="bottom"/>
          </w:tcPr>
          <w:p w14:paraId="3404D0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病历概要</w:t>
            </w:r>
          </w:p>
        </w:tc>
      </w:tr>
      <w:tr w14:paraId="306FD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783E128E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2.</w:t>
            </w:r>
          </w:p>
        </w:tc>
        <w:tc>
          <w:tcPr>
            <w:tcW w:w="3879" w:type="pct"/>
            <w:noWrap w:val="0"/>
            <w:vAlign w:val="bottom"/>
          </w:tcPr>
          <w:p w14:paraId="74F9BB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一般手术记录</w:t>
            </w:r>
          </w:p>
        </w:tc>
      </w:tr>
      <w:tr w14:paraId="645DA7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65D2A7F6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3.</w:t>
            </w:r>
          </w:p>
        </w:tc>
        <w:tc>
          <w:tcPr>
            <w:tcW w:w="3879" w:type="pct"/>
            <w:noWrap w:val="0"/>
            <w:vAlign w:val="bottom"/>
          </w:tcPr>
          <w:p w14:paraId="091904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手术知情同意书</w:t>
            </w:r>
          </w:p>
        </w:tc>
      </w:tr>
      <w:tr w14:paraId="79C5B9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0E33BB3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4.</w:t>
            </w:r>
          </w:p>
        </w:tc>
        <w:tc>
          <w:tcPr>
            <w:tcW w:w="3879" w:type="pct"/>
            <w:noWrap w:val="0"/>
            <w:vAlign w:val="bottom"/>
          </w:tcPr>
          <w:p w14:paraId="4F9603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麻醉知情同意书</w:t>
            </w:r>
          </w:p>
        </w:tc>
      </w:tr>
      <w:tr w14:paraId="42060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D1ECB73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5.</w:t>
            </w:r>
          </w:p>
        </w:tc>
        <w:tc>
          <w:tcPr>
            <w:tcW w:w="3879" w:type="pct"/>
            <w:noWrap w:val="0"/>
            <w:vAlign w:val="bottom"/>
          </w:tcPr>
          <w:p w14:paraId="217C47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输血治疗同意书</w:t>
            </w:r>
          </w:p>
        </w:tc>
      </w:tr>
      <w:tr w14:paraId="0F5748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33E9F6A5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6.</w:t>
            </w:r>
          </w:p>
        </w:tc>
        <w:tc>
          <w:tcPr>
            <w:tcW w:w="3879" w:type="pct"/>
            <w:noWrap w:val="0"/>
            <w:vAlign w:val="bottom"/>
          </w:tcPr>
          <w:p w14:paraId="7C6AA8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特殊检查及特殊治疗同意书</w:t>
            </w:r>
          </w:p>
        </w:tc>
      </w:tr>
      <w:tr w14:paraId="2BB54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27F96495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7.</w:t>
            </w:r>
          </w:p>
        </w:tc>
        <w:tc>
          <w:tcPr>
            <w:tcW w:w="3879" w:type="pct"/>
            <w:noWrap w:val="0"/>
            <w:vAlign w:val="bottom"/>
          </w:tcPr>
          <w:p w14:paraId="6BD6C4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病危(重)通知书</w:t>
            </w:r>
          </w:p>
        </w:tc>
      </w:tr>
      <w:tr w14:paraId="2E6A6E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45F0782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8.</w:t>
            </w:r>
          </w:p>
        </w:tc>
        <w:tc>
          <w:tcPr>
            <w:tcW w:w="3879" w:type="pct"/>
            <w:noWrap w:val="0"/>
            <w:vAlign w:val="bottom"/>
          </w:tcPr>
          <w:p w14:paraId="29911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其他知情同意书</w:t>
            </w:r>
          </w:p>
        </w:tc>
      </w:tr>
      <w:tr w14:paraId="47182C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3290EAC8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9.</w:t>
            </w:r>
          </w:p>
        </w:tc>
        <w:tc>
          <w:tcPr>
            <w:tcW w:w="3879" w:type="pct"/>
            <w:noWrap w:val="0"/>
            <w:vAlign w:val="bottom"/>
          </w:tcPr>
          <w:p w14:paraId="51E06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住院病案首页</w:t>
            </w:r>
          </w:p>
        </w:tc>
      </w:tr>
      <w:tr w14:paraId="79B01F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7C1C2123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10.</w:t>
            </w:r>
          </w:p>
        </w:tc>
        <w:tc>
          <w:tcPr>
            <w:tcW w:w="3879" w:type="pct"/>
            <w:noWrap w:val="0"/>
            <w:vAlign w:val="bottom"/>
          </w:tcPr>
          <w:p w14:paraId="06132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中医住院病案首页</w:t>
            </w:r>
          </w:p>
        </w:tc>
      </w:tr>
      <w:tr w14:paraId="6D46B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56C2FD6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11.</w:t>
            </w:r>
          </w:p>
        </w:tc>
        <w:tc>
          <w:tcPr>
            <w:tcW w:w="3879" w:type="pct"/>
            <w:noWrap w:val="0"/>
            <w:vAlign w:val="bottom"/>
          </w:tcPr>
          <w:p w14:paraId="3DFD6A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入院记录</w:t>
            </w:r>
          </w:p>
        </w:tc>
      </w:tr>
      <w:tr w14:paraId="1275B7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4209861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12.</w:t>
            </w:r>
          </w:p>
        </w:tc>
        <w:tc>
          <w:tcPr>
            <w:tcW w:w="3879" w:type="pct"/>
            <w:noWrap w:val="0"/>
            <w:vAlign w:val="bottom"/>
          </w:tcPr>
          <w:p w14:paraId="4212E3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24h内入出院记录</w:t>
            </w:r>
          </w:p>
        </w:tc>
      </w:tr>
      <w:tr w14:paraId="32BEE0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3A54ABFB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13.</w:t>
            </w:r>
          </w:p>
        </w:tc>
        <w:tc>
          <w:tcPr>
            <w:tcW w:w="3879" w:type="pct"/>
            <w:noWrap w:val="0"/>
            <w:vAlign w:val="bottom"/>
          </w:tcPr>
          <w:p w14:paraId="54E951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24h内入院死亡记录</w:t>
            </w:r>
          </w:p>
        </w:tc>
      </w:tr>
      <w:tr w14:paraId="68B05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A5E55B5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14.</w:t>
            </w:r>
          </w:p>
        </w:tc>
        <w:tc>
          <w:tcPr>
            <w:tcW w:w="3879" w:type="pct"/>
            <w:noWrap w:val="0"/>
            <w:vAlign w:val="bottom"/>
          </w:tcPr>
          <w:p w14:paraId="3A0155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首次病程记录</w:t>
            </w:r>
          </w:p>
        </w:tc>
      </w:tr>
      <w:tr w14:paraId="3B62B6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05E9398C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15.</w:t>
            </w:r>
          </w:p>
        </w:tc>
        <w:tc>
          <w:tcPr>
            <w:tcW w:w="3879" w:type="pct"/>
            <w:noWrap w:val="0"/>
            <w:vAlign w:val="bottom"/>
          </w:tcPr>
          <w:p w14:paraId="3B2E88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日常病程记录</w:t>
            </w:r>
          </w:p>
        </w:tc>
      </w:tr>
      <w:tr w14:paraId="30174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56572EB8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16.</w:t>
            </w:r>
          </w:p>
        </w:tc>
        <w:tc>
          <w:tcPr>
            <w:tcW w:w="3879" w:type="pct"/>
            <w:noWrap w:val="0"/>
            <w:vAlign w:val="bottom"/>
          </w:tcPr>
          <w:p w14:paraId="40F13B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上级医师查房记录</w:t>
            </w:r>
          </w:p>
        </w:tc>
      </w:tr>
      <w:tr w14:paraId="30B3D0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00DF5D5B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17.</w:t>
            </w:r>
          </w:p>
        </w:tc>
        <w:tc>
          <w:tcPr>
            <w:tcW w:w="3879" w:type="pct"/>
            <w:noWrap w:val="0"/>
            <w:vAlign w:val="bottom"/>
          </w:tcPr>
          <w:p w14:paraId="4121AE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疑难病例讨论记录</w:t>
            </w:r>
          </w:p>
        </w:tc>
      </w:tr>
      <w:tr w14:paraId="403AD6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D0553A1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18.</w:t>
            </w:r>
          </w:p>
        </w:tc>
        <w:tc>
          <w:tcPr>
            <w:tcW w:w="3879" w:type="pct"/>
            <w:noWrap w:val="0"/>
            <w:vAlign w:val="bottom"/>
          </w:tcPr>
          <w:p w14:paraId="32A753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交接班记录</w:t>
            </w:r>
          </w:p>
        </w:tc>
      </w:tr>
      <w:tr w14:paraId="2CA84B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66F614F1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19.</w:t>
            </w:r>
          </w:p>
        </w:tc>
        <w:tc>
          <w:tcPr>
            <w:tcW w:w="3879" w:type="pct"/>
            <w:noWrap w:val="0"/>
            <w:vAlign w:val="bottom"/>
          </w:tcPr>
          <w:p w14:paraId="0C8C9F7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转科记录</w:t>
            </w:r>
          </w:p>
        </w:tc>
      </w:tr>
      <w:tr w14:paraId="4CCC58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29E48C03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20.</w:t>
            </w:r>
          </w:p>
        </w:tc>
        <w:tc>
          <w:tcPr>
            <w:tcW w:w="3879" w:type="pct"/>
            <w:noWrap w:val="0"/>
            <w:vAlign w:val="bottom"/>
          </w:tcPr>
          <w:p w14:paraId="544CF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阶段小结</w:t>
            </w:r>
          </w:p>
        </w:tc>
      </w:tr>
      <w:tr w14:paraId="6A16F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3939091B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21.</w:t>
            </w:r>
          </w:p>
        </w:tc>
        <w:tc>
          <w:tcPr>
            <w:tcW w:w="3879" w:type="pct"/>
            <w:noWrap w:val="0"/>
            <w:vAlign w:val="bottom"/>
          </w:tcPr>
          <w:p w14:paraId="0D795C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抢救记录</w:t>
            </w:r>
          </w:p>
        </w:tc>
      </w:tr>
      <w:tr w14:paraId="26DAD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C13E109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22.</w:t>
            </w:r>
          </w:p>
        </w:tc>
        <w:tc>
          <w:tcPr>
            <w:tcW w:w="3879" w:type="pct"/>
            <w:noWrap w:val="0"/>
            <w:vAlign w:val="bottom"/>
          </w:tcPr>
          <w:p w14:paraId="1A3204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会诊记录</w:t>
            </w:r>
          </w:p>
        </w:tc>
      </w:tr>
      <w:tr w14:paraId="56F7F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414B1BFB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23.</w:t>
            </w:r>
          </w:p>
        </w:tc>
        <w:tc>
          <w:tcPr>
            <w:tcW w:w="3879" w:type="pct"/>
            <w:noWrap w:val="0"/>
            <w:vAlign w:val="bottom"/>
          </w:tcPr>
          <w:p w14:paraId="5C97FF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术前小结</w:t>
            </w:r>
          </w:p>
        </w:tc>
      </w:tr>
      <w:tr w14:paraId="1F39D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17E2916E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24.</w:t>
            </w:r>
          </w:p>
        </w:tc>
        <w:tc>
          <w:tcPr>
            <w:tcW w:w="3879" w:type="pct"/>
            <w:noWrap w:val="0"/>
            <w:vAlign w:val="bottom"/>
          </w:tcPr>
          <w:p w14:paraId="05CC21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术前讨论</w:t>
            </w:r>
          </w:p>
        </w:tc>
      </w:tr>
      <w:tr w14:paraId="5CFF16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59A728B2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25.</w:t>
            </w:r>
          </w:p>
        </w:tc>
        <w:tc>
          <w:tcPr>
            <w:tcW w:w="3879" w:type="pct"/>
            <w:noWrap w:val="0"/>
            <w:vAlign w:val="bottom"/>
          </w:tcPr>
          <w:p w14:paraId="45C47B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术后首次病程记录</w:t>
            </w:r>
          </w:p>
        </w:tc>
      </w:tr>
      <w:tr w14:paraId="5B33A1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37F331E4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26.</w:t>
            </w:r>
          </w:p>
        </w:tc>
        <w:tc>
          <w:tcPr>
            <w:tcW w:w="3879" w:type="pct"/>
            <w:noWrap w:val="0"/>
            <w:vAlign w:val="bottom"/>
          </w:tcPr>
          <w:p w14:paraId="67630F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出院记录</w:t>
            </w:r>
          </w:p>
        </w:tc>
      </w:tr>
      <w:tr w14:paraId="30471B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7458A17A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27.</w:t>
            </w:r>
          </w:p>
        </w:tc>
        <w:tc>
          <w:tcPr>
            <w:tcW w:w="3879" w:type="pct"/>
            <w:noWrap w:val="0"/>
            <w:vAlign w:val="bottom"/>
          </w:tcPr>
          <w:p w14:paraId="36E213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死亡记录</w:t>
            </w:r>
          </w:p>
        </w:tc>
      </w:tr>
      <w:tr w14:paraId="6CD3E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31A8C35B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2"/>
                <w:sz w:val="24"/>
                <w:szCs w:val="24"/>
                <w:lang w:val="en-US" w:eastAsia="zh-CN" w:bidi="ar-SA"/>
              </w:rPr>
              <w:t>28.</w:t>
            </w:r>
          </w:p>
        </w:tc>
        <w:tc>
          <w:tcPr>
            <w:tcW w:w="3879" w:type="pct"/>
            <w:noWrap w:val="0"/>
            <w:vAlign w:val="bottom"/>
          </w:tcPr>
          <w:p w14:paraId="0A4E13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死亡病程讨论记录</w:t>
            </w:r>
          </w:p>
        </w:tc>
      </w:tr>
      <w:tr w14:paraId="557FE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120" w:type="pct"/>
            <w:noWrap w:val="0"/>
            <w:vAlign w:val="bottom"/>
          </w:tcPr>
          <w:p w14:paraId="2C354A9F">
            <w:pPr>
              <w:pStyle w:val="9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</w:p>
        </w:tc>
        <w:tc>
          <w:tcPr>
            <w:tcW w:w="3879" w:type="pct"/>
            <w:noWrap w:val="0"/>
            <w:vAlign w:val="bottom"/>
          </w:tcPr>
          <w:p w14:paraId="73C361C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firstLine="480" w:firstLineChars="200"/>
              <w:jc w:val="center"/>
              <w:textAlignment w:val="bottom"/>
              <w:rPr>
                <w:rFonts w:hint="eastAsia" w:ascii="宋体" w:hAnsi="宋体" w:eastAsia="宋体" w:cs="宋体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bidi="ar"/>
              </w:rPr>
              <w:t>出院小结</w:t>
            </w:r>
          </w:p>
        </w:tc>
      </w:tr>
    </w:tbl>
    <w:p w14:paraId="2EEAD355">
      <w:pPr>
        <w:pStyle w:val="9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rPr>
          <w:rStyle w:val="6"/>
          <w:rFonts w:hint="eastAsia" w:ascii="宋体" w:hAnsi="宋体" w:eastAsia="宋体" w:cs="宋体"/>
          <w:b w:val="0"/>
          <w:bCs w:val="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 w:val="0"/>
          <w:bCs w:val="0"/>
          <w:kern w:val="2"/>
          <w:sz w:val="24"/>
          <w:szCs w:val="24"/>
          <w:lang w:val="en-US" w:eastAsia="zh-CN" w:bidi="ar-SA"/>
        </w:rPr>
        <w:t>3.</w:t>
      </w:r>
      <w:r>
        <w:rPr>
          <w:rStyle w:val="6"/>
          <w:rFonts w:hint="eastAsia" w:ascii="宋体" w:hAnsi="宋体" w:eastAsia="宋体" w:cs="宋体"/>
          <w:b w:val="0"/>
          <w:sz w:val="24"/>
          <w:szCs w:val="24"/>
          <w:highlight w:val="none"/>
        </w:rPr>
        <w:t>全院采用统一的数据元值域标准，完成业务系统数据元的标准映射、接口适配、历史数据清洗及动态校验，满足医院信息互联互通标准化成熟度测评要求。</w:t>
      </w:r>
    </w:p>
    <w:tbl>
      <w:tblPr>
        <w:tblStyle w:val="4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4"/>
        <w:gridCol w:w="1846"/>
        <w:gridCol w:w="3508"/>
        <w:gridCol w:w="2391"/>
      </w:tblGrid>
      <w:tr w14:paraId="0B536D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noWrap w:val="0"/>
            <w:vAlign w:val="top"/>
          </w:tcPr>
          <w:p w14:paraId="7B584484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次序</w:t>
            </w:r>
          </w:p>
        </w:tc>
        <w:tc>
          <w:tcPr>
            <w:tcW w:w="1083" w:type="pct"/>
            <w:noWrap w:val="0"/>
            <w:vAlign w:val="top"/>
          </w:tcPr>
          <w:p w14:paraId="7385F499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lang w:val="en-US" w:eastAsia="zh-CN"/>
              </w:rPr>
              <w:t>标准</w:t>
            </w:r>
          </w:p>
        </w:tc>
        <w:tc>
          <w:tcPr>
            <w:tcW w:w="2058" w:type="pct"/>
            <w:noWrap w:val="0"/>
            <w:vAlign w:val="top"/>
          </w:tcPr>
          <w:p w14:paraId="4675B10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描述</w:t>
            </w:r>
          </w:p>
        </w:tc>
        <w:tc>
          <w:tcPr>
            <w:tcW w:w="1403" w:type="pct"/>
            <w:noWrap w:val="0"/>
            <w:vAlign w:val="top"/>
          </w:tcPr>
          <w:p w14:paraId="2E28A8E8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对应接口文档</w:t>
            </w:r>
          </w:p>
        </w:tc>
      </w:tr>
      <w:tr w14:paraId="49A2F0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54" w:type="pct"/>
            <w:noWrap w:val="0"/>
            <w:vAlign w:val="top"/>
          </w:tcPr>
          <w:p w14:paraId="5CB8527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1083" w:type="pct"/>
            <w:noWrap w:val="0"/>
            <w:vAlign w:val="top"/>
          </w:tcPr>
          <w:p w14:paraId="64F75DAA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数据元值域标准化映射接口</w:t>
            </w:r>
          </w:p>
        </w:tc>
        <w:tc>
          <w:tcPr>
            <w:tcW w:w="2058" w:type="pct"/>
            <w:noWrap w:val="0"/>
            <w:vAlign w:val="top"/>
          </w:tcPr>
          <w:p w14:paraId="404A4AE5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rPr>
                <w:rFonts w:hint="eastAsia" w:ascii="宋体" w:hAnsi="宋体" w:eastAsia="宋体" w:cs="宋体"/>
                <w:sz w:val="24"/>
                <w:szCs w:val="24"/>
                <w:highlight w:val="none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系统数据元的标准映射、接口适配、历史数据清洗及动态校验</w:t>
            </w:r>
          </w:p>
        </w:tc>
        <w:tc>
          <w:tcPr>
            <w:tcW w:w="1403" w:type="pct"/>
            <w:noWrap w:val="0"/>
            <w:vAlign w:val="top"/>
          </w:tcPr>
          <w:p w14:paraId="62081C9E">
            <w:pPr>
              <w:pStyle w:val="9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left="0" w:leftChars="0" w:firstLine="0" w:firstLineChars="0"/>
              <w:rPr>
                <w:rStyle w:val="6"/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</w:pPr>
            <w:r>
              <w:rPr>
                <w:rStyle w:val="6"/>
                <w:rFonts w:hint="eastAsia" w:ascii="宋体" w:hAnsi="宋体" w:eastAsia="宋体" w:cs="宋体"/>
                <w:b w:val="0"/>
                <w:sz w:val="24"/>
                <w:szCs w:val="24"/>
                <w:highlight w:val="none"/>
              </w:rPr>
              <w:t>数据元值域2025新版</w:t>
            </w:r>
          </w:p>
        </w:tc>
      </w:tr>
    </w:tbl>
    <w:p w14:paraId="559796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firstLine="482" w:firstLineChars="200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br w:type="textWrapping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三、实施要求</w:t>
      </w:r>
    </w:p>
    <w:p w14:paraId="7611C48B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2" w:firstLineChars="200"/>
        <w:textAlignment w:val="auto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1.★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收到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成交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通知书接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通知后即进场调研，合同签订后接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通知起10日内进场实施，1个月内完成实施及通过试运行。如因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原因造成无法按照合同约定工期完成实施，则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将按照合同约定条款对</w:t>
      </w:r>
      <w:r>
        <w:rPr>
          <w:rFonts w:hint="eastAsia" w:ascii="宋体" w:hAnsi="宋体" w:cs="宋体"/>
          <w:b/>
          <w:bCs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进行处罚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24"/>
          <w:szCs w:val="24"/>
          <w:highlight w:val="none"/>
          <w:lang w:val="en-US" w:eastAsia="zh-CN"/>
        </w:rPr>
        <w:t>（提供承诺函）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。</w:t>
      </w:r>
    </w:p>
    <w:p w14:paraId="43DDD7BB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2.试运行期间，须保证无重大差错发生。试运行通过后经过</w:t>
      </w:r>
      <w:r>
        <w:rPr>
          <w:rFonts w:hint="eastAsia" w:ascii="宋体" w:hAnsi="宋体" w:eastAsia="宋体" w:cs="宋体"/>
          <w:strike w:val="0"/>
          <w:dstrike w:val="0"/>
          <w:kern w:val="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个月正常平稳运行后，可进行评估与验收。验收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合格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通过后一次性支付所有款项。</w:t>
      </w:r>
    </w:p>
    <w:p w14:paraId="15DADEE8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3.调研期间，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应根据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的需求，制定整体上线实施方案，提供详细实施方案与进度计划。</w:t>
      </w:r>
    </w:p>
    <w:p w14:paraId="4849E44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4.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需提供拥有丰富经验的实施团队完成本次项目实施，针对本项目成立项目小组，在响应文件中提供书面名单，人员一旦得到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确认，无特殊理由不得变动，且项目经理未得到医院同意的情况下不得更换。</w:t>
      </w:r>
    </w:p>
    <w:p w14:paraId="516C5B8D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5.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有权根据实施情况要求更换项目经理和实施人员。</w:t>
      </w:r>
    </w:p>
    <w:p w14:paraId="19F725B4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6.按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需求进行本地化开发。</w:t>
      </w:r>
    </w:p>
    <w:p w14:paraId="61C7FFCF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7.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需按照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采购人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的项目管理流程进行实施，验收前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需提供项目过程中所需审计材料并装订成册。</w:t>
      </w:r>
    </w:p>
    <w:p w14:paraId="0BAAF8E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8.如遇突发紧急事件，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应无条件配合加班。</w:t>
      </w:r>
    </w:p>
    <w:p w14:paraId="36E7020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</w:p>
    <w:p w14:paraId="166C44C2"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1500"/>
          <w:tab w:val="left" w:pos="28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firstLine="482" w:firstLineChars="200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highlight w:val="none"/>
          <w:lang w:val="en-US" w:eastAsia="zh-CN"/>
        </w:rPr>
        <w:t>四、售后服务要求</w:t>
      </w:r>
    </w:p>
    <w:p w14:paraId="27489006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t>1.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承诺提供7*24小时技术支持，包括各种软硬件故障及对各种突发事件采取应急措施等。</w:t>
      </w:r>
    </w:p>
    <w:p w14:paraId="5C9DD75A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t>2.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提供运维对接1人，负责处理使用过程中的各项需求及问题。重大故障，响应时间≤30分钟，工程师到场≤2小时；普通故障，响应时间≤1小时，工程师到达时间≤4小时。</w:t>
      </w:r>
    </w:p>
    <w:p w14:paraId="3B7E6EBA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t>3.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现场服务：根据要求到达现场提供问题解决和支持服务。服务完成后，双方签署现场服务记录。</w:t>
      </w:r>
    </w:p>
    <w:p w14:paraId="6C98C555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t>4.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如遇突发紧急事件，</w:t>
      </w:r>
      <w:r>
        <w:rPr>
          <w:rFonts w:hint="eastAsia" w:ascii="宋体" w:hAnsi="宋体" w:cs="宋体"/>
          <w:kern w:val="0"/>
          <w:sz w:val="24"/>
          <w:szCs w:val="24"/>
          <w:highlight w:val="none"/>
          <w:lang w:val="en-US" w:eastAsia="zh-CN"/>
        </w:rPr>
        <w:t>成交人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应无条件配合加班。</w:t>
      </w:r>
    </w:p>
    <w:p w14:paraId="7F63F915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t>5.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办公时间内的免费热线支持与E-mail支持。</w:t>
      </w:r>
    </w:p>
    <w:p w14:paraId="52875AD9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</w:pPr>
      <w:r>
        <w:rPr>
          <w:rFonts w:hint="default" w:ascii="宋体" w:hAnsi="宋体" w:eastAsia="宋体" w:cs="宋体"/>
          <w:kern w:val="0"/>
          <w:sz w:val="24"/>
          <w:szCs w:val="24"/>
          <w:lang w:val="en-US" w:eastAsia="zh-CN" w:bidi="ar-SA"/>
        </w:rPr>
        <w:t>6.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远程技术支持：通过网络远程通讯和远程控制的技术手段进行远程现场服务。</w:t>
      </w:r>
    </w:p>
    <w:p w14:paraId="2E03E9F2">
      <w:pPr>
        <w:pStyle w:val="9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480" w:firstLineChars="200"/>
        <w:textAlignment w:val="auto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kern w:val="2"/>
          <w:sz w:val="24"/>
          <w:szCs w:val="24"/>
          <w:lang w:val="en-US" w:eastAsia="zh-CN" w:bidi="ar-SA"/>
        </w:rPr>
        <w:t>7.</w:t>
      </w:r>
      <w:r>
        <w:rPr>
          <w:rFonts w:hint="eastAsia" w:ascii="宋体" w:hAnsi="宋体" w:eastAsia="宋体" w:cs="宋体"/>
          <w:kern w:val="0"/>
          <w:sz w:val="24"/>
          <w:szCs w:val="24"/>
          <w:highlight w:val="none"/>
          <w:lang w:val="en-US" w:eastAsia="zh-CN"/>
        </w:rPr>
        <w:t>自系统验收之日起1年内，免费提供以上条款中系统维护的服务。</w:t>
      </w:r>
    </w:p>
    <w:p w14:paraId="4A038667">
      <w:pPr>
        <w:keepNext w:val="0"/>
        <w:keepLines w:val="0"/>
        <w:widowControl w:val="0"/>
        <w:suppressLineNumbers w:val="0"/>
        <w:spacing w:before="0" w:beforeAutospacing="0" w:after="0" w:afterAutospacing="0" w:line="360" w:lineRule="auto"/>
        <w:ind w:left="0" w:right="0"/>
        <w:jc w:val="left"/>
        <w:rPr>
          <w:rFonts w:hint="eastAsia" w:ascii="宋体" w:hAnsi="宋体" w:eastAsia="宋体" w:cs="宋体"/>
          <w:b w:val="0"/>
          <w:bCs/>
          <w:kern w:val="2"/>
          <w:sz w:val="24"/>
          <w:szCs w:val="24"/>
        </w:rPr>
      </w:pPr>
    </w:p>
    <w:p w14:paraId="5859AFE7"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jc w:val="both"/>
        <w:textAlignment w:val="auto"/>
        <w:outlineLvl w:val="1"/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备注：本章中所有</w:t>
      </w:r>
      <w:r>
        <w:rPr>
          <w:rFonts w:hint="eastAsia" w:ascii="宋体" w:hAnsi="宋体" w:cs="宋体"/>
          <w:b/>
          <w:bCs w:val="0"/>
          <w:kern w:val="2"/>
          <w:sz w:val="24"/>
          <w:szCs w:val="24"/>
          <w:lang w:val="en-US" w:eastAsia="zh-CN" w:bidi="ar"/>
        </w:rPr>
        <w:t>要求</w:t>
      </w:r>
      <w:r>
        <w:rPr>
          <w:rFonts w:hint="eastAsia" w:ascii="宋体" w:hAnsi="宋体" w:eastAsia="宋体" w:cs="宋体"/>
          <w:b/>
          <w:bCs w:val="0"/>
          <w:kern w:val="2"/>
          <w:sz w:val="24"/>
          <w:szCs w:val="24"/>
          <w:lang w:val="en-US" w:eastAsia="zh-CN" w:bidi="ar"/>
        </w:rPr>
        <w:t>必须全部响应满足，不得负偏离，否则做无效参选处理。</w:t>
      </w:r>
    </w:p>
    <w:p w14:paraId="1F72F65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088072C"/>
    <w:multiLevelType w:val="multilevel"/>
    <w:tmpl w:val="608807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C767DD"/>
    <w:rsid w:val="24C7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99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  <w:bCs/>
    </w:rPr>
  </w:style>
  <w:style w:type="character" w:styleId="7">
    <w:name w:val="HTML Code"/>
    <w:basedOn w:val="5"/>
    <w:qFormat/>
    <w:uiPriority w:val="99"/>
    <w:rPr>
      <w:rFonts w:ascii="Courier New" w:hAnsi="Courier New"/>
      <w:sz w:val="20"/>
      <w:szCs w:val="20"/>
    </w:rPr>
  </w:style>
  <w:style w:type="paragraph" w:customStyle="1" w:styleId="8">
    <w:name w:val="xl31"/>
    <w:basedOn w:val="1"/>
    <w:qFormat/>
    <w:uiPriority w:val="0"/>
    <w:pPr>
      <w:widowControl/>
      <w:spacing w:before="100" w:beforeAutospacing="1" w:after="100" w:afterAutospacing="1"/>
      <w:jc w:val="center"/>
    </w:pPr>
    <w:rPr>
      <w:rFonts w:ascii="宋体" w:hAnsi="宋体"/>
      <w:b/>
      <w:bCs/>
      <w:kern w:val="0"/>
      <w:sz w:val="28"/>
      <w:szCs w:val="28"/>
    </w:rPr>
  </w:style>
  <w:style w:type="paragraph" w:styleId="9">
    <w:name w:val="List Paragraph"/>
    <w:basedOn w:val="1"/>
    <w:qFormat/>
    <w:uiPriority w:val="34"/>
    <w:pPr>
      <w:spacing w:line="240" w:lineRule="auto"/>
      <w:ind w:firstLine="420" w:firstLineChars="200"/>
      <w:jc w:val="both"/>
    </w:pPr>
    <w:rPr>
      <w:sz w:val="21"/>
    </w:rPr>
  </w:style>
  <w:style w:type="paragraph" w:customStyle="1" w:styleId="10">
    <w:name w:val="ds-markdown-paragraph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2026-09-23T09:13:00Z</dcterms:created>
  <dc:creator>省招-wxy</dc:creator>
  <cp:lastModifiedBy>省招-wxy</cp:lastModifiedBy>
  <dcterms:modified xsi:type="dcterms:W3CDTF">2026-09-23T09:14:16Z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E9EBF70E0F464DAEB773DA1EC0089737_11</vt:lpwstr>
  </property>
  <property fmtid="{D5CDD505-2E9C-101B-9397-08002B2CF9AE}" pid="4" name="KSOTemplateDocerSaveRecord">
    <vt:lpwstr>eyJoZGlkIjoiZWUyOTQ1NDM2Zjc0YjU0MjZhMWI3YTAyMzgxNTM2MDQiLCJ1c2VySWQiOiI0NjEyMTI0ODEifQ==</vt:lpwstr>
  </property>
</Properties>
</file>