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FF52B">
      <w:pPr>
        <w:pStyle w:val="2"/>
        <w:spacing w:line="360" w:lineRule="auto"/>
        <w:ind w:left="0" w:right="0" w:firstLine="0"/>
        <w:jc w:val="center"/>
        <w:rPr>
          <w:highlight w:val="none"/>
        </w:rPr>
      </w:pPr>
      <w:bookmarkStart w:id="0" w:name="_Toc10683"/>
      <w:bookmarkStart w:id="1" w:name="_Toc231564825"/>
      <w:r>
        <w:rPr>
          <w:rFonts w:hint="eastAsia" w:ascii="宋体" w:hAnsi="宋体"/>
          <w:szCs w:val="36"/>
          <w:highlight w:val="none"/>
          <w:lang w:val="en-US" w:eastAsia="zh-CN"/>
        </w:rPr>
        <w:t>附件</w:t>
      </w:r>
      <w:r>
        <w:rPr>
          <w:rFonts w:hint="eastAsia" w:ascii="宋体" w:hAnsi="宋体"/>
          <w:szCs w:val="36"/>
          <w:highlight w:val="none"/>
        </w:rPr>
        <w:t xml:space="preserve"> </w:t>
      </w:r>
      <w:bookmarkEnd w:id="0"/>
      <w:bookmarkEnd w:id="1"/>
      <w:bookmarkStart w:id="2" w:name="_Hlk16461016"/>
      <w:r>
        <w:rPr>
          <w:rFonts w:hint="eastAsia" w:ascii="宋体" w:hAnsi="宋体" w:cs="宋体"/>
          <w:szCs w:val="36"/>
          <w:highlight w:val="none"/>
        </w:rPr>
        <w:t xml:space="preserve">  采购需求</w:t>
      </w:r>
      <w:bookmarkStart w:id="4" w:name="_GoBack"/>
      <w:bookmarkEnd w:id="4"/>
    </w:p>
    <w:p w14:paraId="6C6FF161">
      <w:pPr>
        <w:rPr>
          <w:highlight w:val="none"/>
        </w:rPr>
      </w:pPr>
      <w:r>
        <w:rPr>
          <w:rFonts w:hint="eastAsia" w:ascii="宋体" w:hAnsi="宋体" w:cs="宋体"/>
          <w:b/>
          <w:color w:val="FF0000"/>
          <w:highlight w:val="none"/>
        </w:rPr>
        <w:t>一、要求：以下条款如投标人参与投标，视为投标人自动响应。</w:t>
      </w:r>
    </w:p>
    <w:p w14:paraId="4A9D07AA">
      <w:pPr>
        <w:ind w:left="0" w:right="0" w:firstLine="482"/>
        <w:rPr>
          <w:highlight w:val="none"/>
        </w:rPr>
      </w:pPr>
      <w:r>
        <w:rPr>
          <w:rFonts w:hint="eastAsia" w:ascii="宋体" w:hAnsi="宋体" w:cs="宋体"/>
          <w:b/>
          <w:color w:val="000000"/>
          <w:highlight w:val="none"/>
        </w:rPr>
        <w:t>1、按照投标方案提供配置清单，标明品牌、型号、产地、数量等并分项报价。</w:t>
      </w:r>
    </w:p>
    <w:p w14:paraId="3098DDFB">
      <w:pPr>
        <w:ind w:left="0" w:right="0" w:firstLine="482"/>
        <w:rPr>
          <w:highlight w:val="none"/>
        </w:rPr>
      </w:pPr>
      <w:r>
        <w:rPr>
          <w:rFonts w:hint="eastAsia" w:ascii="宋体" w:hAnsi="宋体" w:cs="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2D1B5958">
      <w:pPr>
        <w:ind w:left="0" w:right="0" w:firstLine="482"/>
        <w:rPr>
          <w:highlight w:val="none"/>
        </w:rPr>
      </w:pPr>
      <w:r>
        <w:rPr>
          <w:rFonts w:hint="eastAsia" w:ascii="宋体" w:hAnsi="宋体" w:cs="宋体"/>
          <w:b/>
          <w:color w:val="000000"/>
          <w:highlight w:val="none"/>
        </w:rPr>
        <w:t>3、说明是否需要其他设备配套使用，请列出配套设备名称、数量等，如未说明一律视为已包含在投标总价内。</w:t>
      </w:r>
    </w:p>
    <w:p w14:paraId="3D4CAF6D">
      <w:pPr>
        <w:ind w:left="0" w:right="0" w:firstLine="482"/>
        <w:rPr>
          <w:highlight w:val="none"/>
        </w:rPr>
      </w:pPr>
      <w:r>
        <w:rPr>
          <w:rFonts w:hint="eastAsia" w:ascii="宋体" w:hAnsi="宋体" w:cs="宋体"/>
          <w:b/>
          <w:color w:val="000000"/>
          <w:highlight w:val="none"/>
        </w:rPr>
        <w:t>4、本项目中所要求的所有设备、耗材、配件及相关服务等均应包含在投标总价内，不得以赠送形式向采购人提供产品及服务。</w:t>
      </w:r>
    </w:p>
    <w:p w14:paraId="5C98E6D3">
      <w:pPr>
        <w:ind w:left="0" w:right="0" w:firstLine="482"/>
        <w:rPr>
          <w:highlight w:val="none"/>
        </w:rPr>
      </w:pPr>
      <w:r>
        <w:rPr>
          <w:rFonts w:hint="eastAsia" w:ascii="宋体" w:hAnsi="宋体" w:cs="宋体"/>
          <w:b/>
          <w:color w:val="000000"/>
          <w:highlight w:val="none"/>
        </w:rPr>
        <w:t>5、投标公司及产品须资质、证照齐全且在有效期内，如确无注册证的产品，须提供官方说明材料。</w:t>
      </w:r>
    </w:p>
    <w:p w14:paraId="00DE5517">
      <w:pPr>
        <w:ind w:left="0" w:right="0" w:firstLine="482"/>
        <w:rPr>
          <w:highlight w:val="none"/>
        </w:rPr>
      </w:pPr>
      <w:r>
        <w:rPr>
          <w:rFonts w:hint="eastAsia" w:ascii="宋体" w:hAnsi="宋体" w:cs="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7C441875">
      <w:pPr>
        <w:ind w:left="0" w:right="0" w:firstLine="482"/>
        <w:rPr>
          <w:highlight w:val="none"/>
        </w:rPr>
      </w:pPr>
      <w:r>
        <w:rPr>
          <w:rFonts w:hint="eastAsia" w:ascii="宋体" w:hAnsi="宋体" w:cs="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cs="宋体"/>
          <w:b/>
          <w:color w:val="000000"/>
          <w:highlight w:val="none"/>
          <w:lang w:eastAsia="zh-CN"/>
        </w:rPr>
        <w:t>。</w:t>
      </w:r>
    </w:p>
    <w:p w14:paraId="3A4BD7A7">
      <w:pPr>
        <w:ind w:left="0" w:right="0" w:firstLine="482"/>
        <w:rPr>
          <w:highlight w:val="none"/>
        </w:rPr>
      </w:pPr>
      <w:r>
        <w:rPr>
          <w:rFonts w:hint="eastAsia" w:ascii="宋体" w:hAnsi="宋体" w:cs="宋体"/>
          <w:b/>
          <w:color w:val="000000"/>
          <w:highlight w:val="none"/>
        </w:rPr>
        <w:t>8、根据医保政策，可单独收费医用耗材请提供安徽医保局下发的27位医保编码，并按编码进行报价。</w:t>
      </w:r>
    </w:p>
    <w:p w14:paraId="500B882A">
      <w:pPr>
        <w:ind w:left="0" w:right="0" w:firstLine="482"/>
        <w:rPr>
          <w:highlight w:val="none"/>
        </w:rPr>
      </w:pPr>
      <w:r>
        <w:rPr>
          <w:rFonts w:ascii="宋体" w:hAnsi="宋体" w:cs="宋体"/>
          <w:b/>
          <w:color w:val="000000"/>
          <w:highlight w:val="none"/>
        </w:rPr>
        <w:t>9</w:t>
      </w:r>
      <w:r>
        <w:rPr>
          <w:rFonts w:hint="eastAsia" w:ascii="宋体" w:hAnsi="宋体" w:cs="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3" w:name="_Hlk100612830"/>
      <w:r>
        <w:rPr>
          <w:rFonts w:hint="eastAsia"/>
          <w:b/>
          <w:color w:val="000000"/>
          <w:highlight w:val="none"/>
        </w:rPr>
        <w:t>如不提供的评标委员会</w:t>
      </w:r>
      <w:bookmarkEnd w:id="3"/>
      <w:r>
        <w:rPr>
          <w:rFonts w:hint="eastAsia"/>
          <w:b/>
          <w:color w:val="000000"/>
          <w:highlight w:val="none"/>
        </w:rPr>
        <w:t>有权否决其投标</w:t>
      </w:r>
      <w:r>
        <w:rPr>
          <w:rFonts w:hint="eastAsia" w:ascii="宋体" w:hAnsi="宋体" w:cs="宋体"/>
          <w:b/>
          <w:color w:val="000000"/>
          <w:highlight w:val="none"/>
        </w:rPr>
        <w:t>。</w:t>
      </w:r>
    </w:p>
    <w:p w14:paraId="2842EE92">
      <w:pPr>
        <w:ind w:left="0" w:right="0" w:firstLine="482"/>
        <w:rPr>
          <w:highlight w:val="none"/>
        </w:rPr>
      </w:pPr>
      <w:r>
        <w:rPr>
          <w:rFonts w:hint="eastAsia" w:ascii="宋体" w:hAnsi="宋体" w:cs="宋体"/>
          <w:b/>
          <w:color w:val="000000"/>
          <w:highlight w:val="none"/>
        </w:rPr>
        <w:t>10、医用耗材及配套使用的工具按医院规定需要消毒的，其相关费用由投标人自行承担。</w:t>
      </w:r>
    </w:p>
    <w:p w14:paraId="6F46B8FB">
      <w:pPr>
        <w:ind w:left="0" w:right="0" w:firstLine="482"/>
        <w:rPr>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cs="宋体"/>
          <w:b/>
          <w:color w:val="000000"/>
          <w:highlight w:val="none"/>
        </w:rPr>
        <w:t>牌或第三方符合溯源要求的质控品。</w:t>
      </w:r>
    </w:p>
    <w:p w14:paraId="37D1CE67">
      <w:pPr>
        <w:ind w:left="0" w:right="0" w:firstLine="482"/>
        <w:rPr>
          <w:highlight w:val="none"/>
        </w:rPr>
      </w:pPr>
      <w:r>
        <w:rPr>
          <w:rFonts w:hint="eastAsia" w:ascii="宋体" w:hAnsi="宋体" w:cs="宋体"/>
          <w:b/>
          <w:color w:val="000000"/>
          <w:highlight w:val="none"/>
        </w:rPr>
        <w:t>12、投标人需无条件接受因国家及安徽省相关政策（如医用耗材带量采购等）对招标结果带来的变动，投标人不得提出异议。</w:t>
      </w:r>
      <w:r>
        <w:rPr>
          <w:rFonts w:hint="eastAsia" w:ascii="宋体" w:hAnsi="宋体" w:cs="宋体"/>
          <w:b/>
          <w:color w:val="000000"/>
          <w:highlight w:val="none"/>
        </w:rPr>
        <w:br w:type="textWrapping"/>
      </w:r>
      <w:r>
        <w:rPr>
          <w:rFonts w:hint="eastAsia" w:ascii="宋体" w:hAnsi="宋体" w:cs="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3F728062">
      <w:pPr>
        <w:ind w:left="0" w:right="0" w:firstLine="482"/>
        <w:rPr>
          <w:highlight w:val="none"/>
        </w:rPr>
      </w:pPr>
      <w:r>
        <w:rPr>
          <w:rFonts w:hint="eastAsia" w:ascii="宋体" w:hAnsi="宋体" w:cs="宋体"/>
          <w:b/>
          <w:color w:val="000000"/>
          <w:highlight w:val="none"/>
        </w:rPr>
        <w:t>14、 按收费价格费率投标的检验项目，如后期收费价格下调，试剂供货价格须按中标费率同比例下浮。</w:t>
      </w:r>
    </w:p>
    <w:p w14:paraId="60C251E1">
      <w:pPr>
        <w:numPr>
          <w:ilvl w:val="0"/>
          <w:numId w:val="0"/>
        </w:numPr>
        <w:ind w:left="0" w:right="0" w:firstLine="437"/>
        <w:jc w:val="both"/>
        <w:outlineLvl w:val="1"/>
        <w:rPr>
          <w:highlight w:val="none"/>
        </w:rPr>
      </w:pPr>
      <w:r>
        <w:rPr>
          <w:rFonts w:hint="eastAsia" w:ascii="宋体" w:hAnsi="宋体" w:cs="@仿宋_GB2312"/>
          <w:b/>
          <w:color w:val="000000"/>
          <w:szCs w:val="18"/>
          <w:highlight w:val="none"/>
          <w:lang w:val="en-US" w:eastAsia="zh-CN"/>
        </w:rPr>
        <w:t>二</w:t>
      </w:r>
      <w:r>
        <w:rPr>
          <w:rFonts w:hint="eastAsia" w:ascii="宋体" w:hAnsi="宋体" w:cs="@仿宋_GB2312"/>
          <w:b/>
          <w:color w:val="000000"/>
          <w:szCs w:val="18"/>
          <w:highlight w:val="none"/>
        </w:rPr>
        <w:t>、采购需求前附表（以下内容必须响应，不允许偏离）</w:t>
      </w:r>
    </w:p>
    <w:tbl>
      <w:tblPr>
        <w:tblStyle w:val="5"/>
        <w:tblW w:w="0" w:type="auto"/>
        <w:jc w:val="center"/>
        <w:tblLayout w:type="fixed"/>
        <w:tblCellMar>
          <w:top w:w="0" w:type="dxa"/>
          <w:left w:w="108" w:type="dxa"/>
          <w:bottom w:w="0" w:type="dxa"/>
          <w:right w:w="108" w:type="dxa"/>
        </w:tblCellMar>
      </w:tblPr>
      <w:tblGrid>
        <w:gridCol w:w="1087"/>
        <w:gridCol w:w="2191"/>
        <w:gridCol w:w="5476"/>
      </w:tblGrid>
      <w:tr w14:paraId="18848149">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61F823A">
            <w:pPr>
              <w:spacing w:line="240" w:lineRule="auto"/>
              <w:jc w:val="center"/>
              <w:rPr>
                <w:highlight w:val="none"/>
              </w:rPr>
            </w:pPr>
            <w:r>
              <w:rPr>
                <w:rFonts w:hint="eastAsia" w:ascii="宋体" w:hAnsi="宋体" w:cs="@仿宋_GB2312"/>
                <w:b/>
                <w:color w:val="000000"/>
                <w:szCs w:val="20"/>
                <w:highlight w:val="none"/>
              </w:rPr>
              <w:t>序号</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6FBB1713">
            <w:pPr>
              <w:jc w:val="center"/>
              <w:rPr>
                <w:highlight w:val="none"/>
              </w:rPr>
            </w:pPr>
            <w:r>
              <w:rPr>
                <w:rFonts w:hint="eastAsia" w:ascii="宋体" w:hAnsi="宋体" w:cs="@仿宋_GB2312"/>
                <w:b/>
                <w:color w:val="000000"/>
                <w:kern w:val="0"/>
                <w:szCs w:val="28"/>
                <w:highlight w:val="none"/>
              </w:rPr>
              <w:t>条款名称</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0BE8A43C">
            <w:pPr>
              <w:jc w:val="center"/>
              <w:rPr>
                <w:highlight w:val="none"/>
              </w:rPr>
            </w:pPr>
            <w:r>
              <w:rPr>
                <w:rFonts w:hint="eastAsia" w:ascii="宋体" w:hAnsi="宋体" w:cs="@仿宋_GB2312"/>
                <w:b/>
                <w:color w:val="000000"/>
                <w:kern w:val="0"/>
                <w:szCs w:val="28"/>
                <w:highlight w:val="none"/>
              </w:rPr>
              <w:t>内容、说明与要求</w:t>
            </w:r>
          </w:p>
        </w:tc>
      </w:tr>
      <w:tr w14:paraId="21222135">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66976D86">
            <w:pPr>
              <w:spacing w:line="240" w:lineRule="auto"/>
              <w:jc w:val="center"/>
              <w:rPr>
                <w:highlight w:val="none"/>
              </w:rPr>
            </w:pPr>
            <w:r>
              <w:rPr>
                <w:rFonts w:hint="eastAsia" w:ascii="宋体" w:hAnsi="宋体" w:cs="@仿宋_GB2312"/>
                <w:bCs/>
                <w:color w:val="000000"/>
                <w:szCs w:val="20"/>
                <w:highlight w:val="none"/>
              </w:rPr>
              <w:t>1</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53DDF596">
            <w:pPr>
              <w:jc w:val="center"/>
              <w:rPr>
                <w:highlight w:val="none"/>
              </w:rPr>
            </w:pPr>
            <w:r>
              <w:rPr>
                <w:rFonts w:hint="eastAsia" w:ascii="宋体" w:hAnsi="宋体" w:cs="@仿宋_GB2312"/>
                <w:bCs/>
                <w:color w:val="000000"/>
                <w:kern w:val="0"/>
                <w:szCs w:val="28"/>
                <w:highlight w:val="none"/>
              </w:rPr>
              <w:t>付款方式</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3DDD6AA6">
            <w:pPr>
              <w:jc w:val="both"/>
              <w:rPr>
                <w:highlight w:val="none"/>
              </w:rPr>
            </w:pPr>
            <w:r>
              <w:rPr>
                <w:rFonts w:hint="eastAsia" w:ascii="宋体" w:hAnsi="宋体" w:eastAsia="宋体" w:cs="@仿宋_GB2312"/>
                <w:bCs/>
                <w:color w:val="000000"/>
                <w:kern w:val="0"/>
                <w:szCs w:val="28"/>
                <w:highlight w:val="none"/>
                <w:lang w:val="en-US" w:eastAsia="zh-CN"/>
              </w:rPr>
              <w:t>按医用物资采购批次入库为计算时间起点九个月后一次性付清</w:t>
            </w:r>
          </w:p>
        </w:tc>
      </w:tr>
      <w:tr w14:paraId="400F06E6">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50E1F55D">
            <w:pPr>
              <w:spacing w:line="240" w:lineRule="auto"/>
              <w:jc w:val="center"/>
              <w:rPr>
                <w:highlight w:val="none"/>
              </w:rPr>
            </w:pPr>
            <w:r>
              <w:rPr>
                <w:rFonts w:hint="eastAsia" w:ascii="宋体" w:hAnsi="宋体" w:cs="@仿宋_GB2312"/>
                <w:bCs/>
                <w:color w:val="000000"/>
                <w:szCs w:val="20"/>
                <w:highlight w:val="none"/>
              </w:rPr>
              <w:t>2</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1C918A14">
            <w:pPr>
              <w:jc w:val="center"/>
              <w:rPr>
                <w:highlight w:val="none"/>
              </w:rPr>
            </w:pPr>
            <w:r>
              <w:rPr>
                <w:rFonts w:hint="eastAsia" w:ascii="宋体" w:hAnsi="宋体" w:cs="@仿宋_GB2312"/>
                <w:bCs/>
                <w:color w:val="000000"/>
                <w:kern w:val="0"/>
                <w:szCs w:val="28"/>
                <w:highlight w:val="none"/>
              </w:rPr>
              <w:t>供货及安装地点</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2AD22AC4">
            <w:pPr>
              <w:jc w:val="both"/>
              <w:rPr>
                <w:highlight w:val="none"/>
              </w:rPr>
            </w:pPr>
            <w:r>
              <w:rPr>
                <w:rFonts w:hint="eastAsia" w:ascii="宋体" w:hAnsi="宋体" w:cs="@仿宋_GB2312"/>
                <w:bCs/>
                <w:color w:val="000000"/>
                <w:kern w:val="0"/>
                <w:szCs w:val="28"/>
                <w:highlight w:val="none"/>
                <w:lang w:val="en-US" w:eastAsia="zh-CN"/>
              </w:rPr>
              <w:t>采购人指定地点</w:t>
            </w:r>
          </w:p>
        </w:tc>
      </w:tr>
      <w:tr w14:paraId="47FD9D08">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1F3238C0">
            <w:pPr>
              <w:spacing w:line="240" w:lineRule="auto"/>
              <w:jc w:val="center"/>
              <w:rPr>
                <w:highlight w:val="none"/>
              </w:rPr>
            </w:pPr>
            <w:r>
              <w:rPr>
                <w:rFonts w:hint="eastAsia" w:ascii="宋体" w:hAnsi="宋体" w:cs="@仿宋_GB2312"/>
                <w:bCs/>
                <w:color w:val="000000"/>
                <w:szCs w:val="20"/>
                <w:highlight w:val="none"/>
              </w:rPr>
              <w:t>3</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64DB8232">
            <w:pPr>
              <w:jc w:val="center"/>
              <w:rPr>
                <w:highlight w:val="none"/>
              </w:rPr>
            </w:pPr>
            <w:r>
              <w:rPr>
                <w:rFonts w:hint="eastAsia" w:ascii="宋体" w:hAnsi="宋体" w:cs="@仿宋_GB2312"/>
                <w:bCs/>
                <w:color w:val="000000"/>
                <w:kern w:val="0"/>
                <w:szCs w:val="28"/>
                <w:highlight w:val="none"/>
              </w:rPr>
              <w:t>供货安装期/供货期</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749BB5D7">
            <w:pPr>
              <w:jc w:val="both"/>
              <w:rPr>
                <w:highlight w:val="none"/>
              </w:rPr>
            </w:pPr>
            <w:r>
              <w:rPr>
                <w:rFonts w:hint="eastAsia" w:ascii="宋体" w:hAnsi="宋体" w:cs="宋体"/>
                <w:b w:val="0"/>
                <w:bCs w:val="0"/>
                <w:color w:val="000000"/>
                <w:szCs w:val="24"/>
                <w:highlight w:val="none"/>
              </w:rPr>
              <w:t>详见采购公告</w:t>
            </w:r>
          </w:p>
        </w:tc>
      </w:tr>
      <w:tr w14:paraId="38DB7395">
        <w:tblPrEx>
          <w:tblCellMar>
            <w:top w:w="0" w:type="dxa"/>
            <w:left w:w="108" w:type="dxa"/>
            <w:bottom w:w="0" w:type="dxa"/>
            <w:right w:w="108" w:type="dxa"/>
          </w:tblCellMar>
        </w:tblPrEx>
        <w:trPr>
          <w:trHeight w:val="502" w:hRule="atLeast"/>
          <w:jc w:val="center"/>
        </w:trPr>
        <w:tc>
          <w:tcPr>
            <w:tcW w:w="1087" w:type="dxa"/>
            <w:tcBorders>
              <w:top w:val="single" w:color="000000" w:sz="4" w:space="0"/>
              <w:left w:val="single" w:color="000000" w:sz="4" w:space="0"/>
              <w:bottom w:val="single" w:color="000000" w:sz="4" w:space="0"/>
              <w:right w:val="single" w:color="000000" w:sz="4" w:space="0"/>
            </w:tcBorders>
            <w:noWrap w:val="0"/>
            <w:vAlign w:val="center"/>
          </w:tcPr>
          <w:p w14:paraId="4DC4A4B4">
            <w:pPr>
              <w:spacing w:line="240" w:lineRule="auto"/>
              <w:jc w:val="center"/>
              <w:rPr>
                <w:highlight w:val="none"/>
              </w:rPr>
            </w:pPr>
            <w:r>
              <w:rPr>
                <w:rFonts w:hint="eastAsia" w:ascii="宋体" w:hAnsi="宋体" w:cs="@仿宋_GB2312"/>
                <w:bCs/>
                <w:color w:val="000000"/>
                <w:szCs w:val="20"/>
                <w:highlight w:val="none"/>
              </w:rPr>
              <w:t>4</w:t>
            </w:r>
          </w:p>
        </w:tc>
        <w:tc>
          <w:tcPr>
            <w:tcW w:w="2191" w:type="dxa"/>
            <w:tcBorders>
              <w:top w:val="single" w:color="000000" w:sz="4" w:space="0"/>
              <w:left w:val="single" w:color="000000" w:sz="4" w:space="0"/>
              <w:bottom w:val="single" w:color="000000" w:sz="4" w:space="0"/>
              <w:right w:val="single" w:color="000000" w:sz="4" w:space="0"/>
            </w:tcBorders>
            <w:noWrap w:val="0"/>
            <w:vAlign w:val="center"/>
          </w:tcPr>
          <w:p w14:paraId="14BC52DE">
            <w:pPr>
              <w:jc w:val="center"/>
              <w:rPr>
                <w:highlight w:val="none"/>
              </w:rPr>
            </w:pPr>
            <w:r>
              <w:rPr>
                <w:rFonts w:hint="eastAsia" w:ascii="宋体" w:hAnsi="宋体" w:cs="@仿宋_GB2312"/>
                <w:bCs/>
                <w:color w:val="000000"/>
                <w:kern w:val="0"/>
                <w:szCs w:val="28"/>
                <w:highlight w:val="none"/>
              </w:rPr>
              <w:t>质保期（如有）</w:t>
            </w:r>
          </w:p>
        </w:tc>
        <w:tc>
          <w:tcPr>
            <w:tcW w:w="5476" w:type="dxa"/>
            <w:tcBorders>
              <w:top w:val="single" w:color="000000" w:sz="4" w:space="0"/>
              <w:left w:val="single" w:color="000000" w:sz="4" w:space="0"/>
              <w:bottom w:val="single" w:color="000000" w:sz="4" w:space="0"/>
              <w:right w:val="single" w:color="000000" w:sz="4" w:space="0"/>
            </w:tcBorders>
            <w:noWrap w:val="0"/>
            <w:vAlign w:val="center"/>
          </w:tcPr>
          <w:p w14:paraId="5FB9A1A4">
            <w:pPr>
              <w:jc w:val="both"/>
              <w:rPr>
                <w:highlight w:val="none"/>
              </w:rPr>
            </w:pPr>
            <w:r>
              <w:rPr>
                <w:rFonts w:hint="eastAsia" w:ascii="宋体" w:hAnsi="宋体" w:cs="宋体"/>
                <w:b w:val="0"/>
                <w:bCs w:val="0"/>
                <w:color w:val="000000"/>
                <w:szCs w:val="24"/>
                <w:highlight w:val="none"/>
                <w:lang w:val="en-US" w:eastAsia="zh-CN"/>
              </w:rPr>
              <w:t>全生命周期</w:t>
            </w:r>
          </w:p>
        </w:tc>
      </w:tr>
    </w:tbl>
    <w:p w14:paraId="30F8666D">
      <w:pPr>
        <w:ind w:left="0" w:right="0" w:firstLine="437"/>
        <w:jc w:val="both"/>
        <w:rPr>
          <w:rFonts w:hint="eastAsia" w:ascii="宋体" w:hAnsi="宋体" w:cs="@仿宋_GB2312"/>
          <w:b/>
          <w:bCs/>
          <w:color w:val="000000"/>
          <w:szCs w:val="18"/>
          <w:highlight w:val="none"/>
        </w:rPr>
      </w:pPr>
    </w:p>
    <w:p w14:paraId="52307FC9">
      <w:pPr>
        <w:numPr>
          <w:ilvl w:val="0"/>
          <w:numId w:val="0"/>
        </w:numPr>
        <w:ind w:left="0" w:right="0" w:firstLine="437"/>
        <w:jc w:val="both"/>
        <w:outlineLvl w:val="1"/>
        <w:rPr>
          <w:highlight w:val="none"/>
        </w:rPr>
      </w:pPr>
      <w:r>
        <w:rPr>
          <w:rFonts w:hint="eastAsia" w:ascii="宋体" w:hAnsi="宋体" w:cs="@仿宋_GB2312"/>
          <w:b/>
          <w:bCs/>
          <w:color w:val="000000"/>
          <w:szCs w:val="18"/>
          <w:highlight w:val="none"/>
          <w:lang w:val="en-US" w:eastAsia="zh-CN"/>
        </w:rPr>
        <w:t>三</w:t>
      </w:r>
      <w:r>
        <w:rPr>
          <w:rFonts w:hint="eastAsia" w:ascii="宋体" w:hAnsi="宋体" w:cs="@仿宋_GB2312"/>
          <w:b/>
          <w:bCs/>
          <w:color w:val="000000"/>
          <w:szCs w:val="18"/>
          <w:highlight w:val="none"/>
        </w:rPr>
        <w:t>、</w:t>
      </w:r>
      <w:r>
        <w:rPr>
          <w:rFonts w:hint="eastAsia" w:ascii="宋体" w:hAnsi="宋体" w:cs="@仿宋_GB2312"/>
          <w:b/>
          <w:color w:val="000000"/>
          <w:szCs w:val="18"/>
          <w:highlight w:val="none"/>
        </w:rPr>
        <w:t>货物</w:t>
      </w:r>
      <w:r>
        <w:rPr>
          <w:rFonts w:hint="eastAsia" w:ascii="宋体" w:hAnsi="宋体" w:cs="@仿宋_GB2312"/>
          <w:b/>
          <w:bCs/>
          <w:color w:val="000000"/>
          <w:szCs w:val="18"/>
          <w:highlight w:val="none"/>
        </w:rPr>
        <w:t>需求</w:t>
      </w:r>
    </w:p>
    <w:p w14:paraId="7641C8FB">
      <w:pPr>
        <w:widowControl/>
        <w:numPr>
          <w:ilvl w:val="0"/>
          <w:numId w:val="0"/>
        </w:numPr>
        <w:spacing w:line="240" w:lineRule="auto"/>
        <w:ind w:left="0" w:right="0" w:firstLine="482"/>
        <w:jc w:val="both"/>
        <w:outlineLvl w:val="2"/>
        <w:rPr>
          <w:highlight w:val="none"/>
        </w:rPr>
      </w:pPr>
      <w:r>
        <w:rPr>
          <w:rFonts w:hint="eastAsia" w:ascii="宋体" w:hAnsi="宋体" w:cs="宋体"/>
          <w:b/>
          <w:bCs/>
          <w:color w:val="000000"/>
          <w:highlight w:val="none"/>
        </w:rPr>
        <w:t>（一）标识符号</w:t>
      </w:r>
    </w:p>
    <w:tbl>
      <w:tblPr>
        <w:tblStyle w:val="5"/>
        <w:tblW w:w="0" w:type="auto"/>
        <w:jc w:val="center"/>
        <w:tblLayout w:type="fixed"/>
        <w:tblCellMar>
          <w:top w:w="0" w:type="dxa"/>
          <w:left w:w="108" w:type="dxa"/>
          <w:bottom w:w="0" w:type="dxa"/>
          <w:right w:w="108" w:type="dxa"/>
        </w:tblCellMar>
      </w:tblPr>
      <w:tblGrid>
        <w:gridCol w:w="1794"/>
        <w:gridCol w:w="1365"/>
        <w:gridCol w:w="5561"/>
      </w:tblGrid>
      <w:tr w14:paraId="4C3B7F52">
        <w:tblPrEx>
          <w:tblCellMar>
            <w:top w:w="0" w:type="dxa"/>
            <w:left w:w="108" w:type="dxa"/>
            <w:bottom w:w="0" w:type="dxa"/>
            <w:right w:w="108" w:type="dxa"/>
          </w:tblCellMar>
        </w:tblPrEx>
        <w:trPr>
          <w:jc w:val="center"/>
        </w:trPr>
        <w:tc>
          <w:tcPr>
            <w:tcW w:w="1794" w:type="dxa"/>
            <w:tcBorders>
              <w:top w:val="single" w:color="000000" w:sz="4" w:space="0"/>
              <w:left w:val="single" w:color="000000" w:sz="4" w:space="0"/>
              <w:bottom w:val="single" w:color="000000" w:sz="4" w:space="0"/>
              <w:right w:val="single" w:color="000000" w:sz="4" w:space="0"/>
            </w:tcBorders>
            <w:noWrap w:val="0"/>
            <w:vAlign w:val="center"/>
          </w:tcPr>
          <w:p w14:paraId="6E4544FD">
            <w:pPr>
              <w:spacing w:line="300" w:lineRule="auto"/>
              <w:jc w:val="center"/>
              <w:rPr>
                <w:highlight w:val="none"/>
              </w:rPr>
            </w:pPr>
            <w:r>
              <w:rPr>
                <w:rFonts w:hint="eastAsia" w:ascii="宋体" w:hAnsi="宋体" w:cs="宋体"/>
                <w:b/>
                <w:color w:val="000000"/>
                <w:highlight w:val="none"/>
              </w:rPr>
              <w:t>标识类型</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367CB44">
            <w:pPr>
              <w:spacing w:line="300" w:lineRule="auto"/>
              <w:jc w:val="center"/>
              <w:rPr>
                <w:highlight w:val="none"/>
              </w:rPr>
            </w:pPr>
            <w:r>
              <w:rPr>
                <w:rFonts w:hint="eastAsia" w:ascii="宋体" w:hAnsi="宋体" w:cs="宋体"/>
                <w:b/>
                <w:color w:val="000000"/>
                <w:highlight w:val="none"/>
              </w:rPr>
              <w:t>标识符号</w:t>
            </w:r>
          </w:p>
        </w:tc>
        <w:tc>
          <w:tcPr>
            <w:tcW w:w="5561" w:type="dxa"/>
            <w:tcBorders>
              <w:top w:val="single" w:color="000000" w:sz="4" w:space="0"/>
              <w:left w:val="single" w:color="000000" w:sz="4" w:space="0"/>
              <w:bottom w:val="single" w:color="000000" w:sz="4" w:space="0"/>
              <w:right w:val="single" w:color="000000" w:sz="4" w:space="0"/>
            </w:tcBorders>
            <w:noWrap w:val="0"/>
            <w:vAlign w:val="center"/>
          </w:tcPr>
          <w:p w14:paraId="2E70C4CC">
            <w:pPr>
              <w:spacing w:line="300" w:lineRule="auto"/>
              <w:jc w:val="center"/>
              <w:rPr>
                <w:highlight w:val="none"/>
              </w:rPr>
            </w:pPr>
            <w:r>
              <w:rPr>
                <w:rFonts w:hint="eastAsia" w:ascii="宋体" w:hAnsi="宋体" w:cs="宋体"/>
                <w:b/>
                <w:color w:val="000000"/>
                <w:highlight w:val="none"/>
              </w:rPr>
              <w:t>标识符号含义</w:t>
            </w:r>
          </w:p>
        </w:tc>
      </w:tr>
      <w:tr w14:paraId="3858E5C0">
        <w:tblPrEx>
          <w:tblCellMar>
            <w:top w:w="0" w:type="dxa"/>
            <w:left w:w="108" w:type="dxa"/>
            <w:bottom w:w="0" w:type="dxa"/>
            <w:right w:w="108" w:type="dxa"/>
          </w:tblCellMar>
        </w:tblPrEx>
        <w:trPr>
          <w:trHeight w:val="445" w:hRule="atLeast"/>
          <w:jc w:val="center"/>
        </w:trPr>
        <w:tc>
          <w:tcPr>
            <w:tcW w:w="1794" w:type="dxa"/>
            <w:tcBorders>
              <w:top w:val="single" w:color="000000" w:sz="4" w:space="0"/>
              <w:left w:val="single" w:color="000000" w:sz="4" w:space="0"/>
              <w:bottom w:val="single" w:color="000000" w:sz="4" w:space="0"/>
              <w:right w:val="single" w:color="000000" w:sz="4" w:space="0"/>
            </w:tcBorders>
            <w:noWrap w:val="0"/>
            <w:vAlign w:val="center"/>
          </w:tcPr>
          <w:p w14:paraId="0E1A6C58">
            <w:pPr>
              <w:snapToGrid w:val="0"/>
              <w:spacing w:line="20" w:lineRule="atLeast"/>
              <w:jc w:val="center"/>
              <w:rPr>
                <w:highlight w:val="none"/>
              </w:rPr>
            </w:pPr>
            <w:r>
              <w:rPr>
                <w:rFonts w:hint="eastAsia" w:ascii="宋体" w:hAnsi="宋体" w:cs="宋体"/>
                <w:bCs/>
                <w:color w:val="000000"/>
                <w:highlight w:val="none"/>
              </w:rPr>
              <w:t>关键性指标项</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E4534CC">
            <w:pPr>
              <w:snapToGrid w:val="0"/>
              <w:spacing w:line="20" w:lineRule="atLeast"/>
              <w:jc w:val="center"/>
              <w:rPr>
                <w:highlight w:val="none"/>
              </w:rPr>
            </w:pPr>
            <w:r>
              <w:rPr>
                <w:rFonts w:hint="eastAsia" w:ascii="宋体" w:hAnsi="宋体" w:cs="宋体"/>
                <w:bCs/>
                <w:color w:val="000000"/>
                <w:highlight w:val="none"/>
              </w:rPr>
              <w:t>★</w:t>
            </w:r>
          </w:p>
        </w:tc>
        <w:tc>
          <w:tcPr>
            <w:tcW w:w="5561" w:type="dxa"/>
            <w:tcBorders>
              <w:top w:val="single" w:color="000000" w:sz="4" w:space="0"/>
              <w:left w:val="single" w:color="000000" w:sz="4" w:space="0"/>
              <w:bottom w:val="single" w:color="000000" w:sz="4" w:space="0"/>
              <w:right w:val="single" w:color="000000" w:sz="4" w:space="0"/>
            </w:tcBorders>
            <w:noWrap w:val="0"/>
            <w:vAlign w:val="center"/>
          </w:tcPr>
          <w:p w14:paraId="4591F697">
            <w:pPr>
              <w:snapToGrid w:val="0"/>
              <w:spacing w:line="20" w:lineRule="atLeast"/>
              <w:jc w:val="center"/>
              <w:rPr>
                <w:highlight w:val="none"/>
              </w:rPr>
            </w:pPr>
            <w:r>
              <w:rPr>
                <w:rFonts w:hint="eastAsia" w:ascii="宋体" w:hAnsi="宋体" w:cs="宋体"/>
                <w:bCs/>
                <w:color w:val="000000"/>
                <w:highlight w:val="none"/>
                <w:lang w:val="en-US" w:eastAsia="zh-CN"/>
              </w:rPr>
              <w:t>如有，为评分项，详见第四章 评审办法</w:t>
            </w:r>
          </w:p>
        </w:tc>
      </w:tr>
      <w:tr w14:paraId="3B004074">
        <w:tblPrEx>
          <w:tblCellMar>
            <w:top w:w="0" w:type="dxa"/>
            <w:left w:w="108" w:type="dxa"/>
            <w:bottom w:w="0" w:type="dxa"/>
            <w:right w:w="108" w:type="dxa"/>
          </w:tblCellMar>
        </w:tblPrEx>
        <w:trPr>
          <w:trHeight w:val="445" w:hRule="atLeast"/>
          <w:jc w:val="center"/>
        </w:trPr>
        <w:tc>
          <w:tcPr>
            <w:tcW w:w="1794" w:type="dxa"/>
            <w:tcBorders>
              <w:top w:val="single" w:color="000000" w:sz="4" w:space="0"/>
              <w:left w:val="single" w:color="000000" w:sz="4" w:space="0"/>
              <w:bottom w:val="single" w:color="000000" w:sz="4" w:space="0"/>
              <w:right w:val="single" w:color="000000" w:sz="4" w:space="0"/>
            </w:tcBorders>
            <w:noWrap w:val="0"/>
            <w:vAlign w:val="center"/>
          </w:tcPr>
          <w:p w14:paraId="3488C53D">
            <w:pPr>
              <w:widowControl/>
              <w:spacing w:line="240" w:lineRule="auto"/>
              <w:jc w:val="center"/>
              <w:rPr>
                <w:highlight w:val="none"/>
              </w:rPr>
            </w:pPr>
            <w:r>
              <w:rPr>
                <w:rFonts w:hint="eastAsia" w:ascii="宋体" w:hAnsi="宋体" w:cs="宋体"/>
                <w:bCs/>
                <w:color w:val="000000"/>
                <w:kern w:val="0"/>
                <w:highlight w:val="none"/>
                <w:lang w:bidi="ar"/>
              </w:rPr>
              <w:t>无标识项</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5A46075">
            <w:pPr>
              <w:snapToGrid w:val="0"/>
              <w:spacing w:line="240" w:lineRule="auto"/>
              <w:jc w:val="center"/>
              <w:rPr>
                <w:rFonts w:hint="eastAsia" w:ascii="宋体" w:hAnsi="宋体" w:cs="宋体"/>
                <w:bCs/>
                <w:color w:val="000000"/>
                <w:highlight w:val="none"/>
              </w:rPr>
            </w:pPr>
          </w:p>
        </w:tc>
        <w:tc>
          <w:tcPr>
            <w:tcW w:w="5561" w:type="dxa"/>
            <w:tcBorders>
              <w:top w:val="single" w:color="000000" w:sz="4" w:space="0"/>
              <w:left w:val="single" w:color="000000" w:sz="4" w:space="0"/>
              <w:bottom w:val="single" w:color="000000" w:sz="4" w:space="0"/>
              <w:right w:val="single" w:color="000000" w:sz="4" w:space="0"/>
            </w:tcBorders>
            <w:noWrap w:val="0"/>
            <w:vAlign w:val="center"/>
          </w:tcPr>
          <w:p w14:paraId="0DE40AA0">
            <w:pPr>
              <w:widowControl/>
              <w:spacing w:line="240" w:lineRule="auto"/>
              <w:jc w:val="center"/>
              <w:rPr>
                <w:highlight w:val="none"/>
              </w:rPr>
            </w:pPr>
            <w:r>
              <w:rPr>
                <w:rFonts w:hint="eastAsia" w:ascii="宋体" w:hAnsi="宋体" w:cs="宋体"/>
                <w:bCs/>
                <w:color w:val="000000"/>
                <w:highlight w:val="none"/>
                <w:lang w:val="en-US" w:eastAsia="zh-CN"/>
              </w:rPr>
              <w:t>评分项，详见第四章 评审办法</w:t>
            </w:r>
          </w:p>
        </w:tc>
      </w:tr>
      <w:tr w14:paraId="3AA83309">
        <w:tblPrEx>
          <w:tblCellMar>
            <w:top w:w="0" w:type="dxa"/>
            <w:left w:w="108" w:type="dxa"/>
            <w:bottom w:w="0" w:type="dxa"/>
            <w:right w:w="108" w:type="dxa"/>
          </w:tblCellMar>
        </w:tblPrEx>
        <w:trPr>
          <w:trHeight w:val="249" w:hRule="atLeast"/>
          <w:jc w:val="center"/>
        </w:trPr>
        <w:tc>
          <w:tcPr>
            <w:tcW w:w="8720" w:type="dxa"/>
            <w:gridSpan w:val="3"/>
            <w:tcBorders>
              <w:top w:val="single" w:color="000000" w:sz="4" w:space="0"/>
              <w:left w:val="single" w:color="000000" w:sz="4" w:space="0"/>
              <w:bottom w:val="single" w:color="000000" w:sz="4" w:space="0"/>
              <w:right w:val="single" w:color="000000" w:sz="4" w:space="0"/>
            </w:tcBorders>
            <w:noWrap w:val="0"/>
            <w:vAlign w:val="center"/>
          </w:tcPr>
          <w:p w14:paraId="6C32C6C5">
            <w:pPr>
              <w:spacing w:line="300" w:lineRule="auto"/>
              <w:rPr>
                <w:highlight w:val="none"/>
              </w:rPr>
            </w:pPr>
            <w:r>
              <w:rPr>
                <w:rFonts w:hint="eastAsia" w:ascii="宋体" w:hAnsi="宋体" w:cs="宋体"/>
                <w:b/>
                <w:bCs/>
                <w:color w:val="000000"/>
                <w:highlight w:val="none"/>
              </w:rPr>
              <w:t>注：如某项标识中包含多条技术参数或要求，则该项标识所含内容均需满足或优于采购文件要求，否则不予认可。</w:t>
            </w:r>
          </w:p>
        </w:tc>
      </w:tr>
    </w:tbl>
    <w:p w14:paraId="3F44E5BF">
      <w:pPr>
        <w:widowControl/>
        <w:snapToGrid w:val="0"/>
        <w:spacing w:line="240" w:lineRule="auto"/>
        <w:jc w:val="both"/>
        <w:rPr>
          <w:rFonts w:hint="eastAsia" w:ascii="宋体" w:hAnsi="宋体" w:cs="宋体"/>
          <w:b/>
          <w:bCs/>
          <w:color w:val="000000"/>
          <w:highlight w:val="none"/>
        </w:rPr>
      </w:pPr>
    </w:p>
    <w:p w14:paraId="516EA80E">
      <w:pPr>
        <w:widowControl/>
        <w:numPr>
          <w:ilvl w:val="0"/>
          <w:numId w:val="0"/>
        </w:numPr>
        <w:snapToGrid w:val="0"/>
        <w:ind w:left="0" w:right="0" w:firstLine="482"/>
        <w:jc w:val="both"/>
        <w:outlineLvl w:val="2"/>
        <w:rPr>
          <w:highlight w:val="none"/>
        </w:rPr>
      </w:pPr>
      <w:r>
        <w:rPr>
          <w:rFonts w:hint="eastAsia" w:ascii="宋体" w:hAnsi="宋体" w:cs="宋体"/>
          <w:b/>
          <w:bCs/>
          <w:color w:val="000000"/>
          <w:highlight w:val="none"/>
        </w:rPr>
        <w:t>（二）</w:t>
      </w:r>
      <w:r>
        <w:rPr>
          <w:rFonts w:hint="eastAsia" w:ascii="宋体" w:hAnsi="宋体" w:cs="宋体"/>
          <w:b/>
          <w:bCs/>
          <w:color w:val="000000"/>
          <w:highlight w:val="none"/>
          <w:lang w:val="en-US" w:eastAsia="zh-CN"/>
        </w:rPr>
        <w:t>技术参数</w:t>
      </w:r>
    </w:p>
    <w:p w14:paraId="1DE38171">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1.用于奥林巴斯、富士、宾得、艾克松等进口和国产电子内镜的清洗；</w:t>
      </w:r>
    </w:p>
    <w:p w14:paraId="50CBAB96">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2.材质：杜邦毛丝，双头；</w:t>
      </w:r>
    </w:p>
    <w:p w14:paraId="61346F73">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3.刷头结实，不易折断；</w:t>
      </w:r>
    </w:p>
    <w:p w14:paraId="257165CE">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4.能够同时提供刷洗内镜管腔的长刷和刷洗内镜管道口的短刷；</w:t>
      </w:r>
    </w:p>
    <w:p w14:paraId="044DB248">
      <w:pPr>
        <w:keepNext w:val="0"/>
        <w:keepLines w:val="0"/>
        <w:pageBreakBefore w:val="0"/>
        <w:widowControl w:val="0"/>
        <w:kinsoku/>
        <w:overflowPunct/>
        <w:autoSpaceDE/>
        <w:bidi w:val="0"/>
        <w:snapToGrid/>
        <w:ind w:left="0" w:right="0" w:firstLine="480"/>
        <w:jc w:val="both"/>
        <w:textAlignment w:val="auto"/>
        <w:rPr>
          <w:highlight w:val="none"/>
        </w:rPr>
      </w:pPr>
      <w:r>
        <w:rPr>
          <w:rFonts w:hint="eastAsia" w:ascii="宋体" w:hAnsi="宋体" w:cs="宋体"/>
          <w:b w:val="0"/>
          <w:bCs w:val="0"/>
          <w:color w:val="000000"/>
          <w:highlight w:val="none"/>
          <w:lang w:val="en-US" w:eastAsia="zh-CN"/>
        </w:rPr>
        <w:t>5.报齐能满足胃镜、肠镜、喉镜、气管镜等各种类型内镜的清洗刷各规格及各型号。</w:t>
      </w:r>
    </w:p>
    <w:p w14:paraId="64653E1E">
      <w:pPr>
        <w:widowControl/>
        <w:snapToGrid w:val="0"/>
        <w:ind w:firstLine="480" w:firstLineChars="200"/>
        <w:jc w:val="both"/>
        <w:outlineLvl w:val="9"/>
        <w:rPr>
          <w:rFonts w:hint="eastAsia" w:ascii="宋体" w:hAnsi="宋体" w:cs="@仿宋_GB2312"/>
          <w:color w:val="auto"/>
          <w:szCs w:val="18"/>
          <w:highlight w:val="none"/>
        </w:rPr>
      </w:pPr>
    </w:p>
    <w:bookmarkEnd w:id="2"/>
    <w:p w14:paraId="4CBF500A"/>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581AEF"/>
    <w:rsid w:val="3A3E34C9"/>
    <w:rsid w:val="4585476C"/>
    <w:rsid w:val="68117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1775</Words>
  <Characters>1878</Characters>
  <Lines>0</Lines>
  <Paragraphs>0</Paragraphs>
  <TotalTime>0</TotalTime>
  <ScaleCrop>false</ScaleCrop>
  <LinksUpToDate>false</LinksUpToDate>
  <CharactersWithSpaces>1893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2026-09-07T06:33:00Z</dcterms:created>
  <dc:creator>Administrator</dc:creator>
  <cp:lastModifiedBy>Administrator</cp:lastModifiedBy>
  <dcterms:modified xsi:type="dcterms:W3CDTF">2026-09-28T08:54:57Z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eyJoZGlkIjoiNTZlOTZhYjExNjQ0NTdjZDExZjk3MjdmYmY3YTMwYzQiLCJ1c2VySWQiOiIzOTczODgwOTIifQ==</vt:lpwstr>
  </property>
  <property fmtid="{D5CDD505-2E9C-101B-9397-08002B2CF9AE}" pid="4" name="ICV">
    <vt:lpwstr>E77FF479CF9C4A3A8B9D05527214A926_12</vt:lpwstr>
  </property>
</Properties>
</file>