
<file path=[Content_Types].xml><?xml version="1.0" encoding="utf-8"?>
<Types xmlns="http://schemas.openxmlformats.org/package/2006/content-types">
  <Default Extension="png" ContentType="image/png"/>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23576BF">
      <w:pPr>
        <w:pStyle w:val="2"/>
        <w:spacing w:line="360" w:lineRule="auto"/>
        <w:ind w:left="0" w:firstLine="0"/>
        <w:jc w:val="center"/>
        <w:rPr>
          <w:rFonts w:ascii="宋体" w:hAnsi="宋体"/>
          <w:szCs w:val="36"/>
          <w:highlight w:val="none"/>
        </w:rPr>
      </w:pPr>
      <w:bookmarkStart w:id="1" w:name="_GoBack"/>
      <w:r>
        <w:rPr>
          <w:rFonts w:hint="eastAsia" w:ascii="宋体" w:hAnsi="宋体"/>
          <w:szCs w:val="36"/>
          <w:highlight w:val="none"/>
        </w:rPr>
        <w:t>采购需求</w:t>
      </w:r>
      <w:bookmarkEnd w:id="1"/>
    </w:p>
    <w:p w14:paraId="4A22F31C">
      <w:pPr>
        <w:spacing w:line="360" w:lineRule="auto"/>
        <w:rPr>
          <w:rFonts w:hint="eastAsia" w:ascii="宋体" w:hAnsi="宋体" w:eastAsia="宋体" w:cs="宋体"/>
          <w:sz w:val="24"/>
          <w:szCs w:val="24"/>
          <w:highlight w:val="none"/>
        </w:rPr>
      </w:pPr>
    </w:p>
    <w:p w14:paraId="7096DFA5">
      <w:pPr>
        <w:spacing w:line="360" w:lineRule="auto"/>
        <w:ind w:firstLine="437"/>
        <w:outlineLvl w:val="2"/>
        <w:rPr>
          <w:rFonts w:hint="eastAsia" w:ascii="宋体" w:hAnsi="宋体" w:eastAsia="宋体" w:cs="宋体"/>
          <w:b/>
          <w:sz w:val="24"/>
          <w:szCs w:val="24"/>
          <w:highlight w:val="none"/>
        </w:rPr>
      </w:pPr>
      <w:r>
        <w:rPr>
          <w:rFonts w:hint="eastAsia" w:ascii="宋体" w:hAnsi="宋体" w:eastAsia="宋体" w:cs="宋体"/>
          <w:b/>
          <w:sz w:val="24"/>
          <w:szCs w:val="24"/>
          <w:highlight w:val="none"/>
          <w:lang w:val="en-US" w:eastAsia="zh-CN"/>
        </w:rPr>
        <w:t>一、</w:t>
      </w:r>
      <w:r>
        <w:rPr>
          <w:rFonts w:hint="eastAsia" w:ascii="宋体" w:hAnsi="宋体" w:eastAsia="宋体" w:cs="宋体"/>
          <w:b/>
          <w:sz w:val="24"/>
          <w:szCs w:val="24"/>
          <w:highlight w:val="none"/>
        </w:rPr>
        <w:t>项目概况</w:t>
      </w:r>
    </w:p>
    <w:p w14:paraId="641F4F75">
      <w:pPr>
        <w:spacing w:line="360" w:lineRule="auto"/>
        <w:ind w:firstLine="480" w:firstLineChars="200"/>
        <w:rPr>
          <w:rFonts w:hint="default" w:ascii="宋体" w:hAnsi="宋体" w:eastAsia="宋体" w:cs="宋体"/>
          <w:sz w:val="24"/>
          <w:szCs w:val="24"/>
          <w:highlight w:val="none"/>
          <w:lang w:val="en-US" w:eastAsia="zh-CN"/>
        </w:rPr>
      </w:pPr>
      <w:r>
        <w:rPr>
          <w:rFonts w:hint="eastAsia" w:ascii="宋体" w:hAnsi="宋体" w:eastAsia="宋体" w:cs="宋体"/>
          <w:sz w:val="24"/>
          <w:szCs w:val="24"/>
          <w:highlight w:val="none"/>
        </w:rPr>
        <w:t>项目位于合肥</w:t>
      </w:r>
      <w:r>
        <w:rPr>
          <w:rFonts w:hint="eastAsia" w:ascii="宋体" w:hAnsi="宋体" w:eastAsia="宋体" w:cs="宋体"/>
          <w:sz w:val="24"/>
          <w:szCs w:val="24"/>
          <w:highlight w:val="none"/>
          <w:lang w:val="en-US" w:eastAsia="zh-CN"/>
        </w:rPr>
        <w:t>长丰县</w:t>
      </w:r>
      <w:r>
        <w:rPr>
          <w:rFonts w:hint="eastAsia" w:ascii="宋体" w:hAnsi="宋体" w:eastAsia="宋体" w:cs="宋体"/>
          <w:sz w:val="24"/>
          <w:szCs w:val="24"/>
          <w:highlight w:val="none"/>
        </w:rPr>
        <w:t>龙湖路以北，汤都路以南，谯城路以东，阜阳北路以西用地面积282.2亩，其中南</w:t>
      </w:r>
      <w:r>
        <w:rPr>
          <w:rFonts w:hint="eastAsia" w:ascii="宋体" w:hAnsi="宋体" w:eastAsia="宋体" w:cs="宋体"/>
          <w:sz w:val="24"/>
          <w:szCs w:val="24"/>
          <w:highlight w:val="none"/>
          <w:lang w:val="en-US" w:eastAsia="zh-CN"/>
        </w:rPr>
        <w:t>地块</w:t>
      </w:r>
      <w:r>
        <w:rPr>
          <w:rFonts w:hint="eastAsia" w:ascii="宋体" w:hAnsi="宋体" w:eastAsia="宋体" w:cs="宋体"/>
          <w:sz w:val="24"/>
          <w:szCs w:val="24"/>
          <w:highlight w:val="none"/>
        </w:rPr>
        <w:t>用地面积143.4亩，北</w:t>
      </w:r>
      <w:r>
        <w:rPr>
          <w:rFonts w:hint="eastAsia" w:ascii="宋体" w:hAnsi="宋体" w:eastAsia="宋体" w:cs="宋体"/>
          <w:sz w:val="24"/>
          <w:szCs w:val="24"/>
          <w:highlight w:val="none"/>
          <w:lang w:val="en-US" w:eastAsia="zh-CN"/>
        </w:rPr>
        <w:t>地块</w:t>
      </w:r>
      <w:r>
        <w:rPr>
          <w:rFonts w:hint="eastAsia" w:ascii="宋体" w:hAnsi="宋体" w:eastAsia="宋体" w:cs="宋体"/>
          <w:sz w:val="24"/>
          <w:szCs w:val="24"/>
          <w:highlight w:val="none"/>
        </w:rPr>
        <w:t>用地面积138.8亩；总建筑面积</w:t>
      </w:r>
      <w:r>
        <w:rPr>
          <w:rFonts w:hint="eastAsia" w:ascii="宋体" w:hAnsi="宋体" w:eastAsia="宋体" w:cs="宋体"/>
          <w:sz w:val="24"/>
          <w:szCs w:val="24"/>
          <w:highlight w:val="none"/>
          <w:lang w:val="en-US" w:eastAsia="zh-CN"/>
        </w:rPr>
        <w:t>约42万</w:t>
      </w:r>
      <w:r>
        <w:rPr>
          <w:rFonts w:hint="eastAsia" w:ascii="宋体" w:hAnsi="宋体" w:eastAsia="宋体" w:cs="宋体"/>
          <w:sz w:val="24"/>
          <w:szCs w:val="24"/>
          <w:highlight w:val="none"/>
        </w:rPr>
        <w:t>平方米。本次</w:t>
      </w:r>
      <w:r>
        <w:rPr>
          <w:rFonts w:hint="eastAsia" w:ascii="宋体" w:hAnsi="宋体" w:eastAsia="宋体" w:cs="宋体"/>
          <w:sz w:val="24"/>
          <w:szCs w:val="24"/>
          <w:highlight w:val="none"/>
          <w:lang w:val="en-US" w:eastAsia="zh-CN"/>
        </w:rPr>
        <w:t>采购</w:t>
      </w:r>
      <w:r>
        <w:rPr>
          <w:rFonts w:hint="eastAsia" w:ascii="宋体" w:hAnsi="宋体" w:eastAsia="宋体" w:cs="宋体"/>
          <w:sz w:val="24"/>
          <w:szCs w:val="24"/>
          <w:highlight w:val="none"/>
        </w:rPr>
        <w:t>北地块</w:t>
      </w:r>
      <w:r>
        <w:rPr>
          <w:rFonts w:hint="eastAsia" w:ascii="宋体" w:hAnsi="宋体" w:eastAsia="宋体" w:cs="宋体"/>
          <w:sz w:val="24"/>
          <w:szCs w:val="24"/>
          <w:highlight w:val="none"/>
          <w:lang w:val="en-US" w:eastAsia="zh-CN"/>
        </w:rPr>
        <w:t>部分功能区域</w:t>
      </w:r>
      <w:r>
        <w:rPr>
          <w:rFonts w:hint="eastAsia" w:ascii="宋体" w:hAnsi="宋体" w:eastAsia="宋体" w:cs="宋体"/>
          <w:sz w:val="24"/>
          <w:szCs w:val="24"/>
          <w:highlight w:val="none"/>
        </w:rPr>
        <w:t>，包含</w:t>
      </w:r>
      <w:r>
        <w:rPr>
          <w:rFonts w:hint="eastAsia" w:ascii="宋体" w:hAnsi="宋体" w:eastAsia="宋体" w:cs="宋体"/>
          <w:sz w:val="24"/>
          <w:szCs w:val="24"/>
          <w:highlight w:val="none"/>
          <w:lang w:val="en-US" w:eastAsia="zh-CN"/>
        </w:rPr>
        <w:t>科教中心报告厅及五官楼紧急医学救援基地指挥大厅会议桌椅等部分家具</w:t>
      </w:r>
      <w:r>
        <w:rPr>
          <w:rFonts w:hint="eastAsia" w:ascii="宋体" w:hAnsi="宋体" w:eastAsia="宋体" w:cs="宋体"/>
          <w:sz w:val="24"/>
          <w:szCs w:val="24"/>
          <w:highlight w:val="none"/>
        </w:rPr>
        <w:t>。</w:t>
      </w:r>
    </w:p>
    <w:p w14:paraId="003E33B3">
      <w:pPr>
        <w:numPr>
          <w:ilvl w:val="0"/>
          <w:numId w:val="1"/>
        </w:numPr>
        <w:spacing w:line="360" w:lineRule="auto"/>
        <w:ind w:firstLine="437"/>
        <w:outlineLvl w:val="2"/>
        <w:rPr>
          <w:rFonts w:hint="eastAsia" w:ascii="宋体" w:hAnsi="宋体" w:eastAsia="宋体" w:cs="宋体"/>
          <w:b/>
          <w:sz w:val="24"/>
          <w:szCs w:val="24"/>
          <w:highlight w:val="none"/>
          <w:lang w:val="en-US" w:eastAsia="zh-CN"/>
        </w:rPr>
      </w:pPr>
      <w:r>
        <w:rPr>
          <w:rFonts w:hint="eastAsia" w:ascii="宋体" w:hAnsi="宋体" w:eastAsia="宋体" w:cs="宋体"/>
          <w:b/>
          <w:sz w:val="24"/>
          <w:szCs w:val="24"/>
          <w:highlight w:val="none"/>
          <w:lang w:val="en-US" w:eastAsia="zh-CN"/>
        </w:rPr>
        <w:t>家具清单</w:t>
      </w:r>
    </w:p>
    <w:p w14:paraId="07B38AFF">
      <w:pPr>
        <w:widowControl w:val="0"/>
        <w:numPr>
          <w:ilvl w:val="0"/>
          <w:numId w:val="0"/>
        </w:numPr>
        <w:spacing w:line="360" w:lineRule="auto"/>
        <w:outlineLvl w:val="2"/>
        <w:rPr>
          <w:rFonts w:hint="eastAsia" w:ascii="宋体" w:hAnsi="宋体" w:eastAsia="宋体" w:cs="宋体"/>
          <w:b/>
          <w:sz w:val="24"/>
          <w:szCs w:val="24"/>
          <w:highlight w:val="none"/>
          <w:lang w:val="en-US" w:eastAsia="zh-CN"/>
        </w:rPr>
      </w:pPr>
      <w:r>
        <w:rPr>
          <w:rFonts w:hint="eastAsia" w:ascii="宋体" w:hAnsi="宋体" w:eastAsia="宋体" w:cs="宋体"/>
          <w:b/>
          <w:sz w:val="24"/>
          <w:szCs w:val="24"/>
          <w:highlight w:val="none"/>
          <w:lang w:val="en-US" w:eastAsia="zh-CN"/>
        </w:rPr>
        <w:t>注：</w:t>
      </w:r>
    </w:p>
    <w:p w14:paraId="32D98CB4">
      <w:pPr>
        <w:widowControl w:val="0"/>
        <w:numPr>
          <w:ilvl w:val="0"/>
          <w:numId w:val="0"/>
        </w:numPr>
        <w:spacing w:line="360" w:lineRule="auto"/>
        <w:outlineLvl w:val="2"/>
        <w:rPr>
          <w:rFonts w:hint="eastAsia" w:ascii="宋体" w:hAnsi="宋体" w:eastAsia="宋体" w:cs="宋体"/>
          <w:b/>
          <w:sz w:val="24"/>
          <w:szCs w:val="24"/>
          <w:highlight w:val="none"/>
          <w:lang w:val="en-US" w:eastAsia="zh-CN"/>
        </w:rPr>
      </w:pPr>
      <w:r>
        <w:rPr>
          <w:rFonts w:hint="eastAsia" w:ascii="宋体" w:hAnsi="宋体" w:eastAsia="宋体" w:cs="宋体"/>
          <w:b/>
          <w:sz w:val="24"/>
          <w:szCs w:val="24"/>
          <w:highlight w:val="none"/>
          <w:lang w:val="en-US" w:eastAsia="zh-CN"/>
        </w:rPr>
        <w:t>1、供货清单中技术参数为本次采购的最低需求，最终供货时的技术参数应当等同或不低于清单中的技术参数要求</w:t>
      </w:r>
    </w:p>
    <w:p w14:paraId="15953FF8">
      <w:pPr>
        <w:widowControl w:val="0"/>
        <w:numPr>
          <w:ilvl w:val="0"/>
          <w:numId w:val="0"/>
        </w:numPr>
        <w:spacing w:line="360" w:lineRule="auto"/>
        <w:outlineLvl w:val="2"/>
        <w:rPr>
          <w:rFonts w:hint="eastAsia" w:ascii="宋体" w:hAnsi="宋体" w:eastAsia="宋体" w:cs="宋体"/>
          <w:b/>
          <w:sz w:val="24"/>
          <w:szCs w:val="24"/>
          <w:highlight w:val="none"/>
          <w:lang w:val="en-US" w:eastAsia="zh-CN"/>
        </w:rPr>
      </w:pPr>
      <w:r>
        <w:rPr>
          <w:rFonts w:hint="eastAsia" w:ascii="宋体" w:hAnsi="宋体" w:eastAsia="宋体" w:cs="宋体"/>
          <w:b/>
          <w:sz w:val="24"/>
          <w:szCs w:val="24"/>
          <w:highlight w:val="none"/>
          <w:lang w:val="en-US" w:eastAsia="zh-CN"/>
        </w:rPr>
        <w:t>2、对于下表中所列家具，涉及需要提供质保书、发票、实景照片等关于技术参数的证明材料资料均为成交后供货前提供，参选时无须提供（下述表格中如有不一致处，以此处为准。）。</w:t>
      </w:r>
    </w:p>
    <w:tbl>
      <w:tblPr>
        <w:tblStyle w:val="3"/>
        <w:tblW w:w="5000" w:type="pct"/>
        <w:jc w:val="center"/>
        <w:tblLayout w:type="fixed"/>
        <w:tblCellMar>
          <w:top w:w="15" w:type="dxa"/>
          <w:left w:w="15" w:type="dxa"/>
          <w:bottom w:w="15" w:type="dxa"/>
          <w:right w:w="15" w:type="dxa"/>
        </w:tblCellMar>
      </w:tblPr>
      <w:tblGrid>
        <w:gridCol w:w="261"/>
        <w:gridCol w:w="360"/>
        <w:gridCol w:w="2525"/>
        <w:gridCol w:w="780"/>
        <w:gridCol w:w="518"/>
        <w:gridCol w:w="2650"/>
        <w:gridCol w:w="534"/>
        <w:gridCol w:w="708"/>
      </w:tblGrid>
      <w:tr w14:paraId="461B1121">
        <w:tblPrEx>
          <w:tblCellMar>
            <w:top w:w="15" w:type="dxa"/>
            <w:left w:w="15" w:type="dxa"/>
            <w:bottom w:w="15" w:type="dxa"/>
            <w:right w:w="15" w:type="dxa"/>
          </w:tblCellMar>
        </w:tblPrEx>
        <w:trPr>
          <w:trHeight w:val="41" w:hRule="atLeast"/>
          <w:jc w:val="center"/>
        </w:trPr>
        <w:tc>
          <w:tcPr>
            <w:tcW w:w="156"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FFD5475">
            <w:pPr>
              <w:widowControl/>
              <w:spacing w:line="360" w:lineRule="auto"/>
              <w:jc w:val="center"/>
              <w:textAlignment w:val="center"/>
              <w:rPr>
                <w:rFonts w:hint="eastAsia" w:ascii="宋体" w:hAnsi="宋体" w:eastAsia="宋体" w:cs="宋体"/>
                <w:b/>
                <w:sz w:val="24"/>
                <w:szCs w:val="24"/>
                <w:highlight w:val="none"/>
              </w:rPr>
            </w:pPr>
            <w:r>
              <w:rPr>
                <w:rFonts w:hint="eastAsia" w:ascii="宋体" w:hAnsi="宋体" w:eastAsia="宋体" w:cs="宋体"/>
                <w:b/>
                <w:kern w:val="0"/>
                <w:sz w:val="24"/>
                <w:szCs w:val="24"/>
                <w:highlight w:val="none"/>
                <w:lang w:bidi="ar"/>
              </w:rPr>
              <w:t>序号</w:t>
            </w:r>
          </w:p>
        </w:tc>
        <w:tc>
          <w:tcPr>
            <w:tcW w:w="21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F938682">
            <w:pPr>
              <w:widowControl/>
              <w:spacing w:line="360" w:lineRule="auto"/>
              <w:jc w:val="center"/>
              <w:textAlignment w:val="center"/>
              <w:rPr>
                <w:rFonts w:hint="eastAsia" w:ascii="宋体" w:hAnsi="宋体" w:eastAsia="宋体" w:cs="宋体"/>
                <w:b/>
                <w:sz w:val="24"/>
                <w:szCs w:val="24"/>
                <w:highlight w:val="none"/>
              </w:rPr>
            </w:pPr>
            <w:r>
              <w:rPr>
                <w:rFonts w:hint="eastAsia" w:ascii="宋体" w:hAnsi="宋体" w:eastAsia="宋体" w:cs="宋体"/>
                <w:b/>
                <w:kern w:val="0"/>
                <w:sz w:val="24"/>
                <w:szCs w:val="24"/>
                <w:highlight w:val="none"/>
                <w:lang w:bidi="ar"/>
              </w:rPr>
              <w:t>品名</w:t>
            </w:r>
          </w:p>
        </w:tc>
        <w:tc>
          <w:tcPr>
            <w:tcW w:w="151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D31C228">
            <w:pPr>
              <w:widowControl/>
              <w:spacing w:line="360" w:lineRule="auto"/>
              <w:jc w:val="center"/>
              <w:textAlignment w:val="center"/>
              <w:rPr>
                <w:rFonts w:hint="eastAsia" w:ascii="宋体" w:hAnsi="宋体" w:eastAsia="宋体" w:cs="宋体"/>
                <w:b/>
                <w:sz w:val="24"/>
                <w:szCs w:val="24"/>
                <w:highlight w:val="none"/>
              </w:rPr>
            </w:pPr>
            <w:r>
              <w:rPr>
                <w:rFonts w:hint="eastAsia" w:ascii="宋体" w:hAnsi="宋体" w:eastAsia="宋体" w:cs="宋体"/>
                <w:b/>
                <w:kern w:val="0"/>
                <w:sz w:val="24"/>
                <w:szCs w:val="24"/>
                <w:highlight w:val="none"/>
                <w:lang w:bidi="ar"/>
              </w:rPr>
              <w:t>图片</w:t>
            </w:r>
          </w:p>
        </w:tc>
        <w:tc>
          <w:tcPr>
            <w:tcW w:w="46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D3AB9C4">
            <w:pPr>
              <w:widowControl/>
              <w:spacing w:line="360" w:lineRule="auto"/>
              <w:jc w:val="center"/>
              <w:textAlignment w:val="center"/>
              <w:rPr>
                <w:rFonts w:hint="eastAsia" w:ascii="宋体" w:hAnsi="宋体" w:eastAsia="宋体" w:cs="宋体"/>
                <w:b/>
                <w:sz w:val="24"/>
                <w:szCs w:val="24"/>
                <w:highlight w:val="none"/>
              </w:rPr>
            </w:pPr>
            <w:r>
              <w:rPr>
                <w:rFonts w:hint="eastAsia" w:ascii="宋体" w:hAnsi="宋体" w:eastAsia="宋体" w:cs="宋体"/>
                <w:b/>
                <w:kern w:val="0"/>
                <w:sz w:val="24"/>
                <w:szCs w:val="24"/>
                <w:highlight w:val="none"/>
                <w:lang w:bidi="ar"/>
              </w:rPr>
              <w:t>(W*D*H) 尺寸/型号（单位：mm）</w:t>
            </w:r>
          </w:p>
        </w:tc>
        <w:tc>
          <w:tcPr>
            <w:tcW w:w="31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FF1393A">
            <w:pPr>
              <w:widowControl/>
              <w:spacing w:line="360" w:lineRule="auto"/>
              <w:jc w:val="center"/>
              <w:textAlignment w:val="center"/>
              <w:rPr>
                <w:rFonts w:hint="eastAsia" w:ascii="宋体" w:hAnsi="宋体" w:eastAsia="宋体" w:cs="宋体"/>
                <w:b/>
                <w:sz w:val="24"/>
                <w:szCs w:val="24"/>
                <w:highlight w:val="none"/>
              </w:rPr>
            </w:pPr>
            <w:r>
              <w:rPr>
                <w:rFonts w:hint="eastAsia" w:ascii="宋体" w:hAnsi="宋体" w:eastAsia="宋体" w:cs="宋体"/>
                <w:b/>
                <w:kern w:val="0"/>
                <w:sz w:val="24"/>
                <w:szCs w:val="24"/>
                <w:highlight w:val="none"/>
                <w:lang w:bidi="ar"/>
              </w:rPr>
              <w:t>数量</w:t>
            </w:r>
          </w:p>
        </w:tc>
        <w:tc>
          <w:tcPr>
            <w:tcW w:w="158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E9CFEDB">
            <w:pPr>
              <w:widowControl/>
              <w:spacing w:line="360" w:lineRule="auto"/>
              <w:jc w:val="center"/>
              <w:textAlignment w:val="center"/>
              <w:rPr>
                <w:rFonts w:hint="eastAsia" w:ascii="宋体" w:hAnsi="宋体" w:eastAsia="宋体" w:cs="宋体"/>
                <w:b/>
                <w:sz w:val="24"/>
                <w:szCs w:val="24"/>
                <w:highlight w:val="none"/>
              </w:rPr>
            </w:pPr>
            <w:r>
              <w:rPr>
                <w:rFonts w:hint="eastAsia" w:ascii="宋体" w:hAnsi="宋体" w:eastAsia="宋体" w:cs="宋体"/>
                <w:b/>
                <w:kern w:val="0"/>
                <w:sz w:val="24"/>
                <w:szCs w:val="24"/>
                <w:highlight w:val="none"/>
                <w:lang w:bidi="ar"/>
              </w:rPr>
              <w:t>技术参数及要求</w:t>
            </w:r>
          </w:p>
        </w:tc>
        <w:tc>
          <w:tcPr>
            <w:tcW w:w="32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B5FB662">
            <w:pPr>
              <w:widowControl/>
              <w:spacing w:line="360" w:lineRule="auto"/>
              <w:jc w:val="center"/>
              <w:textAlignment w:val="center"/>
              <w:rPr>
                <w:rFonts w:hint="eastAsia" w:ascii="宋体" w:hAnsi="宋体" w:eastAsia="宋体" w:cs="宋体"/>
                <w:b/>
                <w:kern w:val="0"/>
                <w:sz w:val="24"/>
                <w:szCs w:val="24"/>
                <w:highlight w:val="none"/>
                <w:lang w:val="en-US" w:eastAsia="zh-CN" w:bidi="ar"/>
              </w:rPr>
            </w:pPr>
            <w:r>
              <w:rPr>
                <w:rFonts w:hint="eastAsia" w:ascii="宋体" w:hAnsi="宋体" w:eastAsia="宋体" w:cs="宋体"/>
                <w:b/>
                <w:kern w:val="0"/>
                <w:sz w:val="24"/>
                <w:szCs w:val="24"/>
                <w:highlight w:val="none"/>
                <w:lang w:bidi="ar"/>
              </w:rPr>
              <w:t>单价</w:t>
            </w:r>
            <w:r>
              <w:rPr>
                <w:rFonts w:hint="eastAsia" w:ascii="宋体" w:hAnsi="宋体" w:eastAsia="宋体" w:cs="宋体"/>
                <w:b/>
                <w:kern w:val="0"/>
                <w:sz w:val="24"/>
                <w:szCs w:val="24"/>
                <w:highlight w:val="none"/>
                <w:lang w:val="en-US" w:eastAsia="zh-CN" w:bidi="ar"/>
              </w:rPr>
              <w:t>最高限价</w:t>
            </w:r>
          </w:p>
        </w:tc>
        <w:tc>
          <w:tcPr>
            <w:tcW w:w="42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78DFC20">
            <w:pPr>
              <w:widowControl/>
              <w:spacing w:line="360" w:lineRule="auto"/>
              <w:jc w:val="center"/>
              <w:textAlignment w:val="center"/>
              <w:rPr>
                <w:rFonts w:hint="eastAsia" w:ascii="宋体" w:hAnsi="宋体" w:eastAsia="宋体" w:cs="宋体"/>
                <w:b/>
                <w:kern w:val="0"/>
                <w:sz w:val="24"/>
                <w:szCs w:val="24"/>
                <w:highlight w:val="none"/>
                <w:lang w:bidi="ar"/>
              </w:rPr>
            </w:pPr>
            <w:r>
              <w:rPr>
                <w:rFonts w:hint="eastAsia" w:ascii="宋体" w:hAnsi="宋体" w:eastAsia="宋体" w:cs="宋体"/>
                <w:b/>
                <w:kern w:val="0"/>
                <w:sz w:val="24"/>
                <w:szCs w:val="24"/>
                <w:highlight w:val="none"/>
                <w:lang w:bidi="ar"/>
              </w:rPr>
              <w:t>合计</w:t>
            </w:r>
          </w:p>
        </w:tc>
      </w:tr>
      <w:tr w14:paraId="35E96105">
        <w:tblPrEx>
          <w:tblCellMar>
            <w:top w:w="15" w:type="dxa"/>
            <w:left w:w="108" w:type="dxa"/>
            <w:bottom w:w="15" w:type="dxa"/>
            <w:right w:w="108" w:type="dxa"/>
          </w:tblCellMar>
        </w:tblPrEx>
        <w:trPr>
          <w:trHeight w:val="1866" w:hRule="atLeast"/>
          <w:jc w:val="center"/>
        </w:trPr>
        <w:tc>
          <w:tcPr>
            <w:tcW w:w="156"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5515683">
            <w:pPr>
              <w:widowControl/>
              <w:spacing w:line="360" w:lineRule="auto"/>
              <w:jc w:val="center"/>
              <w:textAlignment w:val="center"/>
              <w:rPr>
                <w:rFonts w:hint="eastAsia" w:ascii="宋体" w:hAnsi="宋体" w:eastAsia="宋体" w:cs="宋体"/>
                <w:color w:val="000000"/>
                <w:kern w:val="0"/>
                <w:sz w:val="24"/>
                <w:szCs w:val="24"/>
                <w:highlight w:val="none"/>
                <w:lang w:bidi="ar"/>
              </w:rPr>
            </w:pPr>
            <w:r>
              <w:rPr>
                <w:rFonts w:hint="eastAsia" w:ascii="宋体" w:hAnsi="宋体" w:eastAsia="宋体" w:cs="宋体"/>
                <w:color w:val="000000"/>
                <w:kern w:val="0"/>
                <w:sz w:val="24"/>
                <w:szCs w:val="24"/>
                <w:highlight w:val="none"/>
                <w:lang w:bidi="ar"/>
              </w:rPr>
              <w:t>1</w:t>
            </w:r>
          </w:p>
        </w:tc>
        <w:tc>
          <w:tcPr>
            <w:tcW w:w="21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FA29015">
            <w:pPr>
              <w:widowControl/>
              <w:spacing w:line="360" w:lineRule="auto"/>
              <w:jc w:val="center"/>
              <w:textAlignment w:val="center"/>
              <w:rPr>
                <w:rFonts w:hint="eastAsia" w:ascii="宋体" w:hAnsi="宋体" w:eastAsia="宋体" w:cs="宋体"/>
                <w:color w:val="000000"/>
                <w:kern w:val="0"/>
                <w:sz w:val="24"/>
                <w:szCs w:val="24"/>
                <w:highlight w:val="none"/>
                <w:lang w:bidi="ar"/>
              </w:rPr>
            </w:pPr>
            <w:r>
              <w:rPr>
                <w:rFonts w:hint="eastAsia" w:ascii="宋体" w:hAnsi="宋体" w:eastAsia="宋体" w:cs="宋体"/>
                <w:color w:val="000000"/>
                <w:kern w:val="0"/>
                <w:sz w:val="24"/>
                <w:szCs w:val="24"/>
                <w:highlight w:val="none"/>
                <w:lang w:bidi="ar"/>
              </w:rPr>
              <w:t>视频会议室会议桌</w:t>
            </w:r>
          </w:p>
        </w:tc>
        <w:tc>
          <w:tcPr>
            <w:tcW w:w="151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A6768AE">
            <w:pPr>
              <w:widowControl/>
              <w:spacing w:line="360" w:lineRule="auto"/>
              <w:jc w:val="center"/>
              <w:textAlignment w:val="center"/>
              <w:rPr>
                <w:rFonts w:hint="eastAsia" w:ascii="宋体" w:hAnsi="宋体" w:eastAsia="宋体" w:cs="宋体"/>
                <w:sz w:val="24"/>
                <w:szCs w:val="24"/>
                <w:highlight w:val="none"/>
              </w:rPr>
            </w:pPr>
            <w:r>
              <w:rPr>
                <w:rFonts w:hint="eastAsia" w:ascii="宋体" w:hAnsi="宋体" w:eastAsia="宋体" w:cs="宋体"/>
                <w:sz w:val="24"/>
                <w:szCs w:val="24"/>
                <w:highlight w:val="none"/>
              </w:rPr>
              <w:drawing>
                <wp:inline distT="0" distB="0" distL="114300" distR="114300">
                  <wp:extent cx="2469515" cy="1430655"/>
                  <wp:effectExtent l="0" t="0" r="6985" b="17145"/>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6"/>
                          <a:stretch>
                            <a:fillRect/>
                          </a:stretch>
                        </pic:blipFill>
                        <pic:spPr>
                          <a:xfrm>
                            <a:off x="0" y="0"/>
                            <a:ext cx="2469515" cy="1430655"/>
                          </a:xfrm>
                          <a:prstGeom prst="rect">
                            <a:avLst/>
                          </a:prstGeom>
                          <a:noFill/>
                          <a:ln>
                            <a:noFill/>
                          </a:ln>
                        </pic:spPr>
                      </pic:pic>
                    </a:graphicData>
                  </a:graphic>
                </wp:inline>
              </w:drawing>
            </w:r>
          </w:p>
        </w:tc>
        <w:tc>
          <w:tcPr>
            <w:tcW w:w="46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99B4168">
            <w:pPr>
              <w:widowControl/>
              <w:spacing w:line="360" w:lineRule="auto"/>
              <w:jc w:val="center"/>
              <w:textAlignment w:val="center"/>
              <w:rPr>
                <w:rFonts w:hint="eastAsia" w:ascii="宋体" w:hAnsi="宋体" w:eastAsia="宋体" w:cs="宋体"/>
                <w:color w:val="000000"/>
                <w:kern w:val="0"/>
                <w:sz w:val="24"/>
                <w:szCs w:val="24"/>
                <w:highlight w:val="none"/>
                <w:lang w:bidi="ar"/>
              </w:rPr>
            </w:pPr>
            <w:r>
              <w:rPr>
                <w:rFonts w:hint="eastAsia" w:ascii="宋体" w:hAnsi="宋体" w:eastAsia="宋体" w:cs="宋体"/>
                <w:color w:val="000000"/>
                <w:kern w:val="0"/>
                <w:sz w:val="24"/>
                <w:szCs w:val="24"/>
                <w:highlight w:val="none"/>
                <w:lang w:val="en-US" w:eastAsia="zh-CN" w:bidi="ar"/>
              </w:rPr>
              <w:t>67</w:t>
            </w:r>
            <w:r>
              <w:rPr>
                <w:rFonts w:hint="eastAsia" w:ascii="宋体" w:hAnsi="宋体" w:eastAsia="宋体" w:cs="宋体"/>
                <w:color w:val="000000"/>
                <w:kern w:val="0"/>
                <w:sz w:val="24"/>
                <w:szCs w:val="24"/>
                <w:highlight w:val="none"/>
                <w:lang w:bidi="ar"/>
              </w:rPr>
              <w:t>00*2400*760</w:t>
            </w:r>
          </w:p>
        </w:tc>
        <w:tc>
          <w:tcPr>
            <w:tcW w:w="31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E226582">
            <w:pPr>
              <w:widowControl/>
              <w:spacing w:line="360" w:lineRule="auto"/>
              <w:jc w:val="center"/>
              <w:textAlignment w:val="center"/>
              <w:rPr>
                <w:rFonts w:hint="eastAsia" w:ascii="宋体" w:hAnsi="宋体" w:eastAsia="宋体" w:cs="宋体"/>
                <w:color w:val="000000"/>
                <w:kern w:val="0"/>
                <w:sz w:val="24"/>
                <w:szCs w:val="24"/>
                <w:highlight w:val="none"/>
                <w:lang w:bidi="ar"/>
              </w:rPr>
            </w:pPr>
            <w:r>
              <w:rPr>
                <w:rFonts w:hint="eastAsia" w:ascii="宋体" w:hAnsi="宋体" w:eastAsia="宋体" w:cs="宋体"/>
                <w:color w:val="000000"/>
                <w:kern w:val="0"/>
                <w:sz w:val="24"/>
                <w:szCs w:val="24"/>
                <w:highlight w:val="none"/>
                <w:lang w:val="en-US" w:eastAsia="zh-CN" w:bidi="ar"/>
              </w:rPr>
              <w:t>2</w:t>
            </w:r>
            <w:r>
              <w:rPr>
                <w:rFonts w:hint="eastAsia" w:ascii="宋体" w:hAnsi="宋体" w:eastAsia="宋体" w:cs="宋体"/>
                <w:color w:val="000000"/>
                <w:kern w:val="0"/>
                <w:sz w:val="24"/>
                <w:szCs w:val="24"/>
                <w:highlight w:val="none"/>
                <w:lang w:bidi="ar"/>
              </w:rPr>
              <w:t>张</w:t>
            </w:r>
          </w:p>
        </w:tc>
        <w:tc>
          <w:tcPr>
            <w:tcW w:w="1589" w:type="pct"/>
            <w:tcBorders>
              <w:top w:val="single" w:color="000000" w:sz="4" w:space="0"/>
              <w:left w:val="single" w:color="000000" w:sz="4" w:space="0"/>
              <w:bottom w:val="single" w:color="000000" w:sz="4" w:space="0"/>
              <w:right w:val="single" w:color="000000" w:sz="4" w:space="0"/>
            </w:tcBorders>
            <w:noWrap w:val="0"/>
            <w:vAlign w:val="center"/>
          </w:tcPr>
          <w:p w14:paraId="24D305CA">
            <w:pPr>
              <w:widowControl/>
              <w:numPr>
                <w:ilvl w:val="0"/>
                <w:numId w:val="2"/>
              </w:numPr>
              <w:spacing w:line="360" w:lineRule="auto"/>
              <w:jc w:val="left"/>
              <w:textAlignment w:val="center"/>
              <w:rPr>
                <w:rFonts w:hint="eastAsia" w:ascii="宋体" w:hAnsi="宋体" w:eastAsia="宋体" w:cs="宋体"/>
                <w:color w:val="000000"/>
                <w:kern w:val="0"/>
                <w:sz w:val="24"/>
                <w:szCs w:val="24"/>
                <w:highlight w:val="none"/>
                <w:lang w:bidi="ar"/>
              </w:rPr>
            </w:pPr>
            <w:r>
              <w:rPr>
                <w:rFonts w:hint="eastAsia" w:ascii="宋体" w:hAnsi="宋体" w:eastAsia="宋体" w:cs="宋体"/>
                <w:color w:val="000000"/>
                <w:kern w:val="0"/>
                <w:sz w:val="24"/>
                <w:szCs w:val="24"/>
                <w:highlight w:val="none"/>
                <w:lang w:val="en-US" w:eastAsia="zh-CN" w:bidi="ar"/>
              </w:rPr>
              <w:t>木皮：</w:t>
            </w:r>
            <w:r>
              <w:rPr>
                <w:rFonts w:hint="eastAsia" w:ascii="宋体" w:hAnsi="宋体" w:eastAsia="宋体" w:cs="宋体"/>
                <w:color w:val="000000"/>
                <w:kern w:val="0"/>
                <w:sz w:val="24"/>
                <w:szCs w:val="24"/>
                <w:highlight w:val="none"/>
                <w:lang w:bidi="ar"/>
              </w:rPr>
              <w:t>采用优质</w:t>
            </w:r>
            <w:r>
              <w:rPr>
                <w:rFonts w:hint="eastAsia" w:ascii="宋体" w:hAnsi="宋体" w:eastAsia="宋体" w:cs="宋体"/>
                <w:color w:val="000000"/>
                <w:kern w:val="0"/>
                <w:sz w:val="24"/>
                <w:szCs w:val="24"/>
                <w:highlight w:val="none"/>
                <w:lang w:val="en-US" w:eastAsia="zh-CN" w:bidi="ar"/>
              </w:rPr>
              <w:t>天然</w:t>
            </w:r>
            <w:r>
              <w:rPr>
                <w:rFonts w:hint="eastAsia" w:ascii="宋体" w:hAnsi="宋体" w:eastAsia="宋体" w:cs="宋体"/>
                <w:color w:val="000000"/>
                <w:kern w:val="0"/>
                <w:sz w:val="24"/>
                <w:szCs w:val="24"/>
                <w:highlight w:val="none"/>
                <w:lang w:bidi="ar"/>
              </w:rPr>
              <w:t>木皮，</w:t>
            </w:r>
            <w:r>
              <w:rPr>
                <w:rFonts w:hint="eastAsia" w:ascii="宋体" w:hAnsi="宋体" w:eastAsia="宋体" w:cs="宋体"/>
                <w:color w:val="000000"/>
                <w:kern w:val="0"/>
                <w:sz w:val="24"/>
                <w:szCs w:val="24"/>
                <w:highlight w:val="none"/>
                <w:lang w:val="en-US" w:eastAsia="zh-CN" w:bidi="ar"/>
              </w:rPr>
              <w:t>厚度大于等于0.6mm</w:t>
            </w:r>
          </w:p>
          <w:p w14:paraId="32394A51">
            <w:pPr>
              <w:widowControl/>
              <w:numPr>
                <w:ilvl w:val="0"/>
                <w:numId w:val="2"/>
              </w:numPr>
              <w:spacing w:line="360" w:lineRule="auto"/>
              <w:jc w:val="left"/>
              <w:textAlignment w:val="center"/>
              <w:rPr>
                <w:rFonts w:hint="eastAsia" w:ascii="宋体" w:hAnsi="宋体" w:eastAsia="宋体" w:cs="宋体"/>
                <w:color w:val="000000"/>
                <w:kern w:val="0"/>
                <w:sz w:val="24"/>
                <w:szCs w:val="24"/>
                <w:highlight w:val="none"/>
                <w:lang w:bidi="ar"/>
              </w:rPr>
            </w:pPr>
            <w:r>
              <w:rPr>
                <w:rFonts w:hint="eastAsia" w:ascii="宋体" w:hAnsi="宋体" w:eastAsia="宋体" w:cs="宋体"/>
                <w:color w:val="000000"/>
                <w:kern w:val="0"/>
                <w:sz w:val="24"/>
                <w:szCs w:val="24"/>
                <w:highlight w:val="none"/>
                <w:lang w:val="en-US" w:eastAsia="zh-CN" w:bidi="ar"/>
              </w:rPr>
              <w:t>基材：</w:t>
            </w:r>
            <w:r>
              <w:rPr>
                <w:rFonts w:hint="eastAsia" w:ascii="宋体" w:hAnsi="宋体" w:eastAsia="宋体" w:cs="宋体"/>
                <w:color w:val="000000"/>
                <w:kern w:val="0"/>
                <w:sz w:val="24"/>
                <w:szCs w:val="24"/>
                <w:highlight w:val="none"/>
                <w:lang w:bidi="ar"/>
              </w:rPr>
              <w:t>采用优质品牌</w:t>
            </w:r>
            <w:r>
              <w:rPr>
                <w:rFonts w:hint="eastAsia" w:ascii="宋体" w:hAnsi="宋体" w:eastAsia="宋体" w:cs="宋体"/>
                <w:color w:val="000000"/>
                <w:kern w:val="0"/>
                <w:sz w:val="24"/>
                <w:szCs w:val="24"/>
                <w:highlight w:val="none"/>
                <w:lang w:val="en-US" w:eastAsia="zh-CN" w:bidi="ar"/>
              </w:rPr>
              <w:t>ENF级</w:t>
            </w:r>
            <w:r>
              <w:rPr>
                <w:rFonts w:hint="eastAsia" w:ascii="宋体" w:hAnsi="宋体" w:eastAsia="宋体" w:cs="宋体"/>
                <w:color w:val="000000"/>
                <w:kern w:val="0"/>
                <w:sz w:val="24"/>
                <w:szCs w:val="24"/>
                <w:highlight w:val="none"/>
                <w:lang w:bidi="ar"/>
              </w:rPr>
              <w:t>中密度纤维板，符合GB/T 11718-2021、GB18580-20</w:t>
            </w:r>
            <w:r>
              <w:rPr>
                <w:rFonts w:hint="eastAsia" w:ascii="宋体" w:hAnsi="宋体" w:eastAsia="宋体" w:cs="宋体"/>
                <w:color w:val="000000"/>
                <w:kern w:val="0"/>
                <w:sz w:val="24"/>
                <w:szCs w:val="24"/>
                <w:highlight w:val="none"/>
                <w:lang w:val="en-US" w:eastAsia="zh-CN" w:bidi="ar"/>
              </w:rPr>
              <w:t>25</w:t>
            </w:r>
            <w:r>
              <w:rPr>
                <w:rFonts w:hint="eastAsia" w:ascii="宋体" w:hAnsi="宋体" w:eastAsia="宋体" w:cs="宋体"/>
                <w:color w:val="000000"/>
                <w:kern w:val="0"/>
                <w:sz w:val="24"/>
                <w:szCs w:val="24"/>
                <w:highlight w:val="none"/>
                <w:lang w:bidi="ar"/>
              </w:rPr>
              <w:t>、GB/T39600-2021、GB/T35601-2024标准要求，总挥发性有机化合物（TVOC）含量未检出，甲醛释放量</w:t>
            </w:r>
            <w:r>
              <w:rPr>
                <w:rFonts w:hint="eastAsia" w:ascii="宋体" w:hAnsi="宋体" w:eastAsia="宋体" w:cs="宋体"/>
                <w:color w:val="000000"/>
                <w:kern w:val="0"/>
                <w:sz w:val="24"/>
                <w:szCs w:val="24"/>
                <w:highlight w:val="none"/>
                <w:lang w:val="en-US" w:eastAsia="zh-CN" w:bidi="ar"/>
              </w:rPr>
              <w:t>小于0.025mg/m³.</w:t>
            </w:r>
          </w:p>
          <w:p w14:paraId="6F649F09">
            <w:pPr>
              <w:widowControl/>
              <w:numPr>
                <w:ilvl w:val="0"/>
                <w:numId w:val="2"/>
              </w:numPr>
              <w:spacing w:line="360" w:lineRule="auto"/>
              <w:jc w:val="left"/>
              <w:textAlignment w:val="center"/>
              <w:rPr>
                <w:rFonts w:hint="eastAsia" w:ascii="宋体" w:hAnsi="宋体" w:eastAsia="宋体" w:cs="宋体"/>
                <w:color w:val="000000"/>
                <w:kern w:val="0"/>
                <w:sz w:val="24"/>
                <w:szCs w:val="24"/>
                <w:highlight w:val="none"/>
                <w:lang w:bidi="ar"/>
              </w:rPr>
            </w:pPr>
            <w:r>
              <w:rPr>
                <w:rFonts w:hint="eastAsia" w:ascii="宋体" w:hAnsi="宋体" w:eastAsia="宋体" w:cs="宋体"/>
                <w:color w:val="000000"/>
                <w:kern w:val="0"/>
                <w:sz w:val="24"/>
                <w:szCs w:val="24"/>
                <w:highlight w:val="none"/>
                <w:lang w:val="en-US" w:eastAsia="zh-CN" w:bidi="ar"/>
              </w:rPr>
              <w:t>油漆：选用优质水性面漆、底漆：</w:t>
            </w:r>
            <w:r>
              <w:rPr>
                <w:rFonts w:hint="eastAsia" w:ascii="宋体" w:hAnsi="宋体" w:eastAsia="宋体" w:cs="宋体"/>
                <w:color w:val="000000"/>
                <w:kern w:val="0"/>
                <w:sz w:val="24"/>
                <w:szCs w:val="24"/>
                <w:highlight w:val="none"/>
                <w:lang w:bidi="ar"/>
              </w:rPr>
              <w:t>符合</w:t>
            </w:r>
            <w:r>
              <w:rPr>
                <w:rFonts w:ascii="宋体" w:hAnsi="宋体" w:eastAsia="宋体" w:cs="宋体"/>
                <w:sz w:val="24"/>
                <w:szCs w:val="24"/>
                <w:highlight w:val="none"/>
              </w:rPr>
              <w:t>GB30981.2</w:t>
            </w:r>
            <w:r>
              <w:rPr>
                <w:rFonts w:hint="eastAsia" w:ascii="宋体" w:hAnsi="宋体" w:eastAsia="宋体" w:cs="宋体"/>
                <w:sz w:val="24"/>
                <w:szCs w:val="24"/>
                <w:highlight w:val="none"/>
                <w:lang w:val="en-US" w:eastAsia="zh-CN"/>
              </w:rPr>
              <w:t>-</w:t>
            </w:r>
            <w:r>
              <w:rPr>
                <w:rFonts w:ascii="宋体" w:hAnsi="宋体" w:eastAsia="宋体" w:cs="宋体"/>
                <w:sz w:val="24"/>
                <w:szCs w:val="24"/>
                <w:highlight w:val="none"/>
              </w:rPr>
              <w:t>2025</w:t>
            </w:r>
            <w:r>
              <w:rPr>
                <w:rFonts w:hint="eastAsia" w:ascii="宋体" w:hAnsi="宋体" w:eastAsia="宋体" w:cs="宋体"/>
                <w:color w:val="000000"/>
                <w:kern w:val="0"/>
                <w:sz w:val="24"/>
                <w:szCs w:val="24"/>
                <w:highlight w:val="none"/>
                <w:lang w:bidi="ar"/>
              </w:rPr>
              <w:t>、HJ2537-2014标准要求，VOC含量未检出，游离甲醛含量未检出，苯、甲苯、二甲苯、乙苯的总量未检出，卤代烃含量未检出，总铅（Pb）含量未检出。</w:t>
            </w:r>
          </w:p>
          <w:p w14:paraId="7CFFE918">
            <w:pPr>
              <w:widowControl/>
              <w:numPr>
                <w:ilvl w:val="0"/>
                <w:numId w:val="3"/>
              </w:numPr>
              <w:spacing w:line="360" w:lineRule="auto"/>
              <w:jc w:val="left"/>
              <w:textAlignment w:val="center"/>
              <w:rPr>
                <w:rFonts w:hint="eastAsia" w:ascii="宋体" w:hAnsi="宋体" w:eastAsia="宋体" w:cs="宋体"/>
                <w:color w:val="000000"/>
                <w:kern w:val="0"/>
                <w:sz w:val="24"/>
                <w:szCs w:val="24"/>
                <w:highlight w:val="none"/>
                <w:lang w:bidi="ar"/>
              </w:rPr>
            </w:pPr>
            <w:r>
              <w:rPr>
                <w:rFonts w:hint="eastAsia" w:ascii="宋体" w:hAnsi="宋体" w:eastAsia="宋体" w:cs="宋体"/>
                <w:color w:val="000000"/>
                <w:kern w:val="0"/>
                <w:sz w:val="24"/>
                <w:szCs w:val="24"/>
                <w:highlight w:val="none"/>
                <w:lang w:val="en-US" w:eastAsia="zh-CN" w:bidi="ar"/>
              </w:rPr>
              <w:t>胶粘剂：</w:t>
            </w:r>
            <w:r>
              <w:rPr>
                <w:rFonts w:hint="eastAsia" w:ascii="宋体" w:hAnsi="宋体" w:eastAsia="宋体" w:cs="宋体"/>
                <w:color w:val="000000"/>
                <w:kern w:val="0"/>
                <w:sz w:val="24"/>
                <w:szCs w:val="24"/>
                <w:highlight w:val="none"/>
                <w:lang w:bidi="ar"/>
              </w:rPr>
              <w:t>采用优质品牌白乳胶，符合GB18583-2008、GB33372-2020、HJ2541-2016标准要求，游离甲醛含量未检出，总挥发性有机物含量未检出。</w:t>
            </w:r>
          </w:p>
          <w:p w14:paraId="1EAA62D7">
            <w:pPr>
              <w:widowControl/>
              <w:numPr>
                <w:ilvl w:val="0"/>
                <w:numId w:val="3"/>
              </w:numPr>
              <w:spacing w:line="360" w:lineRule="auto"/>
              <w:jc w:val="left"/>
              <w:textAlignment w:val="center"/>
              <w:rPr>
                <w:rFonts w:hint="eastAsia" w:ascii="宋体" w:hAnsi="宋体" w:eastAsia="宋体" w:cs="宋体"/>
                <w:color w:val="000000"/>
                <w:kern w:val="0"/>
                <w:sz w:val="24"/>
                <w:szCs w:val="24"/>
                <w:highlight w:val="none"/>
                <w:lang w:bidi="ar"/>
              </w:rPr>
            </w:pPr>
            <w:r>
              <w:rPr>
                <w:rFonts w:hint="eastAsia" w:ascii="宋体" w:hAnsi="宋体" w:eastAsia="宋体" w:cs="宋体"/>
                <w:color w:val="000000"/>
                <w:kern w:val="0"/>
                <w:sz w:val="24"/>
                <w:szCs w:val="24"/>
                <w:highlight w:val="none"/>
                <w:lang w:val="en-US" w:eastAsia="zh-CN" w:bidi="ar"/>
              </w:rPr>
              <w:t>五金：选用优质五金配件，</w:t>
            </w:r>
            <w:r>
              <w:rPr>
                <w:rFonts w:hint="eastAsia" w:ascii="宋体" w:hAnsi="宋体" w:eastAsia="宋体" w:cs="宋体"/>
                <w:color w:val="000000"/>
                <w:kern w:val="0"/>
                <w:sz w:val="24"/>
                <w:szCs w:val="24"/>
                <w:highlight w:val="none"/>
                <w:lang w:bidi="ar"/>
              </w:rPr>
              <w:t>桌面含多媒体插座，箱体结构，要求具备升降视频功能</w:t>
            </w:r>
            <w:r>
              <w:rPr>
                <w:rFonts w:hint="eastAsia" w:ascii="宋体" w:hAnsi="宋体" w:eastAsia="宋体" w:cs="宋体"/>
                <w:color w:val="000000"/>
                <w:kern w:val="0"/>
                <w:sz w:val="24"/>
                <w:szCs w:val="24"/>
                <w:highlight w:val="none"/>
                <w:lang w:eastAsia="zh-CN" w:bidi="ar"/>
              </w:rPr>
              <w:t>。</w:t>
            </w:r>
          </w:p>
          <w:p w14:paraId="3D41BDB5">
            <w:pPr>
              <w:widowControl/>
              <w:numPr>
                <w:ilvl w:val="0"/>
                <w:numId w:val="0"/>
              </w:numPr>
              <w:spacing w:line="360" w:lineRule="auto"/>
              <w:jc w:val="left"/>
              <w:textAlignment w:val="center"/>
              <w:rPr>
                <w:rFonts w:hint="eastAsia" w:ascii="宋体" w:hAnsi="宋体" w:eastAsia="宋体" w:cs="宋体"/>
                <w:color w:val="000000"/>
                <w:kern w:val="0"/>
                <w:sz w:val="24"/>
                <w:szCs w:val="24"/>
                <w:highlight w:val="none"/>
                <w:lang w:val="en-US" w:eastAsia="zh-CN" w:bidi="ar"/>
              </w:rPr>
            </w:pPr>
            <w:r>
              <w:rPr>
                <w:rFonts w:hint="eastAsia" w:ascii="宋体" w:hAnsi="宋体" w:eastAsia="宋体" w:cs="宋体"/>
                <w:color w:val="000000"/>
                <w:kern w:val="0"/>
                <w:sz w:val="24"/>
                <w:szCs w:val="24"/>
                <w:highlight w:val="none"/>
                <w:lang w:val="en-US" w:eastAsia="zh-CN" w:bidi="ar"/>
              </w:rPr>
              <w:t>6，桌面需按照升降设备要求，开相对应尺寸孔洞。</w:t>
            </w:r>
          </w:p>
        </w:tc>
        <w:tc>
          <w:tcPr>
            <w:tcW w:w="320" w:type="pct"/>
            <w:tcBorders>
              <w:top w:val="single" w:color="000000" w:sz="4" w:space="0"/>
              <w:left w:val="single" w:color="000000" w:sz="4" w:space="0"/>
              <w:bottom w:val="single" w:color="000000" w:sz="4" w:space="0"/>
              <w:right w:val="single" w:color="000000" w:sz="4" w:space="0"/>
            </w:tcBorders>
            <w:noWrap w:val="0"/>
            <w:vAlign w:val="center"/>
          </w:tcPr>
          <w:p w14:paraId="10D40F36">
            <w:pPr>
              <w:keepNext w:val="0"/>
              <w:keepLines w:val="0"/>
              <w:widowControl/>
              <w:suppressLineNumbers w:val="0"/>
              <w:spacing w:line="360" w:lineRule="auto"/>
              <w:jc w:val="center"/>
              <w:textAlignment w:val="center"/>
              <w:rPr>
                <w:rFonts w:hint="eastAsia" w:ascii="宋体" w:hAnsi="宋体" w:eastAsia="宋体" w:cs="宋体"/>
                <w:color w:val="000000"/>
                <w:kern w:val="0"/>
                <w:sz w:val="24"/>
                <w:szCs w:val="24"/>
                <w:highlight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9600</w:t>
            </w:r>
          </w:p>
        </w:tc>
        <w:tc>
          <w:tcPr>
            <w:tcW w:w="424" w:type="pct"/>
            <w:tcBorders>
              <w:top w:val="single" w:color="000000" w:sz="4" w:space="0"/>
              <w:left w:val="single" w:color="000000" w:sz="4" w:space="0"/>
              <w:bottom w:val="single" w:color="000000" w:sz="4" w:space="0"/>
              <w:right w:val="single" w:color="000000" w:sz="4" w:space="0"/>
            </w:tcBorders>
            <w:noWrap w:val="0"/>
            <w:vAlign w:val="center"/>
          </w:tcPr>
          <w:p w14:paraId="4C848E95">
            <w:pPr>
              <w:keepNext w:val="0"/>
              <w:keepLines w:val="0"/>
              <w:widowControl/>
              <w:suppressLineNumbers w:val="0"/>
              <w:spacing w:line="360" w:lineRule="auto"/>
              <w:jc w:val="right"/>
              <w:textAlignment w:val="center"/>
              <w:rPr>
                <w:rFonts w:hint="eastAsia" w:ascii="宋体" w:hAnsi="宋体" w:eastAsia="宋体" w:cs="宋体"/>
                <w:color w:val="000000"/>
                <w:kern w:val="0"/>
                <w:sz w:val="24"/>
                <w:szCs w:val="24"/>
                <w:highlight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19200</w:t>
            </w:r>
          </w:p>
        </w:tc>
      </w:tr>
      <w:tr w14:paraId="70A5A1EE">
        <w:tblPrEx>
          <w:tblCellMar>
            <w:top w:w="15" w:type="dxa"/>
            <w:left w:w="108" w:type="dxa"/>
            <w:bottom w:w="15" w:type="dxa"/>
            <w:right w:w="108" w:type="dxa"/>
          </w:tblCellMar>
        </w:tblPrEx>
        <w:trPr>
          <w:trHeight w:val="1613" w:hRule="atLeast"/>
          <w:jc w:val="center"/>
        </w:trPr>
        <w:tc>
          <w:tcPr>
            <w:tcW w:w="156"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BAA03AC">
            <w:pPr>
              <w:widowControl/>
              <w:spacing w:line="360" w:lineRule="auto"/>
              <w:jc w:val="center"/>
              <w:textAlignment w:val="center"/>
              <w:rPr>
                <w:rFonts w:hint="eastAsia" w:ascii="宋体" w:hAnsi="宋体" w:eastAsia="宋体" w:cs="宋体"/>
                <w:color w:val="000000"/>
                <w:kern w:val="0"/>
                <w:sz w:val="24"/>
                <w:szCs w:val="24"/>
                <w:highlight w:val="none"/>
                <w:lang w:bidi="ar"/>
              </w:rPr>
            </w:pPr>
            <w:r>
              <w:rPr>
                <w:rFonts w:hint="eastAsia" w:ascii="宋体" w:hAnsi="宋体" w:eastAsia="宋体" w:cs="宋体"/>
                <w:color w:val="000000"/>
                <w:kern w:val="0"/>
                <w:sz w:val="24"/>
                <w:szCs w:val="24"/>
                <w:highlight w:val="none"/>
                <w:lang w:bidi="ar"/>
              </w:rPr>
              <w:t>2</w:t>
            </w:r>
          </w:p>
        </w:tc>
        <w:tc>
          <w:tcPr>
            <w:tcW w:w="21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538A6A8">
            <w:pPr>
              <w:widowControl/>
              <w:spacing w:line="360" w:lineRule="auto"/>
              <w:jc w:val="center"/>
              <w:textAlignment w:val="center"/>
              <w:rPr>
                <w:rFonts w:hint="eastAsia" w:ascii="宋体" w:hAnsi="宋体" w:eastAsia="宋体" w:cs="宋体"/>
                <w:color w:val="000000"/>
                <w:kern w:val="0"/>
                <w:sz w:val="24"/>
                <w:szCs w:val="24"/>
                <w:highlight w:val="none"/>
                <w:lang w:bidi="ar"/>
              </w:rPr>
            </w:pPr>
            <w:r>
              <w:rPr>
                <w:rFonts w:hint="eastAsia" w:ascii="宋体" w:hAnsi="宋体" w:eastAsia="宋体" w:cs="宋体"/>
                <w:color w:val="000000"/>
                <w:kern w:val="0"/>
                <w:sz w:val="24"/>
                <w:szCs w:val="24"/>
                <w:highlight w:val="none"/>
                <w:lang w:bidi="ar"/>
              </w:rPr>
              <w:t>视频会议室会议椅</w:t>
            </w:r>
          </w:p>
        </w:tc>
        <w:tc>
          <w:tcPr>
            <w:tcW w:w="151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D1D75CF">
            <w:pPr>
              <w:widowControl/>
              <w:spacing w:line="360" w:lineRule="auto"/>
              <w:jc w:val="center"/>
              <w:textAlignment w:val="center"/>
              <w:rPr>
                <w:rFonts w:hint="eastAsia" w:ascii="宋体" w:hAnsi="宋体" w:eastAsia="宋体" w:cs="宋体"/>
                <w:sz w:val="24"/>
                <w:szCs w:val="24"/>
                <w:highlight w:val="none"/>
              </w:rPr>
            </w:pPr>
            <w:r>
              <w:rPr>
                <w:rFonts w:hint="eastAsia" w:ascii="宋体" w:hAnsi="宋体" w:eastAsia="宋体" w:cs="宋体"/>
                <w:sz w:val="24"/>
                <w:szCs w:val="24"/>
                <w:highlight w:val="none"/>
              </w:rPr>
              <w:drawing>
                <wp:inline distT="0" distB="0" distL="114300" distR="114300">
                  <wp:extent cx="971550" cy="1362075"/>
                  <wp:effectExtent l="0" t="0" r="0" b="9525"/>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r:embed="rId7"/>
                          <a:stretch>
                            <a:fillRect/>
                          </a:stretch>
                        </pic:blipFill>
                        <pic:spPr>
                          <a:xfrm>
                            <a:off x="0" y="0"/>
                            <a:ext cx="971550" cy="1362075"/>
                          </a:xfrm>
                          <a:prstGeom prst="rect">
                            <a:avLst/>
                          </a:prstGeom>
                          <a:noFill/>
                          <a:ln>
                            <a:noFill/>
                          </a:ln>
                        </pic:spPr>
                      </pic:pic>
                    </a:graphicData>
                  </a:graphic>
                </wp:inline>
              </w:drawing>
            </w:r>
          </w:p>
        </w:tc>
        <w:tc>
          <w:tcPr>
            <w:tcW w:w="46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C7BCF22">
            <w:pPr>
              <w:widowControl/>
              <w:spacing w:line="360" w:lineRule="auto"/>
              <w:jc w:val="center"/>
              <w:textAlignment w:val="center"/>
              <w:rPr>
                <w:rFonts w:hint="eastAsia" w:ascii="宋体" w:hAnsi="宋体" w:eastAsia="宋体" w:cs="宋体"/>
                <w:color w:val="000000"/>
                <w:kern w:val="0"/>
                <w:sz w:val="24"/>
                <w:szCs w:val="24"/>
                <w:highlight w:val="none"/>
                <w:lang w:bidi="ar"/>
              </w:rPr>
            </w:pPr>
            <w:r>
              <w:rPr>
                <w:rFonts w:hint="eastAsia" w:ascii="宋体" w:hAnsi="宋体" w:eastAsia="宋体" w:cs="宋体"/>
                <w:color w:val="000000"/>
                <w:kern w:val="0"/>
                <w:sz w:val="24"/>
                <w:szCs w:val="24"/>
                <w:highlight w:val="none"/>
                <w:lang w:bidi="ar"/>
              </w:rPr>
              <w:t>标准</w:t>
            </w:r>
          </w:p>
        </w:tc>
        <w:tc>
          <w:tcPr>
            <w:tcW w:w="31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3424723">
            <w:pPr>
              <w:widowControl/>
              <w:spacing w:line="360" w:lineRule="auto"/>
              <w:jc w:val="center"/>
              <w:textAlignment w:val="center"/>
              <w:rPr>
                <w:rFonts w:hint="eastAsia" w:ascii="宋体" w:hAnsi="宋体" w:eastAsia="宋体" w:cs="宋体"/>
                <w:color w:val="000000"/>
                <w:kern w:val="0"/>
                <w:sz w:val="24"/>
                <w:szCs w:val="24"/>
                <w:highlight w:val="none"/>
                <w:lang w:bidi="ar"/>
              </w:rPr>
            </w:pPr>
            <w:r>
              <w:rPr>
                <w:rFonts w:hint="eastAsia" w:ascii="宋体" w:hAnsi="宋体" w:eastAsia="宋体" w:cs="宋体"/>
                <w:color w:val="000000"/>
                <w:kern w:val="0"/>
                <w:sz w:val="24"/>
                <w:szCs w:val="24"/>
                <w:highlight w:val="none"/>
                <w:lang w:bidi="ar"/>
              </w:rPr>
              <w:t>28把</w:t>
            </w:r>
          </w:p>
        </w:tc>
        <w:tc>
          <w:tcPr>
            <w:tcW w:w="1589" w:type="pct"/>
            <w:tcBorders>
              <w:top w:val="single" w:color="000000" w:sz="4" w:space="0"/>
              <w:left w:val="single" w:color="000000" w:sz="4" w:space="0"/>
              <w:bottom w:val="single" w:color="000000" w:sz="4" w:space="0"/>
              <w:right w:val="single" w:color="000000" w:sz="4" w:space="0"/>
            </w:tcBorders>
            <w:noWrap w:val="0"/>
            <w:vAlign w:val="center"/>
          </w:tcPr>
          <w:p w14:paraId="4DC5239A">
            <w:pPr>
              <w:widowControl/>
              <w:numPr>
                <w:ilvl w:val="0"/>
                <w:numId w:val="4"/>
              </w:numPr>
              <w:spacing w:line="360" w:lineRule="auto"/>
              <w:jc w:val="left"/>
              <w:textAlignment w:val="center"/>
              <w:rPr>
                <w:rFonts w:hint="eastAsia" w:ascii="宋体" w:hAnsi="宋体" w:eastAsia="宋体" w:cs="宋体"/>
                <w:color w:val="000000"/>
                <w:kern w:val="0"/>
                <w:sz w:val="24"/>
                <w:szCs w:val="24"/>
                <w:highlight w:val="none"/>
                <w:lang w:val="en-US" w:eastAsia="zh-CN" w:bidi="ar"/>
              </w:rPr>
            </w:pPr>
            <w:r>
              <w:rPr>
                <w:rFonts w:hint="eastAsia" w:ascii="宋体" w:hAnsi="宋体" w:eastAsia="宋体" w:cs="宋体"/>
                <w:color w:val="000000"/>
                <w:kern w:val="0"/>
                <w:sz w:val="24"/>
                <w:szCs w:val="24"/>
                <w:highlight w:val="none"/>
                <w:lang w:val="en-US" w:eastAsia="zh-CN" w:bidi="ar"/>
              </w:rPr>
              <w:t>椅架：采用优质橡胶木，符合GB/T3324-2024、GB/T29894-2013、GB/T1927.5-2021、GB/T1927.4-2021标准要求，木材外观要求检测应无贯通裂缝、无虫蛀、无腐朽材、无树脂囊、无节子，含水率8%-13%，甲醛释放量分级要求达到ENF级。</w:t>
            </w:r>
          </w:p>
          <w:p w14:paraId="785EC97B">
            <w:pPr>
              <w:widowControl/>
              <w:numPr>
                <w:ilvl w:val="0"/>
                <w:numId w:val="4"/>
              </w:numPr>
              <w:spacing w:line="360" w:lineRule="auto"/>
              <w:jc w:val="left"/>
              <w:textAlignment w:val="center"/>
              <w:rPr>
                <w:rFonts w:hint="eastAsia" w:ascii="宋体" w:hAnsi="宋体" w:eastAsia="宋体" w:cs="宋体"/>
                <w:color w:val="000000"/>
                <w:kern w:val="0"/>
                <w:sz w:val="24"/>
                <w:szCs w:val="24"/>
                <w:highlight w:val="none"/>
                <w:lang w:val="en-US" w:eastAsia="zh-CN" w:bidi="ar"/>
              </w:rPr>
            </w:pPr>
            <w:r>
              <w:rPr>
                <w:rFonts w:hint="eastAsia" w:ascii="宋体" w:hAnsi="宋体" w:eastAsia="宋体" w:cs="宋体"/>
                <w:color w:val="000000"/>
                <w:kern w:val="0"/>
                <w:sz w:val="24"/>
                <w:szCs w:val="24"/>
                <w:highlight w:val="none"/>
                <w:lang w:val="en-US" w:eastAsia="zh-CN" w:bidi="ar"/>
              </w:rPr>
              <w:t>西皮：采用优质品牌西皮，符合GB/T16799-2018、QB/T2709-2005、GB 17927-2024、QB/T4198-2011标准要求，厚度大于1.2mm，理化性能检测摩擦色牢度-干擦500次≥5级，摩擦色牢度-湿擦250次≥5级，摩擦色牢度-碱性汗液80次≥5级，撕裂力≥45N，阻燃性符合。</w:t>
            </w:r>
          </w:p>
          <w:p w14:paraId="798AA198">
            <w:pPr>
              <w:widowControl/>
              <w:numPr>
                <w:ilvl w:val="0"/>
                <w:numId w:val="4"/>
              </w:numPr>
              <w:spacing w:line="360" w:lineRule="auto"/>
              <w:jc w:val="left"/>
              <w:textAlignment w:val="center"/>
              <w:rPr>
                <w:rFonts w:hint="eastAsia" w:ascii="宋体" w:hAnsi="宋体" w:eastAsia="宋体" w:cs="宋体"/>
                <w:color w:val="000000"/>
                <w:kern w:val="0"/>
                <w:sz w:val="24"/>
                <w:szCs w:val="24"/>
                <w:highlight w:val="none"/>
                <w:lang w:val="en-US" w:eastAsia="zh-CN" w:bidi="ar"/>
              </w:rPr>
            </w:pPr>
            <w:r>
              <w:rPr>
                <w:rFonts w:hint="eastAsia" w:ascii="宋体" w:hAnsi="宋体" w:eastAsia="宋体" w:cs="宋体"/>
                <w:color w:val="000000"/>
                <w:kern w:val="0"/>
                <w:sz w:val="24"/>
                <w:szCs w:val="24"/>
                <w:highlight w:val="none"/>
                <w:lang w:val="en-US" w:eastAsia="zh-CN" w:bidi="ar"/>
              </w:rPr>
              <w:t>海绵：采用优质品牌高弹阻燃海绵，符合GB/T10802-2023、GB/T6343-2009、GB 17927-2024、QB/T2280-2016标准要求，回弹率≥50%，75%压缩永久变形≤2%，气味等级≥10级，拉伸强度≥130KPa，密度≥43kg/m³，甲醛释放量未检出，阻燃性符合。</w:t>
            </w:r>
          </w:p>
          <w:p w14:paraId="19C5E825">
            <w:pPr>
              <w:widowControl/>
              <w:numPr>
                <w:ilvl w:val="0"/>
                <w:numId w:val="2"/>
              </w:numPr>
              <w:spacing w:line="360" w:lineRule="auto"/>
              <w:jc w:val="left"/>
              <w:textAlignment w:val="center"/>
              <w:rPr>
                <w:rFonts w:hint="eastAsia" w:ascii="宋体" w:hAnsi="宋体" w:eastAsia="宋体" w:cs="宋体"/>
                <w:color w:val="000000"/>
                <w:kern w:val="0"/>
                <w:sz w:val="24"/>
                <w:szCs w:val="24"/>
                <w:highlight w:val="none"/>
                <w:lang w:bidi="ar"/>
              </w:rPr>
            </w:pPr>
            <w:r>
              <w:rPr>
                <w:rFonts w:hint="eastAsia" w:ascii="宋体" w:hAnsi="宋体" w:eastAsia="宋体" w:cs="宋体"/>
                <w:color w:val="000000"/>
                <w:kern w:val="0"/>
                <w:sz w:val="24"/>
                <w:szCs w:val="24"/>
                <w:highlight w:val="none"/>
                <w:lang w:val="en-US" w:eastAsia="zh-CN" w:bidi="ar"/>
              </w:rPr>
              <w:t>油漆：选用优质水性面漆、底漆：</w:t>
            </w:r>
            <w:r>
              <w:rPr>
                <w:rFonts w:hint="eastAsia" w:ascii="宋体" w:hAnsi="宋体" w:eastAsia="宋体" w:cs="宋体"/>
                <w:color w:val="000000"/>
                <w:kern w:val="0"/>
                <w:sz w:val="24"/>
                <w:szCs w:val="24"/>
                <w:highlight w:val="none"/>
                <w:lang w:bidi="ar"/>
              </w:rPr>
              <w:t>符合</w:t>
            </w:r>
            <w:r>
              <w:rPr>
                <w:rFonts w:ascii="宋体" w:hAnsi="宋体" w:eastAsia="宋体" w:cs="宋体"/>
                <w:sz w:val="24"/>
                <w:szCs w:val="24"/>
                <w:highlight w:val="none"/>
              </w:rPr>
              <w:t>GB30981.2</w:t>
            </w:r>
            <w:r>
              <w:rPr>
                <w:rFonts w:hint="eastAsia" w:ascii="宋体" w:hAnsi="宋体" w:eastAsia="宋体" w:cs="宋体"/>
                <w:sz w:val="24"/>
                <w:szCs w:val="24"/>
                <w:highlight w:val="none"/>
                <w:lang w:val="en-US" w:eastAsia="zh-CN"/>
              </w:rPr>
              <w:t>-</w:t>
            </w:r>
            <w:r>
              <w:rPr>
                <w:rFonts w:ascii="宋体" w:hAnsi="宋体" w:eastAsia="宋体" w:cs="宋体"/>
                <w:sz w:val="24"/>
                <w:szCs w:val="24"/>
                <w:highlight w:val="none"/>
              </w:rPr>
              <w:t>2025</w:t>
            </w:r>
            <w:r>
              <w:rPr>
                <w:rFonts w:hint="eastAsia" w:ascii="宋体" w:hAnsi="宋体" w:eastAsia="宋体" w:cs="宋体"/>
                <w:color w:val="000000"/>
                <w:kern w:val="0"/>
                <w:sz w:val="24"/>
                <w:szCs w:val="24"/>
                <w:highlight w:val="none"/>
                <w:lang w:bidi="ar"/>
              </w:rPr>
              <w:t>、HJ2537-2014标准要求，VOC含量未检出，游离甲醛含量未检出，苯、甲苯、二甲苯、乙苯的总量未检出，卤代烃含量未检出，总铅（Pb）含量未检出。</w:t>
            </w:r>
          </w:p>
          <w:p w14:paraId="566118E9">
            <w:pPr>
              <w:widowControl/>
              <w:numPr>
                <w:ilvl w:val="0"/>
                <w:numId w:val="0"/>
              </w:numPr>
              <w:spacing w:line="360" w:lineRule="auto"/>
              <w:jc w:val="left"/>
              <w:textAlignment w:val="center"/>
              <w:rPr>
                <w:rFonts w:hint="eastAsia" w:ascii="宋体" w:hAnsi="宋体" w:eastAsia="宋体" w:cs="宋体"/>
                <w:color w:val="000000"/>
                <w:kern w:val="0"/>
                <w:sz w:val="24"/>
                <w:szCs w:val="24"/>
                <w:highlight w:val="none"/>
                <w:lang w:val="en-US" w:eastAsia="zh-CN" w:bidi="ar"/>
              </w:rPr>
            </w:pPr>
          </w:p>
        </w:tc>
        <w:tc>
          <w:tcPr>
            <w:tcW w:w="320" w:type="pct"/>
            <w:tcBorders>
              <w:top w:val="single" w:color="000000" w:sz="4" w:space="0"/>
              <w:left w:val="single" w:color="000000" w:sz="4" w:space="0"/>
              <w:bottom w:val="single" w:color="000000" w:sz="4" w:space="0"/>
              <w:right w:val="single" w:color="000000" w:sz="4" w:space="0"/>
            </w:tcBorders>
            <w:noWrap w:val="0"/>
            <w:vAlign w:val="center"/>
          </w:tcPr>
          <w:p w14:paraId="1EDA6FC2">
            <w:pPr>
              <w:keepNext w:val="0"/>
              <w:keepLines w:val="0"/>
              <w:widowControl/>
              <w:suppressLineNumbers w:val="0"/>
              <w:spacing w:line="360" w:lineRule="auto"/>
              <w:jc w:val="center"/>
              <w:textAlignment w:val="center"/>
              <w:rPr>
                <w:rFonts w:hint="eastAsia" w:ascii="宋体" w:hAnsi="宋体" w:eastAsia="宋体" w:cs="宋体"/>
                <w:color w:val="000000"/>
                <w:kern w:val="0"/>
                <w:sz w:val="24"/>
                <w:szCs w:val="24"/>
                <w:highlight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950</w:t>
            </w:r>
          </w:p>
        </w:tc>
        <w:tc>
          <w:tcPr>
            <w:tcW w:w="424" w:type="pct"/>
            <w:tcBorders>
              <w:top w:val="single" w:color="000000" w:sz="4" w:space="0"/>
              <w:left w:val="single" w:color="000000" w:sz="4" w:space="0"/>
              <w:bottom w:val="single" w:color="000000" w:sz="4" w:space="0"/>
              <w:right w:val="single" w:color="000000" w:sz="4" w:space="0"/>
            </w:tcBorders>
            <w:noWrap w:val="0"/>
            <w:vAlign w:val="center"/>
          </w:tcPr>
          <w:p w14:paraId="1AC6CA33">
            <w:pPr>
              <w:keepNext w:val="0"/>
              <w:keepLines w:val="0"/>
              <w:widowControl/>
              <w:suppressLineNumbers w:val="0"/>
              <w:spacing w:line="360" w:lineRule="auto"/>
              <w:jc w:val="right"/>
              <w:textAlignment w:val="center"/>
              <w:rPr>
                <w:rFonts w:hint="eastAsia" w:ascii="宋体" w:hAnsi="宋体" w:eastAsia="宋体" w:cs="宋体"/>
                <w:color w:val="000000"/>
                <w:kern w:val="0"/>
                <w:sz w:val="24"/>
                <w:szCs w:val="24"/>
                <w:highlight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26600</w:t>
            </w:r>
          </w:p>
        </w:tc>
      </w:tr>
      <w:tr w14:paraId="2C5ED2AA">
        <w:tblPrEx>
          <w:tblCellMar>
            <w:top w:w="15" w:type="dxa"/>
            <w:left w:w="108" w:type="dxa"/>
            <w:bottom w:w="15" w:type="dxa"/>
            <w:right w:w="108" w:type="dxa"/>
          </w:tblCellMar>
        </w:tblPrEx>
        <w:trPr>
          <w:trHeight w:val="55" w:hRule="atLeast"/>
          <w:jc w:val="center"/>
        </w:trPr>
        <w:tc>
          <w:tcPr>
            <w:tcW w:w="156"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3C8919A">
            <w:pPr>
              <w:widowControl/>
              <w:spacing w:line="360" w:lineRule="auto"/>
              <w:jc w:val="center"/>
              <w:textAlignment w:val="center"/>
              <w:rPr>
                <w:rFonts w:hint="eastAsia" w:ascii="宋体" w:hAnsi="宋体" w:eastAsia="宋体" w:cs="宋体"/>
                <w:color w:val="000000"/>
                <w:kern w:val="0"/>
                <w:sz w:val="24"/>
                <w:szCs w:val="24"/>
                <w:highlight w:val="none"/>
                <w:lang w:bidi="ar"/>
              </w:rPr>
            </w:pPr>
            <w:r>
              <w:rPr>
                <w:rFonts w:hint="eastAsia" w:ascii="宋体" w:hAnsi="宋体" w:eastAsia="宋体" w:cs="宋体"/>
                <w:color w:val="000000"/>
                <w:kern w:val="0"/>
                <w:sz w:val="24"/>
                <w:szCs w:val="24"/>
                <w:highlight w:val="none"/>
                <w:lang w:bidi="ar"/>
              </w:rPr>
              <w:t>3</w:t>
            </w:r>
          </w:p>
        </w:tc>
        <w:tc>
          <w:tcPr>
            <w:tcW w:w="21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317941E">
            <w:pPr>
              <w:widowControl/>
              <w:spacing w:line="360" w:lineRule="auto"/>
              <w:jc w:val="center"/>
              <w:textAlignment w:val="center"/>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写字板座椅</w:t>
            </w:r>
          </w:p>
        </w:tc>
        <w:tc>
          <w:tcPr>
            <w:tcW w:w="151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EAA5628">
            <w:pPr>
              <w:widowControl/>
              <w:spacing w:line="360" w:lineRule="auto"/>
              <w:jc w:val="center"/>
              <w:textAlignment w:val="center"/>
              <w:rPr>
                <w:rFonts w:hint="eastAsia" w:ascii="宋体" w:hAnsi="宋体" w:eastAsia="宋体" w:cs="宋体"/>
                <w:color w:val="000000"/>
                <w:sz w:val="24"/>
                <w:szCs w:val="24"/>
                <w:highlight w:val="none"/>
              </w:rPr>
            </w:pPr>
            <w:r>
              <w:rPr>
                <w:rFonts w:hint="eastAsia" w:ascii="宋体" w:hAnsi="宋体" w:eastAsia="宋体" w:cs="宋体"/>
                <w:sz w:val="24"/>
                <w:szCs w:val="24"/>
                <w:highlight w:val="none"/>
              </w:rPr>
              <w:drawing>
                <wp:inline distT="0" distB="0" distL="114300" distR="114300">
                  <wp:extent cx="1000125" cy="1352550"/>
                  <wp:effectExtent l="0" t="0" r="9525" b="0"/>
                  <wp:docPr id="4"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3"/>
                          <pic:cNvPicPr>
                            <a:picLocks noChangeAspect="1"/>
                          </pic:cNvPicPr>
                        </pic:nvPicPr>
                        <pic:blipFill>
                          <a:blip r:embed="rId8"/>
                          <a:stretch>
                            <a:fillRect/>
                          </a:stretch>
                        </pic:blipFill>
                        <pic:spPr>
                          <a:xfrm>
                            <a:off x="0" y="0"/>
                            <a:ext cx="1000125" cy="1352550"/>
                          </a:xfrm>
                          <a:prstGeom prst="rect">
                            <a:avLst/>
                          </a:prstGeom>
                          <a:noFill/>
                          <a:ln>
                            <a:noFill/>
                          </a:ln>
                        </pic:spPr>
                      </pic:pic>
                    </a:graphicData>
                  </a:graphic>
                </wp:inline>
              </w:drawing>
            </w:r>
          </w:p>
        </w:tc>
        <w:tc>
          <w:tcPr>
            <w:tcW w:w="46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EDF4F3D">
            <w:pPr>
              <w:widowControl/>
              <w:spacing w:line="360" w:lineRule="auto"/>
              <w:textAlignment w:val="center"/>
              <w:rPr>
                <w:rFonts w:hint="eastAsia" w:ascii="宋体" w:hAnsi="宋体" w:eastAsia="宋体" w:cs="宋体"/>
                <w:color w:val="000000"/>
                <w:kern w:val="0"/>
                <w:sz w:val="24"/>
                <w:szCs w:val="24"/>
                <w:highlight w:val="none"/>
                <w:lang w:bidi="ar"/>
              </w:rPr>
            </w:pPr>
            <w:r>
              <w:rPr>
                <w:rFonts w:hint="eastAsia" w:ascii="宋体" w:hAnsi="宋体" w:eastAsia="宋体" w:cs="宋体"/>
                <w:color w:val="000000"/>
                <w:kern w:val="0"/>
                <w:sz w:val="24"/>
                <w:szCs w:val="24"/>
                <w:highlight w:val="none"/>
                <w:lang w:bidi="ar"/>
              </w:rPr>
              <w:t>610*490*870</w:t>
            </w:r>
          </w:p>
        </w:tc>
        <w:tc>
          <w:tcPr>
            <w:tcW w:w="31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71FBF01">
            <w:pPr>
              <w:widowControl/>
              <w:spacing w:line="360" w:lineRule="auto"/>
              <w:jc w:val="center"/>
              <w:textAlignment w:val="center"/>
              <w:rPr>
                <w:rFonts w:hint="eastAsia" w:ascii="宋体" w:hAnsi="宋体" w:eastAsia="宋体" w:cs="宋体"/>
                <w:color w:val="000000"/>
                <w:kern w:val="0"/>
                <w:sz w:val="24"/>
                <w:szCs w:val="24"/>
                <w:highlight w:val="none"/>
                <w:lang w:bidi="ar"/>
              </w:rPr>
            </w:pPr>
            <w:r>
              <w:rPr>
                <w:rFonts w:hint="eastAsia" w:ascii="宋体" w:hAnsi="宋体" w:eastAsia="宋体" w:cs="宋体"/>
                <w:color w:val="000000"/>
                <w:kern w:val="0"/>
                <w:sz w:val="24"/>
                <w:szCs w:val="24"/>
                <w:highlight w:val="none"/>
                <w:lang w:bidi="ar"/>
              </w:rPr>
              <w:t>40把</w:t>
            </w:r>
          </w:p>
        </w:tc>
        <w:tc>
          <w:tcPr>
            <w:tcW w:w="1589" w:type="pct"/>
            <w:tcBorders>
              <w:top w:val="single" w:color="000000" w:sz="4" w:space="0"/>
              <w:left w:val="single" w:color="000000" w:sz="4" w:space="0"/>
              <w:bottom w:val="single" w:color="000000" w:sz="4" w:space="0"/>
              <w:right w:val="single" w:color="000000" w:sz="4" w:space="0"/>
            </w:tcBorders>
            <w:noWrap w:val="0"/>
            <w:vAlign w:val="center"/>
          </w:tcPr>
          <w:p w14:paraId="2332932A">
            <w:pPr>
              <w:widowControl/>
              <w:numPr>
                <w:ilvl w:val="0"/>
                <w:numId w:val="5"/>
              </w:numPr>
              <w:spacing w:line="360" w:lineRule="auto"/>
              <w:jc w:val="left"/>
              <w:textAlignment w:val="center"/>
              <w:rPr>
                <w:rFonts w:hint="eastAsia" w:ascii="宋体" w:hAnsi="宋体" w:eastAsia="宋体" w:cs="宋体"/>
                <w:color w:val="000000"/>
                <w:kern w:val="0"/>
                <w:sz w:val="24"/>
                <w:szCs w:val="24"/>
                <w:highlight w:val="none"/>
                <w:lang w:bidi="ar"/>
              </w:rPr>
            </w:pPr>
            <w:r>
              <w:rPr>
                <w:rFonts w:hint="eastAsia" w:ascii="宋体" w:hAnsi="宋体" w:eastAsia="宋体" w:cs="宋体"/>
                <w:color w:val="000000"/>
                <w:kern w:val="0"/>
                <w:sz w:val="24"/>
                <w:szCs w:val="24"/>
                <w:highlight w:val="none"/>
                <w:lang w:val="en-US" w:eastAsia="zh-CN" w:bidi="ar"/>
              </w:rPr>
              <w:t>网布：</w:t>
            </w:r>
            <w:r>
              <w:rPr>
                <w:rFonts w:hint="eastAsia" w:ascii="宋体" w:hAnsi="宋体" w:eastAsia="宋体" w:cs="宋体"/>
                <w:color w:val="000000"/>
                <w:kern w:val="0"/>
                <w:sz w:val="24"/>
                <w:szCs w:val="24"/>
                <w:highlight w:val="none"/>
                <w:lang w:bidi="ar"/>
              </w:rPr>
              <w:t>采用优质品牌网布，符合GB18401-2010</w:t>
            </w:r>
            <w:r>
              <w:rPr>
                <w:rFonts w:hint="eastAsia" w:ascii="宋体" w:hAnsi="宋体" w:eastAsia="宋体" w:cs="宋体"/>
                <w:color w:val="000000"/>
                <w:kern w:val="0"/>
                <w:sz w:val="24"/>
                <w:szCs w:val="24"/>
                <w:highlight w:val="none"/>
                <w:lang w:eastAsia="zh-CN" w:bidi="ar"/>
              </w:rPr>
              <w:t>、</w:t>
            </w:r>
            <w:r>
              <w:rPr>
                <w:rFonts w:hint="eastAsia" w:ascii="宋体" w:hAnsi="宋体" w:eastAsia="宋体" w:cs="宋体"/>
                <w:color w:val="000000"/>
                <w:kern w:val="0"/>
                <w:sz w:val="24"/>
                <w:szCs w:val="24"/>
                <w:highlight w:val="none"/>
                <w:lang w:val="en-US" w:eastAsia="zh-CN" w:bidi="ar"/>
              </w:rPr>
              <w:t>QB/T2280-2016</w:t>
            </w:r>
            <w:r>
              <w:rPr>
                <w:rFonts w:hint="eastAsia" w:ascii="宋体" w:hAnsi="宋体" w:eastAsia="宋体" w:cs="宋体"/>
                <w:color w:val="000000"/>
                <w:kern w:val="0"/>
                <w:sz w:val="24"/>
                <w:szCs w:val="24"/>
                <w:highlight w:val="none"/>
                <w:lang w:bidi="ar"/>
              </w:rPr>
              <w:t>标准要求</w:t>
            </w:r>
            <w:r>
              <w:rPr>
                <w:rFonts w:hint="eastAsia" w:ascii="宋体" w:hAnsi="宋体" w:eastAsia="宋体" w:cs="宋体"/>
                <w:color w:val="000000"/>
                <w:kern w:val="0"/>
                <w:sz w:val="24"/>
                <w:szCs w:val="24"/>
                <w:highlight w:val="none"/>
                <w:lang w:val="en-US" w:eastAsia="zh-CN" w:bidi="ar"/>
              </w:rPr>
              <w:t>,耐酸、耐碱、耐干擦大于等于4级、无异味</w:t>
            </w:r>
            <w:r>
              <w:rPr>
                <w:rFonts w:hint="eastAsia" w:ascii="宋体" w:hAnsi="宋体" w:eastAsia="宋体" w:cs="宋体"/>
                <w:color w:val="000000"/>
                <w:kern w:val="0"/>
                <w:sz w:val="24"/>
                <w:szCs w:val="24"/>
                <w:highlight w:val="none"/>
                <w:lang w:bidi="ar"/>
              </w:rPr>
              <w:t>。</w:t>
            </w:r>
          </w:p>
          <w:p w14:paraId="613A5417">
            <w:pPr>
              <w:widowControl/>
              <w:numPr>
                <w:ilvl w:val="0"/>
                <w:numId w:val="0"/>
              </w:numPr>
              <w:spacing w:line="360" w:lineRule="auto"/>
              <w:jc w:val="left"/>
              <w:textAlignment w:val="center"/>
              <w:rPr>
                <w:rFonts w:hint="eastAsia" w:ascii="宋体" w:hAnsi="宋体" w:eastAsia="宋体" w:cs="宋体"/>
                <w:color w:val="000000"/>
                <w:kern w:val="0"/>
                <w:sz w:val="24"/>
                <w:szCs w:val="24"/>
                <w:highlight w:val="none"/>
                <w:lang w:val="en-US" w:eastAsia="zh-CN" w:bidi="ar"/>
              </w:rPr>
            </w:pPr>
            <w:r>
              <w:rPr>
                <w:rFonts w:hint="eastAsia" w:ascii="宋体" w:hAnsi="宋体" w:eastAsia="宋体" w:cs="宋体"/>
                <w:color w:val="000000"/>
                <w:kern w:val="0"/>
                <w:sz w:val="24"/>
                <w:szCs w:val="24"/>
                <w:highlight w:val="none"/>
                <w:lang w:val="en-US" w:eastAsia="zh-CN" w:bidi="ar"/>
              </w:rPr>
              <w:t>2、：采用优质品牌高弹阻燃海绵，符合GB/T10802-2023、GB/T6343-2009、GB 17927-2024、QB/T2280-2016标准要求，回弹率≥50%，75%压缩永久变形≤2%，气味等级≥10级，拉伸强度≥130KPa，密度≥43kg/m³，甲醛释放量未检出，阻燃性符合。</w:t>
            </w:r>
          </w:p>
          <w:p w14:paraId="3E0B72B5">
            <w:pPr>
              <w:widowControl/>
              <w:numPr>
                <w:ilvl w:val="0"/>
                <w:numId w:val="0"/>
              </w:numPr>
              <w:spacing w:line="360" w:lineRule="auto"/>
              <w:jc w:val="left"/>
              <w:textAlignment w:val="center"/>
              <w:rPr>
                <w:rFonts w:hint="eastAsia" w:ascii="宋体" w:hAnsi="宋体" w:eastAsia="宋体" w:cs="宋体"/>
                <w:color w:val="000000"/>
                <w:kern w:val="0"/>
                <w:sz w:val="24"/>
                <w:szCs w:val="24"/>
                <w:highlight w:val="none"/>
                <w:lang w:val="en-US" w:eastAsia="zh-CN" w:bidi="ar"/>
              </w:rPr>
            </w:pPr>
            <w:r>
              <w:rPr>
                <w:rFonts w:hint="eastAsia" w:ascii="宋体" w:hAnsi="宋体" w:eastAsia="宋体" w:cs="宋体"/>
                <w:color w:val="000000"/>
                <w:kern w:val="0"/>
                <w:sz w:val="24"/>
                <w:szCs w:val="24"/>
                <w:highlight w:val="none"/>
                <w:lang w:val="en-US" w:eastAsia="zh-CN" w:bidi="ar"/>
              </w:rPr>
              <w:t>3、椅架：采用优质品牌钢管，符合QB/T3826-1999、QB/T3827-1999、QB/T3832-1999标准要求，产品外观性能要求喷涂层应无漏喷、锈蚀和脱色、掉色现象。涂层应光滑均匀，色泽一致，应无流挂、疙瘩、皱皮、飞漆等缺陷。乙酸盐雾试验（ASS）≥100h镀（涂）层对基体的保护等级≥10级，镀（涂）层本身耐腐蚀等级≥10级。</w:t>
            </w:r>
          </w:p>
        </w:tc>
        <w:tc>
          <w:tcPr>
            <w:tcW w:w="320" w:type="pct"/>
            <w:tcBorders>
              <w:top w:val="single" w:color="000000" w:sz="4" w:space="0"/>
              <w:left w:val="single" w:color="000000" w:sz="4" w:space="0"/>
              <w:bottom w:val="single" w:color="000000" w:sz="4" w:space="0"/>
              <w:right w:val="single" w:color="000000" w:sz="4" w:space="0"/>
            </w:tcBorders>
            <w:noWrap w:val="0"/>
            <w:vAlign w:val="center"/>
          </w:tcPr>
          <w:p w14:paraId="3C9B4FCB">
            <w:pPr>
              <w:keepNext w:val="0"/>
              <w:keepLines w:val="0"/>
              <w:widowControl/>
              <w:suppressLineNumbers w:val="0"/>
              <w:spacing w:line="360" w:lineRule="auto"/>
              <w:jc w:val="center"/>
              <w:textAlignment w:val="center"/>
              <w:rPr>
                <w:rFonts w:hint="eastAsia" w:ascii="宋体" w:hAnsi="宋体" w:eastAsia="宋体" w:cs="宋体"/>
                <w:color w:val="000000"/>
                <w:kern w:val="0"/>
                <w:sz w:val="24"/>
                <w:szCs w:val="24"/>
                <w:highlight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380</w:t>
            </w:r>
          </w:p>
        </w:tc>
        <w:tc>
          <w:tcPr>
            <w:tcW w:w="424" w:type="pct"/>
            <w:tcBorders>
              <w:top w:val="single" w:color="000000" w:sz="4" w:space="0"/>
              <w:left w:val="single" w:color="000000" w:sz="4" w:space="0"/>
              <w:bottom w:val="single" w:color="000000" w:sz="4" w:space="0"/>
              <w:right w:val="single" w:color="000000" w:sz="4" w:space="0"/>
            </w:tcBorders>
            <w:noWrap w:val="0"/>
            <w:vAlign w:val="center"/>
          </w:tcPr>
          <w:p w14:paraId="746FE64A">
            <w:pPr>
              <w:keepNext w:val="0"/>
              <w:keepLines w:val="0"/>
              <w:widowControl/>
              <w:suppressLineNumbers w:val="0"/>
              <w:spacing w:line="360" w:lineRule="auto"/>
              <w:jc w:val="right"/>
              <w:textAlignment w:val="center"/>
              <w:rPr>
                <w:rFonts w:hint="eastAsia" w:ascii="宋体" w:hAnsi="宋体" w:eastAsia="宋体" w:cs="宋体"/>
                <w:color w:val="000000"/>
                <w:kern w:val="0"/>
                <w:sz w:val="24"/>
                <w:szCs w:val="24"/>
                <w:highlight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15200</w:t>
            </w:r>
          </w:p>
        </w:tc>
      </w:tr>
      <w:tr w14:paraId="24555C1F">
        <w:tblPrEx>
          <w:tblCellMar>
            <w:top w:w="15" w:type="dxa"/>
            <w:left w:w="108" w:type="dxa"/>
            <w:bottom w:w="15" w:type="dxa"/>
            <w:right w:w="108" w:type="dxa"/>
          </w:tblCellMar>
        </w:tblPrEx>
        <w:trPr>
          <w:trHeight w:val="742" w:hRule="atLeast"/>
          <w:jc w:val="center"/>
        </w:trPr>
        <w:tc>
          <w:tcPr>
            <w:tcW w:w="156" w:type="pct"/>
            <w:vMerge w:val="restart"/>
            <w:tcBorders>
              <w:top w:val="single" w:color="000000" w:sz="4" w:space="0"/>
              <w:left w:val="single" w:color="000000" w:sz="4" w:space="0"/>
              <w:right w:val="single" w:color="000000" w:sz="4" w:space="0"/>
            </w:tcBorders>
            <w:shd w:val="clear" w:color="auto" w:fill="FFFFFF"/>
            <w:noWrap w:val="0"/>
            <w:vAlign w:val="center"/>
          </w:tcPr>
          <w:p w14:paraId="02A91781">
            <w:pPr>
              <w:widowControl/>
              <w:spacing w:line="360" w:lineRule="auto"/>
              <w:jc w:val="center"/>
              <w:textAlignment w:val="center"/>
              <w:rPr>
                <w:rFonts w:hint="eastAsia" w:ascii="宋体" w:hAnsi="宋体" w:eastAsia="宋体" w:cs="宋体"/>
                <w:color w:val="000000"/>
                <w:kern w:val="0"/>
                <w:sz w:val="24"/>
                <w:szCs w:val="24"/>
                <w:highlight w:val="none"/>
                <w:lang w:eastAsia="zh-CN" w:bidi="ar"/>
              </w:rPr>
            </w:pPr>
            <w:bookmarkStart w:id="0" w:name="_Hlk228188490"/>
            <w:r>
              <w:rPr>
                <w:rFonts w:hint="eastAsia" w:ascii="宋体" w:hAnsi="宋体" w:eastAsia="宋体" w:cs="宋体"/>
                <w:color w:val="000000"/>
                <w:kern w:val="0"/>
                <w:sz w:val="24"/>
                <w:szCs w:val="24"/>
                <w:highlight w:val="none"/>
                <w:lang w:val="en-US" w:eastAsia="zh-CN" w:bidi="ar"/>
              </w:rPr>
              <w:t>4</w:t>
            </w:r>
          </w:p>
        </w:tc>
        <w:tc>
          <w:tcPr>
            <w:tcW w:w="215" w:type="pct"/>
            <w:vMerge w:val="restart"/>
            <w:tcBorders>
              <w:top w:val="single" w:color="000000" w:sz="4" w:space="0"/>
              <w:left w:val="single" w:color="000000" w:sz="4" w:space="0"/>
              <w:right w:val="single" w:color="auto" w:sz="4" w:space="0"/>
            </w:tcBorders>
            <w:shd w:val="clear" w:color="auto" w:fill="FFFFFF"/>
            <w:noWrap w:val="0"/>
            <w:vAlign w:val="center"/>
          </w:tcPr>
          <w:p w14:paraId="7F5F3E65">
            <w:pPr>
              <w:widowControl/>
              <w:spacing w:line="360" w:lineRule="auto"/>
              <w:jc w:val="center"/>
              <w:textAlignment w:val="center"/>
              <w:rPr>
                <w:rFonts w:hint="eastAsia" w:ascii="宋体" w:hAnsi="宋体" w:eastAsia="宋体" w:cs="宋体"/>
                <w:color w:val="000000"/>
                <w:kern w:val="0"/>
                <w:sz w:val="24"/>
                <w:szCs w:val="24"/>
                <w:highlight w:val="none"/>
                <w:lang w:bidi="ar"/>
              </w:rPr>
            </w:pPr>
            <w:r>
              <w:rPr>
                <w:rFonts w:hint="eastAsia" w:ascii="宋体" w:hAnsi="宋体" w:eastAsia="宋体" w:cs="宋体"/>
                <w:color w:val="000000"/>
                <w:kern w:val="0"/>
                <w:sz w:val="24"/>
                <w:szCs w:val="24"/>
                <w:highlight w:val="none"/>
                <w:lang w:bidi="ar"/>
              </w:rPr>
              <w:t>报告厅</w:t>
            </w:r>
          </w:p>
          <w:p w14:paraId="4E6CB402">
            <w:pPr>
              <w:widowControl/>
              <w:spacing w:line="360" w:lineRule="auto"/>
              <w:jc w:val="center"/>
              <w:textAlignment w:val="center"/>
              <w:rPr>
                <w:rFonts w:hint="eastAsia" w:ascii="宋体" w:hAnsi="宋体" w:eastAsia="宋体" w:cs="宋体"/>
                <w:color w:val="000000"/>
                <w:kern w:val="0"/>
                <w:sz w:val="24"/>
                <w:szCs w:val="24"/>
                <w:highlight w:val="none"/>
                <w:lang w:bidi="ar"/>
              </w:rPr>
            </w:pPr>
            <w:r>
              <w:rPr>
                <w:rFonts w:hint="eastAsia" w:ascii="宋体" w:hAnsi="宋体" w:eastAsia="宋体" w:cs="宋体"/>
                <w:color w:val="000000"/>
                <w:kern w:val="0"/>
                <w:sz w:val="24"/>
                <w:szCs w:val="24"/>
                <w:highlight w:val="none"/>
                <w:lang w:bidi="ar"/>
              </w:rPr>
              <w:t>主席台</w:t>
            </w:r>
          </w:p>
        </w:tc>
        <w:tc>
          <w:tcPr>
            <w:tcW w:w="1514" w:type="pct"/>
            <w:vMerge w:val="restart"/>
            <w:tcBorders>
              <w:top w:val="single" w:color="auto" w:sz="4" w:space="0"/>
              <w:left w:val="single" w:color="auto" w:sz="4" w:space="0"/>
              <w:bottom w:val="single" w:color="auto" w:sz="4" w:space="0"/>
              <w:right w:val="single" w:color="auto" w:sz="4" w:space="0"/>
            </w:tcBorders>
            <w:shd w:val="clear" w:color="auto" w:fill="FFFFFF"/>
            <w:noWrap w:val="0"/>
            <w:vAlign w:val="center"/>
          </w:tcPr>
          <w:p w14:paraId="6FC19582">
            <w:pPr>
              <w:widowControl/>
              <w:spacing w:line="360" w:lineRule="auto"/>
              <w:jc w:val="center"/>
              <w:textAlignment w:val="center"/>
              <w:rPr>
                <w:rFonts w:hint="eastAsia" w:ascii="宋体" w:hAnsi="宋体" w:eastAsia="宋体" w:cs="宋体"/>
                <w:sz w:val="24"/>
                <w:szCs w:val="24"/>
                <w:highlight w:val="none"/>
              </w:rPr>
            </w:pPr>
            <w:r>
              <w:rPr>
                <w:rFonts w:hint="eastAsia" w:ascii="宋体" w:hAnsi="宋体" w:eastAsia="宋体" w:cs="宋体"/>
                <w:sz w:val="24"/>
                <w:szCs w:val="24"/>
                <w:highlight w:val="none"/>
              </w:rPr>
              <w:drawing>
                <wp:inline distT="0" distB="0" distL="114300" distR="114300">
                  <wp:extent cx="1495425" cy="790575"/>
                  <wp:effectExtent l="0" t="0" r="9525" b="9525"/>
                  <wp:docPr id="3"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4"/>
                          <pic:cNvPicPr>
                            <a:picLocks noChangeAspect="1"/>
                          </pic:cNvPicPr>
                        </pic:nvPicPr>
                        <pic:blipFill>
                          <a:blip r:embed="rId9"/>
                          <a:stretch>
                            <a:fillRect/>
                          </a:stretch>
                        </pic:blipFill>
                        <pic:spPr>
                          <a:xfrm>
                            <a:off x="0" y="0"/>
                            <a:ext cx="1495425" cy="790575"/>
                          </a:xfrm>
                          <a:prstGeom prst="rect">
                            <a:avLst/>
                          </a:prstGeom>
                          <a:noFill/>
                          <a:ln>
                            <a:noFill/>
                          </a:ln>
                        </pic:spPr>
                      </pic:pic>
                    </a:graphicData>
                  </a:graphic>
                </wp:inline>
              </w:drawing>
            </w:r>
          </w:p>
        </w:tc>
        <w:tc>
          <w:tcPr>
            <w:tcW w:w="467" w:type="pct"/>
            <w:tcBorders>
              <w:top w:val="single" w:color="auto" w:sz="4" w:space="0"/>
              <w:left w:val="single" w:color="auto" w:sz="4" w:space="0"/>
              <w:bottom w:val="single" w:color="auto" w:sz="4" w:space="0"/>
              <w:right w:val="single" w:color="auto" w:sz="4" w:space="0"/>
            </w:tcBorders>
            <w:shd w:val="clear" w:color="auto" w:fill="FFFFFF"/>
            <w:noWrap w:val="0"/>
            <w:vAlign w:val="center"/>
          </w:tcPr>
          <w:p w14:paraId="464CA377">
            <w:pPr>
              <w:widowControl/>
              <w:spacing w:line="360" w:lineRule="auto"/>
              <w:jc w:val="center"/>
              <w:textAlignment w:val="center"/>
              <w:rPr>
                <w:rFonts w:hint="eastAsia" w:ascii="宋体" w:hAnsi="宋体" w:eastAsia="宋体" w:cs="宋体"/>
                <w:color w:val="000000"/>
                <w:kern w:val="0"/>
                <w:sz w:val="24"/>
                <w:szCs w:val="24"/>
                <w:highlight w:val="none"/>
                <w:lang w:bidi="ar"/>
              </w:rPr>
            </w:pPr>
            <w:r>
              <w:rPr>
                <w:rFonts w:hint="eastAsia" w:ascii="宋体" w:hAnsi="宋体" w:eastAsia="宋体" w:cs="宋体"/>
                <w:color w:val="000000"/>
                <w:kern w:val="0"/>
                <w:sz w:val="24"/>
                <w:szCs w:val="24"/>
                <w:highlight w:val="none"/>
                <w:lang w:bidi="ar"/>
              </w:rPr>
              <w:t>1000*600*760</w:t>
            </w:r>
          </w:p>
        </w:tc>
        <w:tc>
          <w:tcPr>
            <w:tcW w:w="310" w:type="pct"/>
            <w:tcBorders>
              <w:top w:val="single" w:color="auto" w:sz="4" w:space="0"/>
              <w:left w:val="single" w:color="auto" w:sz="4" w:space="0"/>
              <w:bottom w:val="single" w:color="auto" w:sz="4" w:space="0"/>
              <w:right w:val="single" w:color="auto" w:sz="4" w:space="0"/>
            </w:tcBorders>
            <w:shd w:val="clear" w:color="auto" w:fill="FFFFFF"/>
            <w:noWrap w:val="0"/>
            <w:vAlign w:val="center"/>
          </w:tcPr>
          <w:p w14:paraId="2D6D3C5A">
            <w:pPr>
              <w:widowControl/>
              <w:spacing w:line="360" w:lineRule="auto"/>
              <w:jc w:val="center"/>
              <w:textAlignment w:val="center"/>
              <w:rPr>
                <w:rFonts w:hint="eastAsia" w:ascii="宋体" w:hAnsi="宋体" w:eastAsia="宋体" w:cs="宋体"/>
                <w:color w:val="000000"/>
                <w:kern w:val="0"/>
                <w:sz w:val="24"/>
                <w:szCs w:val="24"/>
                <w:highlight w:val="none"/>
                <w:lang w:bidi="ar"/>
              </w:rPr>
            </w:pPr>
            <w:r>
              <w:rPr>
                <w:rFonts w:hint="eastAsia" w:ascii="宋体" w:hAnsi="宋体" w:eastAsia="宋体" w:cs="宋体"/>
                <w:color w:val="000000"/>
                <w:kern w:val="0"/>
                <w:sz w:val="24"/>
                <w:szCs w:val="24"/>
                <w:highlight w:val="none"/>
                <w:lang w:bidi="ar"/>
              </w:rPr>
              <w:t>1张</w:t>
            </w:r>
          </w:p>
        </w:tc>
        <w:tc>
          <w:tcPr>
            <w:tcW w:w="1589" w:type="pct"/>
            <w:vMerge w:val="restart"/>
            <w:tcBorders>
              <w:top w:val="single" w:color="000000" w:sz="4" w:space="0"/>
              <w:left w:val="single" w:color="auto" w:sz="4" w:space="0"/>
              <w:right w:val="single" w:color="auto" w:sz="4" w:space="0"/>
            </w:tcBorders>
            <w:noWrap w:val="0"/>
            <w:vAlign w:val="center"/>
          </w:tcPr>
          <w:p w14:paraId="6DBB4B9E">
            <w:pPr>
              <w:widowControl/>
              <w:numPr>
                <w:ilvl w:val="0"/>
                <w:numId w:val="0"/>
              </w:numPr>
              <w:spacing w:line="360" w:lineRule="auto"/>
              <w:jc w:val="left"/>
              <w:textAlignment w:val="center"/>
              <w:rPr>
                <w:rFonts w:hint="eastAsia" w:ascii="宋体" w:hAnsi="宋体" w:eastAsia="宋体" w:cs="宋体"/>
                <w:color w:val="000000"/>
                <w:kern w:val="0"/>
                <w:sz w:val="24"/>
                <w:szCs w:val="24"/>
                <w:highlight w:val="none"/>
                <w:lang w:bidi="ar"/>
              </w:rPr>
            </w:pPr>
            <w:r>
              <w:rPr>
                <w:rFonts w:hint="eastAsia" w:ascii="宋体" w:hAnsi="宋体" w:eastAsia="宋体" w:cs="宋体"/>
                <w:color w:val="000000"/>
                <w:kern w:val="0"/>
                <w:sz w:val="24"/>
                <w:szCs w:val="24"/>
                <w:highlight w:val="none"/>
                <w:lang w:val="en-US" w:eastAsia="zh-CN" w:bidi="ar"/>
              </w:rPr>
              <w:t>1、木皮：</w:t>
            </w:r>
            <w:r>
              <w:rPr>
                <w:rFonts w:hint="eastAsia" w:ascii="宋体" w:hAnsi="宋体" w:eastAsia="宋体" w:cs="宋体"/>
                <w:color w:val="000000"/>
                <w:kern w:val="0"/>
                <w:sz w:val="24"/>
                <w:szCs w:val="24"/>
                <w:highlight w:val="none"/>
                <w:lang w:bidi="ar"/>
              </w:rPr>
              <w:t>采用优质</w:t>
            </w:r>
            <w:r>
              <w:rPr>
                <w:rFonts w:hint="eastAsia" w:ascii="宋体" w:hAnsi="宋体" w:eastAsia="宋体" w:cs="宋体"/>
                <w:color w:val="000000"/>
                <w:kern w:val="0"/>
                <w:sz w:val="24"/>
                <w:szCs w:val="24"/>
                <w:highlight w:val="none"/>
                <w:lang w:val="en-US" w:eastAsia="zh-CN" w:bidi="ar"/>
              </w:rPr>
              <w:t>天然</w:t>
            </w:r>
            <w:r>
              <w:rPr>
                <w:rFonts w:hint="eastAsia" w:ascii="宋体" w:hAnsi="宋体" w:eastAsia="宋体" w:cs="宋体"/>
                <w:color w:val="000000"/>
                <w:kern w:val="0"/>
                <w:sz w:val="24"/>
                <w:szCs w:val="24"/>
                <w:highlight w:val="none"/>
                <w:lang w:bidi="ar"/>
              </w:rPr>
              <w:t>木皮，</w:t>
            </w:r>
            <w:r>
              <w:rPr>
                <w:rFonts w:hint="eastAsia" w:ascii="宋体" w:hAnsi="宋体" w:eastAsia="宋体" w:cs="宋体"/>
                <w:color w:val="000000"/>
                <w:kern w:val="0"/>
                <w:sz w:val="24"/>
                <w:szCs w:val="24"/>
                <w:highlight w:val="none"/>
                <w:lang w:val="en-US" w:eastAsia="zh-CN" w:bidi="ar"/>
              </w:rPr>
              <w:t>厚度大于等于0.6mm</w:t>
            </w:r>
          </w:p>
          <w:p w14:paraId="392D646F">
            <w:pPr>
              <w:widowControl/>
              <w:numPr>
                <w:ilvl w:val="0"/>
                <w:numId w:val="0"/>
              </w:numPr>
              <w:spacing w:line="360" w:lineRule="auto"/>
              <w:jc w:val="left"/>
              <w:textAlignment w:val="center"/>
              <w:rPr>
                <w:rFonts w:hint="eastAsia" w:ascii="宋体" w:hAnsi="宋体" w:eastAsia="宋体" w:cs="宋体"/>
                <w:color w:val="000000"/>
                <w:kern w:val="0"/>
                <w:sz w:val="24"/>
                <w:szCs w:val="24"/>
                <w:highlight w:val="none"/>
                <w:lang w:bidi="ar"/>
              </w:rPr>
            </w:pPr>
            <w:r>
              <w:rPr>
                <w:rFonts w:hint="eastAsia" w:ascii="宋体" w:hAnsi="宋体" w:eastAsia="宋体" w:cs="宋体"/>
                <w:color w:val="000000"/>
                <w:kern w:val="0"/>
                <w:sz w:val="24"/>
                <w:szCs w:val="24"/>
                <w:highlight w:val="none"/>
                <w:lang w:val="en-US" w:eastAsia="zh-CN" w:bidi="ar"/>
              </w:rPr>
              <w:t>2，基材：</w:t>
            </w:r>
            <w:r>
              <w:rPr>
                <w:rFonts w:hint="eastAsia" w:ascii="宋体" w:hAnsi="宋体" w:eastAsia="宋体" w:cs="宋体"/>
                <w:color w:val="000000"/>
                <w:kern w:val="0"/>
                <w:sz w:val="24"/>
                <w:szCs w:val="24"/>
                <w:highlight w:val="none"/>
                <w:lang w:bidi="ar"/>
              </w:rPr>
              <w:t>采用优质品牌</w:t>
            </w:r>
            <w:r>
              <w:rPr>
                <w:rFonts w:hint="eastAsia" w:ascii="宋体" w:hAnsi="宋体" w:eastAsia="宋体" w:cs="宋体"/>
                <w:color w:val="000000"/>
                <w:kern w:val="0"/>
                <w:sz w:val="24"/>
                <w:szCs w:val="24"/>
                <w:highlight w:val="none"/>
                <w:lang w:val="en-US" w:eastAsia="zh-CN" w:bidi="ar"/>
              </w:rPr>
              <w:t>ENF级</w:t>
            </w:r>
            <w:r>
              <w:rPr>
                <w:rFonts w:hint="eastAsia" w:ascii="宋体" w:hAnsi="宋体" w:eastAsia="宋体" w:cs="宋体"/>
                <w:color w:val="000000"/>
                <w:kern w:val="0"/>
                <w:sz w:val="24"/>
                <w:szCs w:val="24"/>
                <w:highlight w:val="none"/>
                <w:lang w:bidi="ar"/>
              </w:rPr>
              <w:t>中密度纤维板，符合GB/T 11718-2021、GB18580-20</w:t>
            </w:r>
            <w:r>
              <w:rPr>
                <w:rFonts w:hint="eastAsia" w:ascii="宋体" w:hAnsi="宋体" w:eastAsia="宋体" w:cs="宋体"/>
                <w:color w:val="000000"/>
                <w:kern w:val="0"/>
                <w:sz w:val="24"/>
                <w:szCs w:val="24"/>
                <w:highlight w:val="none"/>
                <w:lang w:val="en-US" w:eastAsia="zh-CN" w:bidi="ar"/>
              </w:rPr>
              <w:t>25</w:t>
            </w:r>
            <w:r>
              <w:rPr>
                <w:rFonts w:hint="eastAsia" w:ascii="宋体" w:hAnsi="宋体" w:eastAsia="宋体" w:cs="宋体"/>
                <w:color w:val="000000"/>
                <w:kern w:val="0"/>
                <w:sz w:val="24"/>
                <w:szCs w:val="24"/>
                <w:highlight w:val="none"/>
                <w:lang w:bidi="ar"/>
              </w:rPr>
              <w:t>、GB/T39600-2021、GB/T35601-2024标准要求，总挥发性有机化合物（TVOC）含量未检出，甲醛释放量</w:t>
            </w:r>
            <w:r>
              <w:rPr>
                <w:rFonts w:hint="eastAsia" w:ascii="宋体" w:hAnsi="宋体" w:eastAsia="宋体" w:cs="宋体"/>
                <w:color w:val="000000"/>
                <w:kern w:val="0"/>
                <w:sz w:val="24"/>
                <w:szCs w:val="24"/>
                <w:highlight w:val="none"/>
                <w:lang w:val="en-US" w:eastAsia="zh-CN" w:bidi="ar"/>
              </w:rPr>
              <w:t>小于0.025mg/m³.</w:t>
            </w:r>
          </w:p>
          <w:p w14:paraId="3F463952">
            <w:pPr>
              <w:widowControl/>
              <w:numPr>
                <w:ilvl w:val="0"/>
                <w:numId w:val="0"/>
              </w:numPr>
              <w:spacing w:line="360" w:lineRule="auto"/>
              <w:jc w:val="left"/>
              <w:textAlignment w:val="center"/>
              <w:rPr>
                <w:rFonts w:hint="eastAsia" w:ascii="宋体" w:hAnsi="宋体" w:eastAsia="宋体" w:cs="宋体"/>
                <w:color w:val="000000"/>
                <w:kern w:val="0"/>
                <w:sz w:val="24"/>
                <w:szCs w:val="24"/>
                <w:highlight w:val="none"/>
                <w:lang w:bidi="ar"/>
              </w:rPr>
            </w:pPr>
            <w:r>
              <w:rPr>
                <w:rFonts w:hint="eastAsia" w:ascii="宋体" w:hAnsi="宋体" w:eastAsia="宋体" w:cs="宋体"/>
                <w:color w:val="000000"/>
                <w:kern w:val="0"/>
                <w:sz w:val="24"/>
                <w:szCs w:val="24"/>
                <w:highlight w:val="none"/>
                <w:lang w:val="en-US" w:eastAsia="zh-CN" w:bidi="ar"/>
              </w:rPr>
              <w:t>3、油漆：选用优质水性面漆、底漆：</w:t>
            </w:r>
            <w:r>
              <w:rPr>
                <w:rFonts w:hint="eastAsia" w:ascii="宋体" w:hAnsi="宋体" w:eastAsia="宋体" w:cs="宋体"/>
                <w:color w:val="000000"/>
                <w:kern w:val="0"/>
                <w:sz w:val="24"/>
                <w:szCs w:val="24"/>
                <w:highlight w:val="none"/>
                <w:lang w:bidi="ar"/>
              </w:rPr>
              <w:t>符合</w:t>
            </w:r>
            <w:r>
              <w:rPr>
                <w:rFonts w:ascii="宋体" w:hAnsi="宋体" w:eastAsia="宋体" w:cs="宋体"/>
                <w:sz w:val="24"/>
                <w:szCs w:val="24"/>
                <w:highlight w:val="none"/>
              </w:rPr>
              <w:t>GB30981.2</w:t>
            </w:r>
            <w:r>
              <w:rPr>
                <w:rFonts w:hint="eastAsia" w:ascii="宋体" w:hAnsi="宋体" w:eastAsia="宋体" w:cs="宋体"/>
                <w:sz w:val="24"/>
                <w:szCs w:val="24"/>
                <w:highlight w:val="none"/>
                <w:lang w:val="en-US" w:eastAsia="zh-CN"/>
              </w:rPr>
              <w:t>-</w:t>
            </w:r>
            <w:r>
              <w:rPr>
                <w:rFonts w:ascii="宋体" w:hAnsi="宋体" w:eastAsia="宋体" w:cs="宋体"/>
                <w:sz w:val="24"/>
                <w:szCs w:val="24"/>
                <w:highlight w:val="none"/>
              </w:rPr>
              <w:t>2025</w:t>
            </w:r>
            <w:r>
              <w:rPr>
                <w:rFonts w:hint="eastAsia" w:ascii="宋体" w:hAnsi="宋体" w:eastAsia="宋体" w:cs="宋体"/>
                <w:color w:val="000000"/>
                <w:kern w:val="0"/>
                <w:sz w:val="24"/>
                <w:szCs w:val="24"/>
                <w:highlight w:val="none"/>
                <w:lang w:bidi="ar"/>
              </w:rPr>
              <w:t>、HJ2537-2014标准要求，VOC含量未检出，游离甲醛含量未检出，苯、甲苯、二甲苯、乙苯的总量未检出，卤代烃含量未检出，总铅（Pb）含量未检出。</w:t>
            </w:r>
          </w:p>
          <w:p w14:paraId="423C8FF9">
            <w:pPr>
              <w:widowControl/>
              <w:numPr>
                <w:ilvl w:val="0"/>
                <w:numId w:val="0"/>
              </w:numPr>
              <w:spacing w:line="360" w:lineRule="auto"/>
              <w:ind w:left="0" w:leftChars="0" w:firstLine="0" w:firstLineChars="0"/>
              <w:jc w:val="left"/>
              <w:textAlignment w:val="center"/>
              <w:rPr>
                <w:rFonts w:hint="eastAsia" w:ascii="宋体" w:hAnsi="宋体" w:eastAsia="宋体" w:cs="宋体"/>
                <w:color w:val="000000"/>
                <w:kern w:val="0"/>
                <w:sz w:val="24"/>
                <w:szCs w:val="24"/>
                <w:highlight w:val="none"/>
                <w:lang w:bidi="ar"/>
              </w:rPr>
            </w:pPr>
            <w:r>
              <w:rPr>
                <w:rFonts w:hint="eastAsia" w:ascii="宋体" w:hAnsi="宋体" w:eastAsia="宋体" w:cs="宋体"/>
                <w:color w:val="000000"/>
                <w:kern w:val="0"/>
                <w:sz w:val="24"/>
                <w:szCs w:val="24"/>
                <w:highlight w:val="none"/>
                <w:lang w:val="en-US" w:eastAsia="zh-CN" w:bidi="ar"/>
              </w:rPr>
              <w:t>4，胶粘剂：</w:t>
            </w:r>
            <w:r>
              <w:rPr>
                <w:rFonts w:hint="eastAsia" w:ascii="宋体" w:hAnsi="宋体" w:eastAsia="宋体" w:cs="宋体"/>
                <w:color w:val="000000"/>
                <w:kern w:val="0"/>
                <w:sz w:val="24"/>
                <w:szCs w:val="24"/>
                <w:highlight w:val="none"/>
                <w:lang w:bidi="ar"/>
              </w:rPr>
              <w:t>采用优质品牌白乳胶，符合GB18583-2008、GB33372-2020、HJ2541-2016标准要求，游离甲醛含量未检出，总挥发性有机物含量未检出。</w:t>
            </w:r>
          </w:p>
        </w:tc>
        <w:tc>
          <w:tcPr>
            <w:tcW w:w="320" w:type="pct"/>
            <w:tcBorders>
              <w:top w:val="single" w:color="auto" w:sz="4" w:space="0"/>
              <w:left w:val="single" w:color="auto" w:sz="4" w:space="0"/>
              <w:bottom w:val="single" w:color="auto" w:sz="4" w:space="0"/>
              <w:right w:val="single" w:color="auto" w:sz="4" w:space="0"/>
            </w:tcBorders>
            <w:noWrap w:val="0"/>
            <w:vAlign w:val="center"/>
          </w:tcPr>
          <w:p w14:paraId="3D4E0401">
            <w:pPr>
              <w:keepNext w:val="0"/>
              <w:keepLines w:val="0"/>
              <w:widowControl/>
              <w:suppressLineNumbers w:val="0"/>
              <w:spacing w:line="360" w:lineRule="auto"/>
              <w:jc w:val="center"/>
              <w:textAlignment w:val="center"/>
              <w:rPr>
                <w:rFonts w:hint="eastAsia" w:ascii="宋体" w:hAnsi="宋体" w:eastAsia="宋体" w:cs="宋体"/>
                <w:color w:val="000000"/>
                <w:kern w:val="0"/>
                <w:sz w:val="24"/>
                <w:szCs w:val="24"/>
                <w:highlight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1080</w:t>
            </w:r>
          </w:p>
        </w:tc>
        <w:tc>
          <w:tcPr>
            <w:tcW w:w="424" w:type="pct"/>
            <w:tcBorders>
              <w:top w:val="single" w:color="auto" w:sz="4" w:space="0"/>
              <w:left w:val="single" w:color="auto" w:sz="4" w:space="0"/>
              <w:bottom w:val="single" w:color="auto" w:sz="4" w:space="0"/>
              <w:right w:val="single" w:color="auto" w:sz="4" w:space="0"/>
            </w:tcBorders>
            <w:noWrap w:val="0"/>
            <w:vAlign w:val="center"/>
          </w:tcPr>
          <w:p w14:paraId="158ED998">
            <w:pPr>
              <w:keepNext w:val="0"/>
              <w:keepLines w:val="0"/>
              <w:widowControl/>
              <w:suppressLineNumbers w:val="0"/>
              <w:spacing w:line="360" w:lineRule="auto"/>
              <w:jc w:val="right"/>
              <w:textAlignment w:val="center"/>
              <w:rPr>
                <w:rFonts w:hint="eastAsia" w:ascii="宋体" w:hAnsi="宋体" w:eastAsia="宋体" w:cs="宋体"/>
                <w:color w:val="000000"/>
                <w:kern w:val="0"/>
                <w:sz w:val="24"/>
                <w:szCs w:val="24"/>
                <w:highlight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1080</w:t>
            </w:r>
          </w:p>
        </w:tc>
      </w:tr>
      <w:bookmarkEnd w:id="0"/>
      <w:tr w14:paraId="47073577">
        <w:tblPrEx>
          <w:tblCellMar>
            <w:top w:w="15" w:type="dxa"/>
            <w:left w:w="108" w:type="dxa"/>
            <w:bottom w:w="15" w:type="dxa"/>
            <w:right w:w="108" w:type="dxa"/>
          </w:tblCellMar>
        </w:tblPrEx>
        <w:trPr>
          <w:trHeight w:val="616" w:hRule="atLeast"/>
          <w:jc w:val="center"/>
        </w:trPr>
        <w:tc>
          <w:tcPr>
            <w:tcW w:w="156" w:type="pct"/>
            <w:vMerge w:val="continue"/>
            <w:tcBorders>
              <w:left w:val="single" w:color="000000" w:sz="4" w:space="0"/>
              <w:bottom w:val="single" w:color="000000" w:sz="4" w:space="0"/>
              <w:right w:val="single" w:color="000000" w:sz="4" w:space="0"/>
            </w:tcBorders>
            <w:shd w:val="clear" w:color="auto" w:fill="FFFFFF"/>
            <w:noWrap w:val="0"/>
            <w:vAlign w:val="center"/>
          </w:tcPr>
          <w:p w14:paraId="2B81BD60">
            <w:pPr>
              <w:widowControl/>
              <w:spacing w:line="360" w:lineRule="auto"/>
              <w:jc w:val="center"/>
              <w:textAlignment w:val="center"/>
              <w:rPr>
                <w:rFonts w:hint="eastAsia" w:ascii="宋体" w:hAnsi="宋体" w:eastAsia="宋体" w:cs="宋体"/>
                <w:color w:val="000000"/>
                <w:kern w:val="0"/>
                <w:sz w:val="24"/>
                <w:szCs w:val="24"/>
                <w:highlight w:val="none"/>
                <w:lang w:bidi="ar"/>
              </w:rPr>
            </w:pPr>
          </w:p>
        </w:tc>
        <w:tc>
          <w:tcPr>
            <w:tcW w:w="215" w:type="pct"/>
            <w:vMerge w:val="continue"/>
            <w:tcBorders>
              <w:left w:val="single" w:color="000000" w:sz="4" w:space="0"/>
              <w:bottom w:val="single" w:color="000000" w:sz="4" w:space="0"/>
              <w:right w:val="single" w:color="auto" w:sz="4" w:space="0"/>
            </w:tcBorders>
            <w:shd w:val="clear" w:color="auto" w:fill="FFFFFF"/>
            <w:noWrap w:val="0"/>
            <w:vAlign w:val="center"/>
          </w:tcPr>
          <w:p w14:paraId="2763CFF9">
            <w:pPr>
              <w:widowControl/>
              <w:spacing w:line="360" w:lineRule="auto"/>
              <w:jc w:val="center"/>
              <w:textAlignment w:val="center"/>
              <w:rPr>
                <w:rFonts w:hint="eastAsia" w:ascii="宋体" w:hAnsi="宋体" w:eastAsia="宋体" w:cs="宋体"/>
                <w:color w:val="000000"/>
                <w:kern w:val="0"/>
                <w:sz w:val="24"/>
                <w:szCs w:val="24"/>
                <w:highlight w:val="none"/>
                <w:lang w:bidi="ar"/>
              </w:rPr>
            </w:pPr>
          </w:p>
        </w:tc>
        <w:tc>
          <w:tcPr>
            <w:tcW w:w="1514" w:type="pct"/>
            <w:vMerge w:val="continue"/>
            <w:tcBorders>
              <w:top w:val="single" w:color="auto" w:sz="4" w:space="0"/>
              <w:left w:val="single" w:color="auto" w:sz="4" w:space="0"/>
              <w:bottom w:val="single" w:color="auto" w:sz="4" w:space="0"/>
              <w:right w:val="single" w:color="auto" w:sz="4" w:space="0"/>
            </w:tcBorders>
            <w:shd w:val="clear" w:color="auto" w:fill="FFFFFF"/>
            <w:noWrap w:val="0"/>
            <w:vAlign w:val="center"/>
          </w:tcPr>
          <w:p w14:paraId="4CD13E59">
            <w:pPr>
              <w:widowControl/>
              <w:spacing w:line="360" w:lineRule="auto"/>
              <w:jc w:val="center"/>
              <w:textAlignment w:val="center"/>
              <w:rPr>
                <w:rFonts w:hint="eastAsia" w:ascii="宋体" w:hAnsi="宋体" w:eastAsia="宋体" w:cs="宋体"/>
                <w:sz w:val="24"/>
                <w:szCs w:val="24"/>
                <w:highlight w:val="none"/>
              </w:rPr>
            </w:pPr>
          </w:p>
        </w:tc>
        <w:tc>
          <w:tcPr>
            <w:tcW w:w="467" w:type="pct"/>
            <w:tcBorders>
              <w:top w:val="single" w:color="auto" w:sz="4" w:space="0"/>
              <w:left w:val="single" w:color="auto" w:sz="4" w:space="0"/>
              <w:bottom w:val="single" w:color="auto" w:sz="4" w:space="0"/>
              <w:right w:val="single" w:color="auto" w:sz="4" w:space="0"/>
            </w:tcBorders>
            <w:shd w:val="clear" w:color="auto" w:fill="FFFFFF"/>
            <w:noWrap w:val="0"/>
            <w:vAlign w:val="center"/>
          </w:tcPr>
          <w:p w14:paraId="49196D63">
            <w:pPr>
              <w:widowControl/>
              <w:spacing w:line="360" w:lineRule="auto"/>
              <w:jc w:val="center"/>
              <w:textAlignment w:val="center"/>
              <w:rPr>
                <w:rFonts w:hint="eastAsia" w:ascii="宋体" w:hAnsi="宋体" w:eastAsia="宋体" w:cs="宋体"/>
                <w:color w:val="000000"/>
                <w:kern w:val="0"/>
                <w:sz w:val="24"/>
                <w:szCs w:val="24"/>
                <w:highlight w:val="none"/>
                <w:lang w:bidi="ar"/>
              </w:rPr>
            </w:pPr>
            <w:r>
              <w:rPr>
                <w:rFonts w:hint="eastAsia" w:ascii="宋体" w:hAnsi="宋体" w:eastAsia="宋体" w:cs="宋体"/>
                <w:color w:val="000000"/>
                <w:kern w:val="0"/>
                <w:sz w:val="24"/>
                <w:szCs w:val="24"/>
                <w:highlight w:val="none"/>
                <w:lang w:bidi="ar"/>
              </w:rPr>
              <w:t>1600*600*760</w:t>
            </w:r>
          </w:p>
        </w:tc>
        <w:tc>
          <w:tcPr>
            <w:tcW w:w="310" w:type="pct"/>
            <w:tcBorders>
              <w:top w:val="single" w:color="auto" w:sz="4" w:space="0"/>
              <w:left w:val="single" w:color="auto" w:sz="4" w:space="0"/>
              <w:bottom w:val="single" w:color="auto" w:sz="4" w:space="0"/>
              <w:right w:val="single" w:color="auto" w:sz="4" w:space="0"/>
            </w:tcBorders>
            <w:shd w:val="clear" w:color="auto" w:fill="FFFFFF"/>
            <w:noWrap w:val="0"/>
            <w:vAlign w:val="center"/>
          </w:tcPr>
          <w:p w14:paraId="7CC86948">
            <w:pPr>
              <w:widowControl/>
              <w:spacing w:line="360" w:lineRule="auto"/>
              <w:jc w:val="center"/>
              <w:textAlignment w:val="center"/>
              <w:rPr>
                <w:rFonts w:hint="eastAsia" w:ascii="宋体" w:hAnsi="宋体" w:eastAsia="宋体" w:cs="宋体"/>
                <w:color w:val="000000"/>
                <w:kern w:val="0"/>
                <w:sz w:val="24"/>
                <w:szCs w:val="24"/>
                <w:highlight w:val="none"/>
                <w:lang w:bidi="ar"/>
              </w:rPr>
            </w:pPr>
            <w:r>
              <w:rPr>
                <w:rFonts w:hint="eastAsia" w:ascii="宋体" w:hAnsi="宋体" w:eastAsia="宋体" w:cs="宋体"/>
                <w:color w:val="000000"/>
                <w:kern w:val="0"/>
                <w:sz w:val="24"/>
                <w:szCs w:val="24"/>
                <w:highlight w:val="none"/>
                <w:lang w:bidi="ar"/>
              </w:rPr>
              <w:t>4张</w:t>
            </w:r>
          </w:p>
        </w:tc>
        <w:tc>
          <w:tcPr>
            <w:tcW w:w="1589" w:type="pct"/>
            <w:vMerge w:val="continue"/>
            <w:tcBorders>
              <w:left w:val="single" w:color="auto" w:sz="4" w:space="0"/>
              <w:bottom w:val="single" w:color="000000" w:sz="4" w:space="0"/>
              <w:right w:val="single" w:color="auto" w:sz="4" w:space="0"/>
            </w:tcBorders>
            <w:noWrap w:val="0"/>
            <w:vAlign w:val="center"/>
          </w:tcPr>
          <w:p w14:paraId="08BC5F6D">
            <w:pPr>
              <w:widowControl/>
              <w:spacing w:line="360" w:lineRule="auto"/>
              <w:jc w:val="left"/>
              <w:textAlignment w:val="center"/>
              <w:rPr>
                <w:rFonts w:hint="eastAsia" w:ascii="宋体" w:hAnsi="宋体" w:eastAsia="宋体" w:cs="宋体"/>
                <w:color w:val="000000"/>
                <w:kern w:val="0"/>
                <w:sz w:val="24"/>
                <w:szCs w:val="24"/>
                <w:highlight w:val="none"/>
                <w:lang w:bidi="ar"/>
              </w:rPr>
            </w:pPr>
          </w:p>
        </w:tc>
        <w:tc>
          <w:tcPr>
            <w:tcW w:w="320" w:type="pct"/>
            <w:tcBorders>
              <w:top w:val="single" w:color="auto" w:sz="4" w:space="0"/>
              <w:left w:val="single" w:color="auto" w:sz="4" w:space="0"/>
              <w:bottom w:val="single" w:color="auto" w:sz="4" w:space="0"/>
              <w:right w:val="single" w:color="auto" w:sz="4" w:space="0"/>
            </w:tcBorders>
            <w:noWrap w:val="0"/>
            <w:vAlign w:val="center"/>
          </w:tcPr>
          <w:p w14:paraId="467B1807">
            <w:pPr>
              <w:keepNext w:val="0"/>
              <w:keepLines w:val="0"/>
              <w:widowControl/>
              <w:suppressLineNumbers w:val="0"/>
              <w:spacing w:line="360" w:lineRule="auto"/>
              <w:jc w:val="center"/>
              <w:textAlignment w:val="center"/>
              <w:rPr>
                <w:rFonts w:hint="eastAsia" w:ascii="宋体" w:hAnsi="宋体" w:eastAsia="宋体" w:cs="宋体"/>
                <w:color w:val="000000"/>
                <w:kern w:val="0"/>
                <w:sz w:val="24"/>
                <w:szCs w:val="24"/>
                <w:highlight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1500</w:t>
            </w:r>
          </w:p>
        </w:tc>
        <w:tc>
          <w:tcPr>
            <w:tcW w:w="424" w:type="pct"/>
            <w:tcBorders>
              <w:top w:val="single" w:color="auto" w:sz="4" w:space="0"/>
              <w:left w:val="single" w:color="auto" w:sz="4" w:space="0"/>
              <w:bottom w:val="single" w:color="auto" w:sz="4" w:space="0"/>
              <w:right w:val="single" w:color="auto" w:sz="4" w:space="0"/>
            </w:tcBorders>
            <w:noWrap w:val="0"/>
            <w:vAlign w:val="center"/>
          </w:tcPr>
          <w:p w14:paraId="7EEA49E9">
            <w:pPr>
              <w:keepNext w:val="0"/>
              <w:keepLines w:val="0"/>
              <w:widowControl/>
              <w:suppressLineNumbers w:val="0"/>
              <w:spacing w:line="360" w:lineRule="auto"/>
              <w:jc w:val="right"/>
              <w:textAlignment w:val="center"/>
              <w:rPr>
                <w:rFonts w:hint="eastAsia" w:ascii="宋体" w:hAnsi="宋体" w:eastAsia="宋体" w:cs="宋体"/>
                <w:color w:val="000000"/>
                <w:kern w:val="0"/>
                <w:sz w:val="24"/>
                <w:szCs w:val="24"/>
                <w:highlight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6000</w:t>
            </w:r>
          </w:p>
        </w:tc>
      </w:tr>
      <w:tr w14:paraId="5B41690E">
        <w:tblPrEx>
          <w:tblCellMar>
            <w:top w:w="15" w:type="dxa"/>
            <w:left w:w="108" w:type="dxa"/>
            <w:bottom w:w="15" w:type="dxa"/>
            <w:right w:w="108" w:type="dxa"/>
          </w:tblCellMar>
        </w:tblPrEx>
        <w:trPr>
          <w:trHeight w:val="3945" w:hRule="atLeast"/>
          <w:jc w:val="center"/>
        </w:trPr>
        <w:tc>
          <w:tcPr>
            <w:tcW w:w="156"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0D52AF8">
            <w:pPr>
              <w:widowControl/>
              <w:spacing w:line="360" w:lineRule="auto"/>
              <w:jc w:val="center"/>
              <w:textAlignment w:val="center"/>
              <w:rPr>
                <w:rFonts w:hint="eastAsia" w:ascii="宋体" w:hAnsi="宋体" w:eastAsia="宋体" w:cs="宋体"/>
                <w:color w:val="000000"/>
                <w:kern w:val="0"/>
                <w:sz w:val="24"/>
                <w:szCs w:val="24"/>
                <w:highlight w:val="none"/>
                <w:lang w:eastAsia="zh-CN" w:bidi="ar"/>
              </w:rPr>
            </w:pPr>
            <w:r>
              <w:rPr>
                <w:rFonts w:hint="eastAsia" w:ascii="宋体" w:hAnsi="宋体" w:eastAsia="宋体" w:cs="宋体"/>
                <w:color w:val="000000"/>
                <w:kern w:val="0"/>
                <w:sz w:val="24"/>
                <w:szCs w:val="24"/>
                <w:highlight w:val="none"/>
                <w:lang w:val="en-US" w:eastAsia="zh-CN" w:bidi="ar"/>
              </w:rPr>
              <w:t>5</w:t>
            </w:r>
          </w:p>
        </w:tc>
        <w:tc>
          <w:tcPr>
            <w:tcW w:w="215" w:type="pct"/>
            <w:tcBorders>
              <w:top w:val="single" w:color="000000" w:sz="4" w:space="0"/>
              <w:left w:val="single" w:color="000000" w:sz="4" w:space="0"/>
              <w:bottom w:val="single" w:color="000000" w:sz="4" w:space="0"/>
              <w:right w:val="single" w:color="auto" w:sz="4" w:space="0"/>
            </w:tcBorders>
            <w:shd w:val="clear" w:color="auto" w:fill="FFFFFF"/>
            <w:noWrap w:val="0"/>
            <w:vAlign w:val="center"/>
          </w:tcPr>
          <w:p w14:paraId="32EDC403">
            <w:pPr>
              <w:widowControl/>
              <w:spacing w:line="360" w:lineRule="auto"/>
              <w:jc w:val="center"/>
              <w:textAlignment w:val="center"/>
              <w:rPr>
                <w:rFonts w:hint="eastAsia" w:ascii="宋体" w:hAnsi="宋体" w:eastAsia="宋体" w:cs="宋体"/>
                <w:color w:val="000000"/>
                <w:kern w:val="0"/>
                <w:sz w:val="24"/>
                <w:szCs w:val="24"/>
                <w:highlight w:val="none"/>
                <w:lang w:bidi="ar"/>
              </w:rPr>
            </w:pPr>
            <w:r>
              <w:rPr>
                <w:rFonts w:hint="eastAsia" w:ascii="宋体" w:hAnsi="宋体" w:eastAsia="宋体" w:cs="宋体"/>
                <w:color w:val="000000"/>
                <w:kern w:val="0"/>
                <w:sz w:val="24"/>
                <w:szCs w:val="24"/>
                <w:highlight w:val="none"/>
                <w:lang w:bidi="ar"/>
              </w:rPr>
              <w:t>附楼报告厅</w:t>
            </w:r>
          </w:p>
          <w:p w14:paraId="23B29AF7">
            <w:pPr>
              <w:widowControl/>
              <w:spacing w:line="360" w:lineRule="auto"/>
              <w:jc w:val="center"/>
              <w:textAlignment w:val="center"/>
              <w:rPr>
                <w:rFonts w:hint="eastAsia" w:ascii="宋体" w:hAnsi="宋体" w:eastAsia="宋体" w:cs="宋体"/>
                <w:color w:val="000000"/>
                <w:kern w:val="0"/>
                <w:sz w:val="24"/>
                <w:szCs w:val="24"/>
                <w:highlight w:val="none"/>
                <w:lang w:bidi="ar"/>
              </w:rPr>
            </w:pPr>
            <w:r>
              <w:rPr>
                <w:rFonts w:hint="eastAsia" w:ascii="宋体" w:hAnsi="宋体" w:eastAsia="宋体" w:cs="宋体"/>
                <w:color w:val="000000"/>
                <w:kern w:val="0"/>
                <w:sz w:val="24"/>
                <w:szCs w:val="24"/>
                <w:highlight w:val="none"/>
                <w:lang w:bidi="ar"/>
              </w:rPr>
              <w:t>主席台椅</w:t>
            </w:r>
          </w:p>
        </w:tc>
        <w:tc>
          <w:tcPr>
            <w:tcW w:w="1514" w:type="pct"/>
            <w:tcBorders>
              <w:top w:val="single" w:color="auto" w:sz="4" w:space="0"/>
              <w:left w:val="single" w:color="auto" w:sz="4" w:space="0"/>
              <w:bottom w:val="single" w:color="auto" w:sz="4" w:space="0"/>
              <w:right w:val="single" w:color="auto" w:sz="4" w:space="0"/>
            </w:tcBorders>
            <w:shd w:val="clear" w:color="auto" w:fill="FFFFFF"/>
            <w:noWrap w:val="0"/>
            <w:vAlign w:val="center"/>
          </w:tcPr>
          <w:p w14:paraId="0FC3EE68">
            <w:pPr>
              <w:widowControl/>
              <w:spacing w:line="360" w:lineRule="auto"/>
              <w:jc w:val="center"/>
              <w:textAlignment w:val="center"/>
              <w:rPr>
                <w:rFonts w:hint="eastAsia" w:ascii="宋体" w:hAnsi="宋体" w:eastAsia="宋体" w:cs="宋体"/>
                <w:sz w:val="24"/>
                <w:szCs w:val="24"/>
                <w:highlight w:val="none"/>
              </w:rPr>
            </w:pPr>
            <w:r>
              <w:rPr>
                <w:rFonts w:hint="eastAsia" w:ascii="宋体" w:hAnsi="宋体" w:eastAsia="宋体" w:cs="宋体"/>
                <w:sz w:val="24"/>
                <w:szCs w:val="24"/>
                <w:highlight w:val="none"/>
              </w:rPr>
              <w:drawing>
                <wp:inline distT="0" distB="0" distL="114300" distR="114300">
                  <wp:extent cx="838200" cy="952500"/>
                  <wp:effectExtent l="0" t="0" r="0" b="0"/>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pic:cNvPicPr>
                            <a:picLocks noChangeAspect="1"/>
                          </pic:cNvPicPr>
                        </pic:nvPicPr>
                        <pic:blipFill>
                          <a:blip r:embed="rId10"/>
                          <a:stretch>
                            <a:fillRect/>
                          </a:stretch>
                        </pic:blipFill>
                        <pic:spPr>
                          <a:xfrm>
                            <a:off x="0" y="0"/>
                            <a:ext cx="838200" cy="952500"/>
                          </a:xfrm>
                          <a:prstGeom prst="rect">
                            <a:avLst/>
                          </a:prstGeom>
                          <a:noFill/>
                          <a:ln>
                            <a:noFill/>
                          </a:ln>
                        </pic:spPr>
                      </pic:pic>
                    </a:graphicData>
                  </a:graphic>
                </wp:inline>
              </w:drawing>
            </w:r>
          </w:p>
        </w:tc>
        <w:tc>
          <w:tcPr>
            <w:tcW w:w="467" w:type="pct"/>
            <w:tcBorders>
              <w:top w:val="single" w:color="auto" w:sz="4" w:space="0"/>
              <w:left w:val="single" w:color="auto" w:sz="4" w:space="0"/>
              <w:bottom w:val="single" w:color="auto" w:sz="4" w:space="0"/>
              <w:right w:val="single" w:color="auto" w:sz="4" w:space="0"/>
            </w:tcBorders>
            <w:shd w:val="clear" w:color="auto" w:fill="FFFFFF"/>
            <w:noWrap w:val="0"/>
            <w:vAlign w:val="center"/>
          </w:tcPr>
          <w:p w14:paraId="7DDBC771">
            <w:pPr>
              <w:widowControl/>
              <w:spacing w:line="360" w:lineRule="auto"/>
              <w:jc w:val="center"/>
              <w:textAlignment w:val="center"/>
              <w:rPr>
                <w:rFonts w:hint="eastAsia" w:ascii="宋体" w:hAnsi="宋体" w:eastAsia="宋体" w:cs="宋体"/>
                <w:color w:val="000000"/>
                <w:kern w:val="0"/>
                <w:sz w:val="24"/>
                <w:szCs w:val="24"/>
                <w:highlight w:val="none"/>
                <w:lang w:bidi="ar"/>
              </w:rPr>
            </w:pPr>
            <w:r>
              <w:rPr>
                <w:rFonts w:hint="eastAsia" w:ascii="宋体" w:hAnsi="宋体" w:eastAsia="宋体" w:cs="宋体"/>
                <w:color w:val="000000"/>
                <w:kern w:val="0"/>
                <w:sz w:val="24"/>
                <w:szCs w:val="24"/>
                <w:highlight w:val="none"/>
                <w:lang w:bidi="ar"/>
              </w:rPr>
              <w:t>标准</w:t>
            </w:r>
          </w:p>
        </w:tc>
        <w:tc>
          <w:tcPr>
            <w:tcW w:w="310" w:type="pct"/>
            <w:tcBorders>
              <w:top w:val="single" w:color="auto" w:sz="4" w:space="0"/>
              <w:left w:val="single" w:color="auto" w:sz="4" w:space="0"/>
              <w:bottom w:val="single" w:color="000000" w:sz="4" w:space="0"/>
              <w:right w:val="single" w:color="000000" w:sz="4" w:space="0"/>
            </w:tcBorders>
            <w:shd w:val="clear" w:color="auto" w:fill="FFFFFF"/>
            <w:noWrap w:val="0"/>
            <w:vAlign w:val="center"/>
          </w:tcPr>
          <w:p w14:paraId="5E09BD3E">
            <w:pPr>
              <w:widowControl/>
              <w:spacing w:line="360" w:lineRule="auto"/>
              <w:jc w:val="center"/>
              <w:textAlignment w:val="center"/>
              <w:rPr>
                <w:rFonts w:hint="eastAsia" w:ascii="宋体" w:hAnsi="宋体" w:eastAsia="宋体" w:cs="宋体"/>
                <w:color w:val="000000"/>
                <w:kern w:val="0"/>
                <w:sz w:val="24"/>
                <w:szCs w:val="24"/>
                <w:highlight w:val="none"/>
                <w:lang w:bidi="ar"/>
              </w:rPr>
            </w:pPr>
            <w:r>
              <w:rPr>
                <w:rFonts w:hint="eastAsia" w:ascii="宋体" w:hAnsi="宋体" w:eastAsia="宋体" w:cs="宋体"/>
                <w:color w:val="000000"/>
                <w:kern w:val="0"/>
                <w:sz w:val="24"/>
                <w:szCs w:val="24"/>
                <w:highlight w:val="none"/>
                <w:lang w:bidi="ar"/>
              </w:rPr>
              <w:t>9把</w:t>
            </w:r>
          </w:p>
        </w:tc>
        <w:tc>
          <w:tcPr>
            <w:tcW w:w="1589" w:type="pct"/>
            <w:tcBorders>
              <w:top w:val="single" w:color="000000" w:sz="4" w:space="0"/>
              <w:left w:val="single" w:color="000000" w:sz="4" w:space="0"/>
              <w:bottom w:val="single" w:color="000000" w:sz="4" w:space="0"/>
              <w:right w:val="single" w:color="000000" w:sz="4" w:space="0"/>
            </w:tcBorders>
            <w:noWrap w:val="0"/>
            <w:vAlign w:val="center"/>
          </w:tcPr>
          <w:p w14:paraId="4090CAE5">
            <w:pPr>
              <w:widowControl/>
              <w:numPr>
                <w:ilvl w:val="0"/>
                <w:numId w:val="0"/>
              </w:numPr>
              <w:spacing w:line="360" w:lineRule="auto"/>
              <w:jc w:val="left"/>
              <w:textAlignment w:val="center"/>
              <w:rPr>
                <w:rFonts w:hint="eastAsia" w:ascii="宋体" w:hAnsi="宋体" w:eastAsia="宋体" w:cs="宋体"/>
                <w:color w:val="000000"/>
                <w:kern w:val="0"/>
                <w:sz w:val="24"/>
                <w:szCs w:val="24"/>
                <w:highlight w:val="none"/>
                <w:lang w:val="en-US" w:eastAsia="zh-CN" w:bidi="ar"/>
              </w:rPr>
            </w:pPr>
            <w:r>
              <w:rPr>
                <w:rFonts w:hint="eastAsia" w:ascii="宋体" w:hAnsi="宋体" w:eastAsia="宋体" w:cs="宋体"/>
                <w:color w:val="000000"/>
                <w:kern w:val="0"/>
                <w:sz w:val="24"/>
                <w:szCs w:val="24"/>
                <w:highlight w:val="none"/>
                <w:lang w:val="en-US" w:eastAsia="zh-CN" w:bidi="ar"/>
              </w:rPr>
              <w:t>1、椅架：采用优质橡胶木，符合GB/T3324-2024、GB/T29894-2013、GB/T1927.5-2021、GB/T1927.4-2021标准要求，木材外观要求检测应无贯通裂缝、无虫蛀、无腐朽材、无树脂囊、无节子，含水率8%-13%，甲醛释放量分级要求达到ENF级。</w:t>
            </w:r>
          </w:p>
          <w:p w14:paraId="7BCE258D">
            <w:pPr>
              <w:widowControl/>
              <w:numPr>
                <w:ilvl w:val="0"/>
                <w:numId w:val="0"/>
              </w:numPr>
              <w:spacing w:line="360" w:lineRule="auto"/>
              <w:jc w:val="left"/>
              <w:textAlignment w:val="center"/>
              <w:rPr>
                <w:rFonts w:hint="eastAsia" w:ascii="宋体" w:hAnsi="宋体" w:eastAsia="宋体" w:cs="宋体"/>
                <w:color w:val="000000"/>
                <w:kern w:val="0"/>
                <w:sz w:val="24"/>
                <w:szCs w:val="24"/>
                <w:highlight w:val="none"/>
                <w:lang w:val="en-US" w:eastAsia="zh-CN" w:bidi="ar"/>
              </w:rPr>
            </w:pPr>
            <w:r>
              <w:rPr>
                <w:rFonts w:hint="eastAsia" w:ascii="宋体" w:hAnsi="宋体" w:eastAsia="宋体" w:cs="宋体"/>
                <w:color w:val="000000"/>
                <w:kern w:val="0"/>
                <w:sz w:val="24"/>
                <w:szCs w:val="24"/>
                <w:highlight w:val="none"/>
                <w:lang w:val="en-US" w:eastAsia="zh-CN" w:bidi="ar"/>
              </w:rPr>
              <w:t>2、西皮：采用优质品牌西皮，符合GB/T16799-2018、QB/T2709-2005、GB 17927-2024、QB/T4198-2011标准要求，厚度大于1.2mm，理化性能检测摩擦色牢度-干擦500次≥5级，摩擦色牢度-湿擦250次≥5级，摩擦色牢度-碱性汗液80次≥5级，撕裂力≥45N，阻燃性符合。</w:t>
            </w:r>
          </w:p>
          <w:p w14:paraId="6CA9DBC5">
            <w:pPr>
              <w:widowControl/>
              <w:numPr>
                <w:ilvl w:val="0"/>
                <w:numId w:val="0"/>
              </w:numPr>
              <w:spacing w:line="360" w:lineRule="auto"/>
              <w:jc w:val="left"/>
              <w:textAlignment w:val="center"/>
              <w:rPr>
                <w:rFonts w:hint="eastAsia" w:ascii="宋体" w:hAnsi="宋体" w:eastAsia="宋体" w:cs="宋体"/>
                <w:color w:val="000000"/>
                <w:kern w:val="0"/>
                <w:sz w:val="24"/>
                <w:szCs w:val="24"/>
                <w:highlight w:val="none"/>
                <w:lang w:val="en-US" w:eastAsia="zh-CN" w:bidi="ar"/>
              </w:rPr>
            </w:pPr>
            <w:r>
              <w:rPr>
                <w:rFonts w:hint="eastAsia" w:ascii="宋体" w:hAnsi="宋体" w:eastAsia="宋体" w:cs="宋体"/>
                <w:color w:val="000000"/>
                <w:kern w:val="0"/>
                <w:sz w:val="24"/>
                <w:szCs w:val="24"/>
                <w:highlight w:val="none"/>
                <w:lang w:val="en-US" w:eastAsia="zh-CN" w:bidi="ar"/>
              </w:rPr>
              <w:t>3、海绵：采用优质品牌高弹阻燃海绵，符合GB/T10802-2023、GB/T6343-2009、GB 17927-2024、QB/T2280-2016标准要求，回弹率≥50%，75%压缩永久变形≤2%，气味等级≥10级，拉伸强度≥130KPa，密度≥43kg/m³，甲醛释放量未检出，阻燃性符合。</w:t>
            </w:r>
          </w:p>
          <w:p w14:paraId="025FECAA">
            <w:pPr>
              <w:widowControl/>
              <w:numPr>
                <w:ilvl w:val="0"/>
                <w:numId w:val="0"/>
              </w:numPr>
              <w:spacing w:line="360" w:lineRule="auto"/>
              <w:jc w:val="left"/>
              <w:textAlignment w:val="center"/>
              <w:rPr>
                <w:rFonts w:hint="eastAsia" w:ascii="宋体" w:hAnsi="宋体" w:eastAsia="宋体" w:cs="宋体"/>
                <w:color w:val="000000"/>
                <w:kern w:val="0"/>
                <w:sz w:val="24"/>
                <w:szCs w:val="24"/>
                <w:highlight w:val="none"/>
                <w:lang w:bidi="ar"/>
              </w:rPr>
            </w:pPr>
            <w:r>
              <w:rPr>
                <w:rFonts w:hint="eastAsia" w:ascii="宋体" w:hAnsi="宋体" w:eastAsia="宋体" w:cs="宋体"/>
                <w:color w:val="000000"/>
                <w:kern w:val="0"/>
                <w:sz w:val="24"/>
                <w:szCs w:val="24"/>
                <w:highlight w:val="none"/>
                <w:lang w:val="en-US" w:eastAsia="zh-CN" w:bidi="ar"/>
              </w:rPr>
              <w:t>4、油漆：选用优质水性面漆、底漆：</w:t>
            </w:r>
            <w:r>
              <w:rPr>
                <w:rFonts w:hint="eastAsia" w:ascii="宋体" w:hAnsi="宋体" w:eastAsia="宋体" w:cs="宋体"/>
                <w:color w:val="000000"/>
                <w:kern w:val="0"/>
                <w:sz w:val="24"/>
                <w:szCs w:val="24"/>
                <w:highlight w:val="none"/>
                <w:lang w:bidi="ar"/>
              </w:rPr>
              <w:t>符合</w:t>
            </w:r>
            <w:r>
              <w:rPr>
                <w:rFonts w:ascii="宋体" w:hAnsi="宋体" w:eastAsia="宋体" w:cs="宋体"/>
                <w:sz w:val="24"/>
                <w:szCs w:val="24"/>
                <w:highlight w:val="none"/>
              </w:rPr>
              <w:t>GB30981.2</w:t>
            </w:r>
            <w:r>
              <w:rPr>
                <w:rFonts w:hint="eastAsia" w:ascii="宋体" w:hAnsi="宋体" w:eastAsia="宋体" w:cs="宋体"/>
                <w:sz w:val="24"/>
                <w:szCs w:val="24"/>
                <w:highlight w:val="none"/>
                <w:lang w:val="en-US" w:eastAsia="zh-CN"/>
              </w:rPr>
              <w:t>-</w:t>
            </w:r>
            <w:r>
              <w:rPr>
                <w:rFonts w:ascii="宋体" w:hAnsi="宋体" w:eastAsia="宋体" w:cs="宋体"/>
                <w:sz w:val="24"/>
                <w:szCs w:val="24"/>
                <w:highlight w:val="none"/>
              </w:rPr>
              <w:t>2025</w:t>
            </w:r>
            <w:r>
              <w:rPr>
                <w:rFonts w:hint="eastAsia" w:ascii="宋体" w:hAnsi="宋体" w:eastAsia="宋体" w:cs="宋体"/>
                <w:color w:val="000000"/>
                <w:kern w:val="0"/>
                <w:sz w:val="24"/>
                <w:szCs w:val="24"/>
                <w:highlight w:val="none"/>
                <w:lang w:bidi="ar"/>
              </w:rPr>
              <w:t>、HJ2537-2014标准要求，VOC含量未检出，游离甲醛含量未检出，苯、甲苯、二甲苯、乙苯的总量未检出，卤代烃含量未检出，总铅（Pb）含量未检出。</w:t>
            </w:r>
          </w:p>
          <w:p w14:paraId="7DE6CC2F">
            <w:pPr>
              <w:widowControl/>
              <w:numPr>
                <w:ilvl w:val="0"/>
                <w:numId w:val="0"/>
              </w:numPr>
              <w:spacing w:line="360" w:lineRule="auto"/>
              <w:ind w:left="0" w:leftChars="0" w:firstLine="0" w:firstLineChars="0"/>
              <w:jc w:val="left"/>
              <w:textAlignment w:val="center"/>
              <w:rPr>
                <w:rFonts w:hint="eastAsia" w:ascii="宋体" w:hAnsi="宋体" w:eastAsia="宋体" w:cs="宋体"/>
                <w:color w:val="000000"/>
                <w:kern w:val="0"/>
                <w:sz w:val="24"/>
                <w:szCs w:val="24"/>
                <w:highlight w:val="none"/>
                <w:lang w:bidi="ar"/>
              </w:rPr>
            </w:pPr>
          </w:p>
        </w:tc>
        <w:tc>
          <w:tcPr>
            <w:tcW w:w="320" w:type="pct"/>
            <w:tcBorders>
              <w:top w:val="single" w:color="auto" w:sz="4" w:space="0"/>
              <w:left w:val="single" w:color="000000" w:sz="4" w:space="0"/>
              <w:bottom w:val="single" w:color="000000" w:sz="4" w:space="0"/>
              <w:right w:val="single" w:color="000000" w:sz="4" w:space="0"/>
            </w:tcBorders>
            <w:noWrap w:val="0"/>
            <w:vAlign w:val="center"/>
          </w:tcPr>
          <w:p w14:paraId="0B445323">
            <w:pPr>
              <w:keepNext w:val="0"/>
              <w:keepLines w:val="0"/>
              <w:widowControl/>
              <w:suppressLineNumbers w:val="0"/>
              <w:spacing w:line="360" w:lineRule="auto"/>
              <w:jc w:val="center"/>
              <w:textAlignment w:val="center"/>
              <w:rPr>
                <w:rFonts w:hint="eastAsia" w:ascii="宋体" w:hAnsi="宋体" w:eastAsia="宋体" w:cs="宋体"/>
                <w:color w:val="000000"/>
                <w:kern w:val="0"/>
                <w:sz w:val="24"/>
                <w:szCs w:val="24"/>
                <w:highlight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1200</w:t>
            </w:r>
          </w:p>
        </w:tc>
        <w:tc>
          <w:tcPr>
            <w:tcW w:w="424" w:type="pct"/>
            <w:tcBorders>
              <w:top w:val="single" w:color="auto" w:sz="4" w:space="0"/>
              <w:left w:val="single" w:color="000000" w:sz="4" w:space="0"/>
              <w:bottom w:val="single" w:color="000000" w:sz="4" w:space="0"/>
              <w:right w:val="single" w:color="000000" w:sz="4" w:space="0"/>
            </w:tcBorders>
            <w:noWrap w:val="0"/>
            <w:vAlign w:val="center"/>
          </w:tcPr>
          <w:p w14:paraId="4E8FDEA1">
            <w:pPr>
              <w:keepNext w:val="0"/>
              <w:keepLines w:val="0"/>
              <w:widowControl/>
              <w:suppressLineNumbers w:val="0"/>
              <w:spacing w:line="360" w:lineRule="auto"/>
              <w:jc w:val="right"/>
              <w:textAlignment w:val="center"/>
              <w:rPr>
                <w:rFonts w:hint="eastAsia" w:ascii="宋体" w:hAnsi="宋体" w:eastAsia="宋体" w:cs="宋体"/>
                <w:color w:val="000000"/>
                <w:kern w:val="0"/>
                <w:sz w:val="24"/>
                <w:szCs w:val="24"/>
                <w:highlight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10800</w:t>
            </w:r>
          </w:p>
        </w:tc>
      </w:tr>
      <w:tr w14:paraId="6CEEB301">
        <w:tblPrEx>
          <w:tblCellMar>
            <w:top w:w="15" w:type="dxa"/>
            <w:left w:w="108" w:type="dxa"/>
            <w:bottom w:w="15" w:type="dxa"/>
            <w:right w:w="108" w:type="dxa"/>
          </w:tblCellMar>
        </w:tblPrEx>
        <w:trPr>
          <w:trHeight w:val="826" w:hRule="atLeast"/>
          <w:jc w:val="center"/>
        </w:trPr>
        <w:tc>
          <w:tcPr>
            <w:tcW w:w="156"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7654A11">
            <w:pPr>
              <w:widowControl/>
              <w:spacing w:line="360" w:lineRule="auto"/>
              <w:jc w:val="center"/>
              <w:textAlignment w:val="center"/>
              <w:rPr>
                <w:rFonts w:hint="eastAsia" w:ascii="宋体" w:hAnsi="宋体" w:eastAsia="宋体" w:cs="宋体"/>
                <w:color w:val="000000"/>
                <w:kern w:val="0"/>
                <w:sz w:val="24"/>
                <w:szCs w:val="24"/>
                <w:highlight w:val="none"/>
                <w:lang w:eastAsia="zh-CN" w:bidi="ar"/>
              </w:rPr>
            </w:pPr>
            <w:r>
              <w:rPr>
                <w:rFonts w:hint="eastAsia" w:ascii="宋体" w:hAnsi="宋体" w:eastAsia="宋体" w:cs="宋体"/>
                <w:color w:val="000000"/>
                <w:kern w:val="0"/>
                <w:sz w:val="24"/>
                <w:szCs w:val="24"/>
                <w:highlight w:val="none"/>
                <w:lang w:val="en-US" w:eastAsia="zh-CN" w:bidi="ar"/>
              </w:rPr>
              <w:t>6</w:t>
            </w:r>
          </w:p>
        </w:tc>
        <w:tc>
          <w:tcPr>
            <w:tcW w:w="21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C7D5ACF">
            <w:pPr>
              <w:widowControl/>
              <w:spacing w:line="360" w:lineRule="auto"/>
              <w:jc w:val="center"/>
              <w:textAlignment w:val="center"/>
              <w:rPr>
                <w:rFonts w:hint="eastAsia" w:ascii="宋体" w:hAnsi="宋体" w:eastAsia="宋体" w:cs="宋体"/>
                <w:color w:val="000000"/>
                <w:kern w:val="0"/>
                <w:sz w:val="24"/>
                <w:szCs w:val="24"/>
                <w:highlight w:val="none"/>
                <w:lang w:bidi="ar"/>
              </w:rPr>
            </w:pPr>
            <w:r>
              <w:rPr>
                <w:rFonts w:hint="eastAsia" w:ascii="宋体" w:hAnsi="宋体" w:eastAsia="宋体" w:cs="宋体"/>
                <w:color w:val="000000"/>
                <w:kern w:val="0"/>
                <w:sz w:val="24"/>
                <w:szCs w:val="24"/>
                <w:highlight w:val="none"/>
                <w:lang w:bidi="ar"/>
              </w:rPr>
              <w:t>报告厅</w:t>
            </w:r>
          </w:p>
          <w:p w14:paraId="73D20DFC">
            <w:pPr>
              <w:widowControl/>
              <w:spacing w:line="360" w:lineRule="auto"/>
              <w:jc w:val="center"/>
              <w:textAlignment w:val="center"/>
              <w:rPr>
                <w:rFonts w:hint="eastAsia" w:ascii="宋体" w:hAnsi="宋体" w:eastAsia="宋体" w:cs="宋体"/>
                <w:color w:val="000000"/>
                <w:kern w:val="0"/>
                <w:sz w:val="24"/>
                <w:szCs w:val="24"/>
                <w:highlight w:val="none"/>
                <w:lang w:bidi="ar"/>
              </w:rPr>
            </w:pPr>
            <w:r>
              <w:rPr>
                <w:rFonts w:hint="eastAsia" w:ascii="宋体" w:hAnsi="宋体" w:eastAsia="宋体" w:cs="宋体"/>
                <w:color w:val="000000"/>
                <w:kern w:val="0"/>
                <w:sz w:val="24"/>
                <w:szCs w:val="24"/>
                <w:highlight w:val="none"/>
                <w:lang w:bidi="ar"/>
              </w:rPr>
              <w:t>条桌</w:t>
            </w:r>
          </w:p>
        </w:tc>
        <w:tc>
          <w:tcPr>
            <w:tcW w:w="1514" w:type="pct"/>
            <w:tcBorders>
              <w:top w:val="single" w:color="auto" w:sz="4" w:space="0"/>
              <w:left w:val="single" w:color="000000" w:sz="4" w:space="0"/>
              <w:bottom w:val="single" w:color="000000" w:sz="4" w:space="0"/>
              <w:right w:val="single" w:color="000000" w:sz="4" w:space="0"/>
            </w:tcBorders>
            <w:shd w:val="clear" w:color="auto" w:fill="FFFFFF"/>
            <w:noWrap w:val="0"/>
            <w:vAlign w:val="center"/>
          </w:tcPr>
          <w:p w14:paraId="750D2C86">
            <w:pPr>
              <w:widowControl/>
              <w:spacing w:line="360" w:lineRule="auto"/>
              <w:jc w:val="center"/>
              <w:textAlignment w:val="center"/>
              <w:rPr>
                <w:rFonts w:hint="eastAsia" w:ascii="宋体" w:hAnsi="宋体" w:eastAsia="宋体" w:cs="宋体"/>
                <w:sz w:val="24"/>
                <w:szCs w:val="24"/>
                <w:highlight w:val="none"/>
              </w:rPr>
            </w:pPr>
            <w:r>
              <w:rPr>
                <w:rFonts w:hint="eastAsia" w:ascii="宋体" w:hAnsi="宋体" w:eastAsia="宋体" w:cs="宋体"/>
                <w:sz w:val="24"/>
                <w:szCs w:val="24"/>
                <w:highlight w:val="none"/>
              </w:rPr>
              <w:drawing>
                <wp:inline distT="0" distB="0" distL="114300" distR="114300">
                  <wp:extent cx="1495425" cy="771525"/>
                  <wp:effectExtent l="0" t="0" r="9525" b="9525"/>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pic:cNvPicPr>
                            <a:picLocks noChangeAspect="1"/>
                          </pic:cNvPicPr>
                        </pic:nvPicPr>
                        <pic:blipFill>
                          <a:blip r:embed="rId11"/>
                          <a:stretch>
                            <a:fillRect/>
                          </a:stretch>
                        </pic:blipFill>
                        <pic:spPr>
                          <a:xfrm>
                            <a:off x="0" y="0"/>
                            <a:ext cx="1495425" cy="771525"/>
                          </a:xfrm>
                          <a:prstGeom prst="rect">
                            <a:avLst/>
                          </a:prstGeom>
                          <a:noFill/>
                          <a:ln>
                            <a:noFill/>
                          </a:ln>
                        </pic:spPr>
                      </pic:pic>
                    </a:graphicData>
                  </a:graphic>
                </wp:inline>
              </w:drawing>
            </w:r>
          </w:p>
        </w:tc>
        <w:tc>
          <w:tcPr>
            <w:tcW w:w="467" w:type="pct"/>
            <w:tcBorders>
              <w:top w:val="single" w:color="auto" w:sz="4" w:space="0"/>
              <w:left w:val="single" w:color="000000" w:sz="4" w:space="0"/>
              <w:bottom w:val="single" w:color="000000" w:sz="4" w:space="0"/>
              <w:right w:val="single" w:color="000000" w:sz="4" w:space="0"/>
            </w:tcBorders>
            <w:shd w:val="clear" w:color="auto" w:fill="FFFFFF"/>
            <w:noWrap w:val="0"/>
            <w:vAlign w:val="center"/>
          </w:tcPr>
          <w:p w14:paraId="4A5090E4">
            <w:pPr>
              <w:widowControl/>
              <w:spacing w:line="360" w:lineRule="auto"/>
              <w:jc w:val="center"/>
              <w:textAlignment w:val="center"/>
              <w:rPr>
                <w:rFonts w:hint="eastAsia" w:ascii="宋体" w:hAnsi="宋体" w:eastAsia="宋体" w:cs="宋体"/>
                <w:color w:val="000000"/>
                <w:kern w:val="0"/>
                <w:sz w:val="24"/>
                <w:szCs w:val="24"/>
                <w:highlight w:val="none"/>
                <w:lang w:bidi="ar"/>
              </w:rPr>
            </w:pPr>
            <w:r>
              <w:rPr>
                <w:rFonts w:hint="eastAsia" w:ascii="宋体" w:hAnsi="宋体" w:eastAsia="宋体" w:cs="宋体"/>
                <w:color w:val="000000"/>
                <w:kern w:val="0"/>
                <w:sz w:val="24"/>
                <w:szCs w:val="24"/>
                <w:highlight w:val="none"/>
                <w:lang w:bidi="ar"/>
              </w:rPr>
              <w:t>1600*450*760</w:t>
            </w:r>
          </w:p>
        </w:tc>
        <w:tc>
          <w:tcPr>
            <w:tcW w:w="31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F268AFA">
            <w:pPr>
              <w:widowControl/>
              <w:spacing w:line="360" w:lineRule="auto"/>
              <w:jc w:val="center"/>
              <w:textAlignment w:val="center"/>
              <w:rPr>
                <w:rFonts w:hint="eastAsia" w:ascii="宋体" w:hAnsi="宋体" w:eastAsia="宋体" w:cs="宋体"/>
                <w:color w:val="000000"/>
                <w:kern w:val="0"/>
                <w:sz w:val="24"/>
                <w:szCs w:val="24"/>
                <w:highlight w:val="none"/>
                <w:lang w:bidi="ar"/>
              </w:rPr>
            </w:pPr>
            <w:r>
              <w:rPr>
                <w:rFonts w:hint="eastAsia" w:ascii="宋体" w:hAnsi="宋体" w:eastAsia="宋体" w:cs="宋体"/>
                <w:color w:val="000000"/>
                <w:kern w:val="0"/>
                <w:sz w:val="24"/>
                <w:szCs w:val="24"/>
                <w:highlight w:val="none"/>
                <w:lang w:bidi="ar"/>
              </w:rPr>
              <w:t>7张</w:t>
            </w:r>
          </w:p>
        </w:tc>
        <w:tc>
          <w:tcPr>
            <w:tcW w:w="1589" w:type="pct"/>
            <w:tcBorders>
              <w:top w:val="single" w:color="000000" w:sz="4" w:space="0"/>
              <w:left w:val="single" w:color="000000" w:sz="4" w:space="0"/>
              <w:bottom w:val="single" w:color="000000" w:sz="4" w:space="0"/>
              <w:right w:val="single" w:color="000000" w:sz="4" w:space="0"/>
            </w:tcBorders>
            <w:noWrap w:val="0"/>
            <w:vAlign w:val="center"/>
          </w:tcPr>
          <w:p w14:paraId="4FDCEDF5">
            <w:pPr>
              <w:widowControl/>
              <w:numPr>
                <w:ilvl w:val="0"/>
                <w:numId w:val="0"/>
              </w:numPr>
              <w:spacing w:line="360" w:lineRule="auto"/>
              <w:jc w:val="left"/>
              <w:textAlignment w:val="center"/>
              <w:rPr>
                <w:rFonts w:hint="eastAsia" w:ascii="宋体" w:hAnsi="宋体" w:eastAsia="宋体" w:cs="宋体"/>
                <w:color w:val="000000"/>
                <w:kern w:val="0"/>
                <w:sz w:val="24"/>
                <w:szCs w:val="24"/>
                <w:highlight w:val="none"/>
                <w:lang w:bidi="ar"/>
              </w:rPr>
            </w:pPr>
            <w:r>
              <w:rPr>
                <w:rFonts w:hint="eastAsia" w:ascii="宋体" w:hAnsi="宋体" w:eastAsia="宋体" w:cs="宋体"/>
                <w:color w:val="000000"/>
                <w:kern w:val="0"/>
                <w:sz w:val="24"/>
                <w:szCs w:val="24"/>
                <w:highlight w:val="none"/>
                <w:lang w:val="en-US" w:eastAsia="zh-CN" w:bidi="ar"/>
              </w:rPr>
              <w:t>1、木皮：</w:t>
            </w:r>
            <w:r>
              <w:rPr>
                <w:rFonts w:hint="eastAsia" w:ascii="宋体" w:hAnsi="宋体" w:eastAsia="宋体" w:cs="宋体"/>
                <w:color w:val="000000"/>
                <w:kern w:val="0"/>
                <w:sz w:val="24"/>
                <w:szCs w:val="24"/>
                <w:highlight w:val="none"/>
                <w:lang w:bidi="ar"/>
              </w:rPr>
              <w:t>采用优质</w:t>
            </w:r>
            <w:r>
              <w:rPr>
                <w:rFonts w:hint="eastAsia" w:ascii="宋体" w:hAnsi="宋体" w:eastAsia="宋体" w:cs="宋体"/>
                <w:color w:val="000000"/>
                <w:kern w:val="0"/>
                <w:sz w:val="24"/>
                <w:szCs w:val="24"/>
                <w:highlight w:val="none"/>
                <w:lang w:val="en-US" w:eastAsia="zh-CN" w:bidi="ar"/>
              </w:rPr>
              <w:t>天然</w:t>
            </w:r>
            <w:r>
              <w:rPr>
                <w:rFonts w:hint="eastAsia" w:ascii="宋体" w:hAnsi="宋体" w:eastAsia="宋体" w:cs="宋体"/>
                <w:color w:val="000000"/>
                <w:kern w:val="0"/>
                <w:sz w:val="24"/>
                <w:szCs w:val="24"/>
                <w:highlight w:val="none"/>
                <w:lang w:bidi="ar"/>
              </w:rPr>
              <w:t>木皮，</w:t>
            </w:r>
            <w:r>
              <w:rPr>
                <w:rFonts w:hint="eastAsia" w:ascii="宋体" w:hAnsi="宋体" w:eastAsia="宋体" w:cs="宋体"/>
                <w:color w:val="000000"/>
                <w:kern w:val="0"/>
                <w:sz w:val="24"/>
                <w:szCs w:val="24"/>
                <w:highlight w:val="none"/>
                <w:lang w:val="en-US" w:eastAsia="zh-CN" w:bidi="ar"/>
              </w:rPr>
              <w:t>厚度大于等于0.6mm</w:t>
            </w:r>
          </w:p>
          <w:p w14:paraId="5805286B">
            <w:pPr>
              <w:widowControl/>
              <w:numPr>
                <w:ilvl w:val="0"/>
                <w:numId w:val="0"/>
              </w:numPr>
              <w:spacing w:line="360" w:lineRule="auto"/>
              <w:jc w:val="left"/>
              <w:textAlignment w:val="center"/>
              <w:rPr>
                <w:rFonts w:hint="eastAsia" w:ascii="宋体" w:hAnsi="宋体" w:eastAsia="宋体" w:cs="宋体"/>
                <w:color w:val="000000"/>
                <w:kern w:val="0"/>
                <w:sz w:val="24"/>
                <w:szCs w:val="24"/>
                <w:highlight w:val="none"/>
                <w:lang w:bidi="ar"/>
              </w:rPr>
            </w:pPr>
            <w:r>
              <w:rPr>
                <w:rFonts w:hint="eastAsia" w:ascii="宋体" w:hAnsi="宋体" w:eastAsia="宋体" w:cs="宋体"/>
                <w:color w:val="000000"/>
                <w:kern w:val="0"/>
                <w:sz w:val="24"/>
                <w:szCs w:val="24"/>
                <w:highlight w:val="none"/>
                <w:lang w:val="en-US" w:eastAsia="zh-CN" w:bidi="ar"/>
              </w:rPr>
              <w:t>2、基材：</w:t>
            </w:r>
            <w:r>
              <w:rPr>
                <w:rFonts w:hint="eastAsia" w:ascii="宋体" w:hAnsi="宋体" w:eastAsia="宋体" w:cs="宋体"/>
                <w:color w:val="000000"/>
                <w:kern w:val="0"/>
                <w:sz w:val="24"/>
                <w:szCs w:val="24"/>
                <w:highlight w:val="none"/>
                <w:lang w:bidi="ar"/>
              </w:rPr>
              <w:t>采用优质品牌</w:t>
            </w:r>
            <w:r>
              <w:rPr>
                <w:rFonts w:hint="eastAsia" w:ascii="宋体" w:hAnsi="宋体" w:eastAsia="宋体" w:cs="宋体"/>
                <w:color w:val="000000"/>
                <w:kern w:val="0"/>
                <w:sz w:val="24"/>
                <w:szCs w:val="24"/>
                <w:highlight w:val="none"/>
                <w:lang w:val="en-US" w:eastAsia="zh-CN" w:bidi="ar"/>
              </w:rPr>
              <w:t>ENF级</w:t>
            </w:r>
            <w:r>
              <w:rPr>
                <w:rFonts w:hint="eastAsia" w:ascii="宋体" w:hAnsi="宋体" w:eastAsia="宋体" w:cs="宋体"/>
                <w:color w:val="000000"/>
                <w:kern w:val="0"/>
                <w:sz w:val="24"/>
                <w:szCs w:val="24"/>
                <w:highlight w:val="none"/>
                <w:lang w:bidi="ar"/>
              </w:rPr>
              <w:t>中密度纤维板，符合GB/T 11718-2021、GB18580-20</w:t>
            </w:r>
            <w:r>
              <w:rPr>
                <w:rFonts w:hint="eastAsia" w:ascii="宋体" w:hAnsi="宋体" w:eastAsia="宋体" w:cs="宋体"/>
                <w:color w:val="000000"/>
                <w:kern w:val="0"/>
                <w:sz w:val="24"/>
                <w:szCs w:val="24"/>
                <w:highlight w:val="none"/>
                <w:lang w:val="en-US" w:eastAsia="zh-CN" w:bidi="ar"/>
              </w:rPr>
              <w:t>25</w:t>
            </w:r>
            <w:r>
              <w:rPr>
                <w:rFonts w:hint="eastAsia" w:ascii="宋体" w:hAnsi="宋体" w:eastAsia="宋体" w:cs="宋体"/>
                <w:color w:val="000000"/>
                <w:kern w:val="0"/>
                <w:sz w:val="24"/>
                <w:szCs w:val="24"/>
                <w:highlight w:val="none"/>
                <w:lang w:bidi="ar"/>
              </w:rPr>
              <w:t>、GB/T39600-2021、GB/T35601-2024标准要求，总挥发性有机化合物（TVOC）含量未检出，甲醛释放量</w:t>
            </w:r>
            <w:r>
              <w:rPr>
                <w:rFonts w:hint="eastAsia" w:ascii="宋体" w:hAnsi="宋体" w:eastAsia="宋体" w:cs="宋体"/>
                <w:color w:val="000000"/>
                <w:kern w:val="0"/>
                <w:sz w:val="24"/>
                <w:szCs w:val="24"/>
                <w:highlight w:val="none"/>
                <w:lang w:val="en-US" w:eastAsia="zh-CN" w:bidi="ar"/>
              </w:rPr>
              <w:t>小于0.025mg/m³.</w:t>
            </w:r>
          </w:p>
          <w:p w14:paraId="3EF4EA4C">
            <w:pPr>
              <w:widowControl/>
              <w:numPr>
                <w:ilvl w:val="0"/>
                <w:numId w:val="0"/>
              </w:numPr>
              <w:spacing w:line="360" w:lineRule="auto"/>
              <w:jc w:val="left"/>
              <w:textAlignment w:val="center"/>
              <w:rPr>
                <w:rFonts w:hint="eastAsia" w:ascii="宋体" w:hAnsi="宋体" w:eastAsia="宋体" w:cs="宋体"/>
                <w:color w:val="000000"/>
                <w:kern w:val="0"/>
                <w:sz w:val="24"/>
                <w:szCs w:val="24"/>
                <w:highlight w:val="none"/>
                <w:lang w:bidi="ar"/>
              </w:rPr>
            </w:pPr>
            <w:r>
              <w:rPr>
                <w:rFonts w:hint="eastAsia" w:ascii="宋体" w:hAnsi="宋体" w:eastAsia="宋体" w:cs="宋体"/>
                <w:color w:val="000000"/>
                <w:kern w:val="0"/>
                <w:sz w:val="24"/>
                <w:szCs w:val="24"/>
                <w:highlight w:val="none"/>
                <w:lang w:val="en-US" w:eastAsia="zh-CN" w:bidi="ar"/>
              </w:rPr>
              <w:t>3、油漆：选用优质水性面漆、底漆：</w:t>
            </w:r>
            <w:r>
              <w:rPr>
                <w:rFonts w:hint="eastAsia" w:ascii="宋体" w:hAnsi="宋体" w:eastAsia="宋体" w:cs="宋体"/>
                <w:color w:val="000000"/>
                <w:kern w:val="0"/>
                <w:sz w:val="24"/>
                <w:szCs w:val="24"/>
                <w:highlight w:val="none"/>
                <w:lang w:bidi="ar"/>
              </w:rPr>
              <w:t>符合GB18581-2020、HJ2537-2014标准要求，VOC含量未检出，游离甲醛含量未检出，苯、甲苯、二甲苯、乙苯的总量未检出，卤代烃含量未检出，总铅（Pb）含量未检出。</w:t>
            </w:r>
          </w:p>
          <w:p w14:paraId="01675F4B">
            <w:pPr>
              <w:widowControl/>
              <w:spacing w:line="360" w:lineRule="auto"/>
              <w:jc w:val="left"/>
              <w:textAlignment w:val="center"/>
              <w:rPr>
                <w:rFonts w:hint="eastAsia" w:ascii="宋体" w:hAnsi="宋体" w:eastAsia="宋体" w:cs="宋体"/>
                <w:color w:val="000000"/>
                <w:kern w:val="0"/>
                <w:sz w:val="24"/>
                <w:szCs w:val="24"/>
                <w:highlight w:val="none"/>
                <w:lang w:bidi="ar"/>
              </w:rPr>
            </w:pPr>
            <w:r>
              <w:rPr>
                <w:rFonts w:hint="eastAsia" w:ascii="宋体" w:hAnsi="宋体" w:eastAsia="宋体" w:cs="宋体"/>
                <w:color w:val="000000"/>
                <w:kern w:val="0"/>
                <w:sz w:val="24"/>
                <w:szCs w:val="24"/>
                <w:highlight w:val="none"/>
                <w:lang w:val="en-US" w:eastAsia="zh-CN" w:bidi="ar"/>
              </w:rPr>
              <w:t>4，胶粘剂：</w:t>
            </w:r>
            <w:r>
              <w:rPr>
                <w:rFonts w:hint="eastAsia" w:ascii="宋体" w:hAnsi="宋体" w:eastAsia="宋体" w:cs="宋体"/>
                <w:color w:val="000000"/>
                <w:kern w:val="0"/>
                <w:sz w:val="24"/>
                <w:szCs w:val="24"/>
                <w:highlight w:val="none"/>
                <w:lang w:bidi="ar"/>
              </w:rPr>
              <w:t>采用优质品牌白乳胶，符合GB18583-2008、GB33372-2020、HJ2541-2016标准要求，游离甲醛含量未检出，总挥发性有机物含量未检出。</w:t>
            </w:r>
          </w:p>
        </w:tc>
        <w:tc>
          <w:tcPr>
            <w:tcW w:w="320" w:type="pct"/>
            <w:tcBorders>
              <w:top w:val="single" w:color="000000" w:sz="4" w:space="0"/>
              <w:left w:val="single" w:color="000000" w:sz="4" w:space="0"/>
              <w:bottom w:val="single" w:color="000000" w:sz="4" w:space="0"/>
              <w:right w:val="single" w:color="000000" w:sz="4" w:space="0"/>
            </w:tcBorders>
            <w:noWrap w:val="0"/>
            <w:vAlign w:val="center"/>
          </w:tcPr>
          <w:p w14:paraId="1473208D">
            <w:pPr>
              <w:keepNext w:val="0"/>
              <w:keepLines w:val="0"/>
              <w:widowControl/>
              <w:suppressLineNumbers w:val="0"/>
              <w:spacing w:line="360" w:lineRule="auto"/>
              <w:jc w:val="center"/>
              <w:textAlignment w:val="center"/>
              <w:rPr>
                <w:rFonts w:hint="eastAsia" w:ascii="宋体" w:hAnsi="宋体" w:eastAsia="宋体" w:cs="宋体"/>
                <w:color w:val="000000"/>
                <w:kern w:val="0"/>
                <w:sz w:val="24"/>
                <w:szCs w:val="24"/>
                <w:highlight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1200</w:t>
            </w:r>
          </w:p>
        </w:tc>
        <w:tc>
          <w:tcPr>
            <w:tcW w:w="424" w:type="pct"/>
            <w:tcBorders>
              <w:top w:val="single" w:color="000000" w:sz="4" w:space="0"/>
              <w:left w:val="single" w:color="000000" w:sz="4" w:space="0"/>
              <w:bottom w:val="single" w:color="000000" w:sz="4" w:space="0"/>
              <w:right w:val="single" w:color="000000" w:sz="4" w:space="0"/>
            </w:tcBorders>
            <w:noWrap w:val="0"/>
            <w:vAlign w:val="center"/>
          </w:tcPr>
          <w:p w14:paraId="550A2991">
            <w:pPr>
              <w:keepNext w:val="0"/>
              <w:keepLines w:val="0"/>
              <w:widowControl/>
              <w:suppressLineNumbers w:val="0"/>
              <w:spacing w:line="360" w:lineRule="auto"/>
              <w:jc w:val="right"/>
              <w:textAlignment w:val="center"/>
              <w:rPr>
                <w:rFonts w:hint="eastAsia" w:ascii="宋体" w:hAnsi="宋体" w:eastAsia="宋体" w:cs="宋体"/>
                <w:color w:val="000000"/>
                <w:kern w:val="0"/>
                <w:sz w:val="24"/>
                <w:szCs w:val="24"/>
                <w:highlight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8400</w:t>
            </w:r>
          </w:p>
        </w:tc>
      </w:tr>
      <w:tr w14:paraId="6D9883BD">
        <w:tblPrEx>
          <w:tblCellMar>
            <w:top w:w="15" w:type="dxa"/>
            <w:left w:w="108" w:type="dxa"/>
            <w:bottom w:w="15" w:type="dxa"/>
            <w:right w:w="108" w:type="dxa"/>
          </w:tblCellMar>
        </w:tblPrEx>
        <w:trPr>
          <w:trHeight w:val="826" w:hRule="atLeast"/>
          <w:jc w:val="center"/>
        </w:trPr>
        <w:tc>
          <w:tcPr>
            <w:tcW w:w="156"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16E2C5A">
            <w:pPr>
              <w:widowControl/>
              <w:spacing w:line="360" w:lineRule="auto"/>
              <w:jc w:val="center"/>
              <w:textAlignment w:val="center"/>
              <w:rPr>
                <w:rFonts w:hint="eastAsia" w:ascii="宋体" w:hAnsi="宋体" w:eastAsia="宋体" w:cs="宋体"/>
                <w:color w:val="000000"/>
                <w:kern w:val="0"/>
                <w:sz w:val="24"/>
                <w:szCs w:val="24"/>
                <w:highlight w:val="none"/>
                <w:lang w:eastAsia="zh-CN" w:bidi="ar"/>
              </w:rPr>
            </w:pPr>
            <w:r>
              <w:rPr>
                <w:rFonts w:hint="eastAsia" w:ascii="宋体" w:hAnsi="宋体" w:eastAsia="宋体" w:cs="宋体"/>
                <w:color w:val="000000"/>
                <w:kern w:val="0"/>
                <w:sz w:val="24"/>
                <w:szCs w:val="24"/>
                <w:highlight w:val="none"/>
                <w:lang w:val="en-US" w:eastAsia="zh-CN" w:bidi="ar"/>
              </w:rPr>
              <w:t>7</w:t>
            </w:r>
          </w:p>
        </w:tc>
        <w:tc>
          <w:tcPr>
            <w:tcW w:w="21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7F8147A">
            <w:pPr>
              <w:widowControl/>
              <w:spacing w:line="360" w:lineRule="auto"/>
              <w:jc w:val="center"/>
              <w:textAlignment w:val="center"/>
              <w:rPr>
                <w:rFonts w:hint="eastAsia" w:ascii="宋体" w:hAnsi="宋体" w:eastAsia="宋体" w:cs="宋体"/>
                <w:color w:val="000000"/>
                <w:kern w:val="0"/>
                <w:sz w:val="24"/>
                <w:szCs w:val="24"/>
                <w:highlight w:val="none"/>
                <w:lang w:bidi="ar"/>
              </w:rPr>
            </w:pPr>
            <w:r>
              <w:rPr>
                <w:rFonts w:hint="eastAsia" w:ascii="宋体" w:hAnsi="宋体" w:eastAsia="宋体" w:cs="宋体"/>
                <w:color w:val="000000"/>
                <w:kern w:val="0"/>
                <w:sz w:val="24"/>
                <w:szCs w:val="24"/>
                <w:highlight w:val="none"/>
                <w:lang w:bidi="ar"/>
              </w:rPr>
              <w:t>演讲台</w:t>
            </w:r>
          </w:p>
        </w:tc>
        <w:tc>
          <w:tcPr>
            <w:tcW w:w="151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9FEAA72">
            <w:pPr>
              <w:widowControl/>
              <w:spacing w:line="360" w:lineRule="auto"/>
              <w:jc w:val="center"/>
              <w:textAlignment w:val="center"/>
              <w:rPr>
                <w:rFonts w:hint="eastAsia" w:ascii="宋体" w:hAnsi="宋体" w:eastAsia="宋体" w:cs="宋体"/>
                <w:sz w:val="24"/>
                <w:szCs w:val="24"/>
                <w:highlight w:val="none"/>
              </w:rPr>
            </w:pPr>
            <w:r>
              <w:rPr>
                <w:rFonts w:hint="eastAsia" w:ascii="宋体" w:hAnsi="宋体" w:eastAsia="宋体" w:cs="宋体"/>
                <w:color w:val="000000"/>
                <w:kern w:val="0"/>
                <w:sz w:val="24"/>
                <w:szCs w:val="24"/>
                <w:highlight w:val="none"/>
              </w:rPr>
              <w:drawing>
                <wp:inline distT="0" distB="0" distL="114300" distR="114300">
                  <wp:extent cx="600075" cy="838200"/>
                  <wp:effectExtent l="0" t="0" r="9525" b="0"/>
                  <wp:docPr id="7" name="图片 7" descr="IMG_3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IMG_366"/>
                          <pic:cNvPicPr>
                            <a:picLocks noChangeAspect="1"/>
                          </pic:cNvPicPr>
                        </pic:nvPicPr>
                        <pic:blipFill>
                          <a:blip r:embed="rId12"/>
                          <a:stretch>
                            <a:fillRect/>
                          </a:stretch>
                        </pic:blipFill>
                        <pic:spPr>
                          <a:xfrm>
                            <a:off x="0" y="0"/>
                            <a:ext cx="600075" cy="838200"/>
                          </a:xfrm>
                          <a:prstGeom prst="rect">
                            <a:avLst/>
                          </a:prstGeom>
                          <a:noFill/>
                          <a:ln>
                            <a:noFill/>
                          </a:ln>
                        </pic:spPr>
                      </pic:pic>
                    </a:graphicData>
                  </a:graphic>
                </wp:inline>
              </w:drawing>
            </w:r>
          </w:p>
        </w:tc>
        <w:tc>
          <w:tcPr>
            <w:tcW w:w="46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1FFD53A">
            <w:pPr>
              <w:widowControl/>
              <w:spacing w:line="360" w:lineRule="auto"/>
              <w:jc w:val="center"/>
              <w:textAlignment w:val="center"/>
              <w:rPr>
                <w:rFonts w:hint="eastAsia" w:ascii="宋体" w:hAnsi="宋体" w:eastAsia="宋体" w:cs="宋体"/>
                <w:color w:val="000000"/>
                <w:kern w:val="0"/>
                <w:sz w:val="24"/>
                <w:szCs w:val="24"/>
                <w:highlight w:val="none"/>
                <w:lang w:bidi="ar"/>
              </w:rPr>
            </w:pPr>
            <w:r>
              <w:rPr>
                <w:rFonts w:hint="eastAsia" w:ascii="宋体" w:hAnsi="宋体" w:eastAsia="宋体" w:cs="宋体"/>
                <w:color w:val="000000"/>
                <w:kern w:val="0"/>
                <w:sz w:val="24"/>
                <w:szCs w:val="24"/>
                <w:highlight w:val="none"/>
                <w:lang w:bidi="ar"/>
              </w:rPr>
              <w:t>标准</w:t>
            </w:r>
          </w:p>
        </w:tc>
        <w:tc>
          <w:tcPr>
            <w:tcW w:w="31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6FC26FB">
            <w:pPr>
              <w:widowControl/>
              <w:spacing w:line="360" w:lineRule="auto"/>
              <w:jc w:val="center"/>
              <w:textAlignment w:val="center"/>
              <w:rPr>
                <w:rFonts w:hint="eastAsia" w:ascii="宋体" w:hAnsi="宋体" w:eastAsia="宋体" w:cs="宋体"/>
                <w:color w:val="000000"/>
                <w:kern w:val="0"/>
                <w:sz w:val="24"/>
                <w:szCs w:val="24"/>
                <w:highlight w:val="none"/>
                <w:lang w:bidi="ar"/>
              </w:rPr>
            </w:pPr>
            <w:r>
              <w:rPr>
                <w:rFonts w:hint="eastAsia" w:ascii="宋体" w:hAnsi="宋体" w:eastAsia="宋体" w:cs="宋体"/>
                <w:color w:val="000000"/>
                <w:kern w:val="0"/>
                <w:sz w:val="24"/>
                <w:szCs w:val="24"/>
                <w:highlight w:val="none"/>
                <w:lang w:bidi="ar"/>
              </w:rPr>
              <w:t>1组</w:t>
            </w:r>
          </w:p>
        </w:tc>
        <w:tc>
          <w:tcPr>
            <w:tcW w:w="1589" w:type="pct"/>
            <w:tcBorders>
              <w:top w:val="single" w:color="000000" w:sz="4" w:space="0"/>
              <w:left w:val="single" w:color="000000" w:sz="4" w:space="0"/>
              <w:bottom w:val="single" w:color="000000" w:sz="4" w:space="0"/>
              <w:right w:val="single" w:color="000000" w:sz="4" w:space="0"/>
            </w:tcBorders>
            <w:noWrap w:val="0"/>
            <w:vAlign w:val="center"/>
          </w:tcPr>
          <w:p w14:paraId="5595C7F9">
            <w:pPr>
              <w:widowControl/>
              <w:numPr>
                <w:ilvl w:val="0"/>
                <w:numId w:val="0"/>
              </w:numPr>
              <w:spacing w:line="360" w:lineRule="auto"/>
              <w:jc w:val="left"/>
              <w:textAlignment w:val="center"/>
              <w:rPr>
                <w:rFonts w:hint="eastAsia" w:ascii="宋体" w:hAnsi="宋体" w:eastAsia="宋体" w:cs="宋体"/>
                <w:color w:val="000000"/>
                <w:kern w:val="0"/>
                <w:sz w:val="24"/>
                <w:szCs w:val="24"/>
                <w:highlight w:val="none"/>
                <w:lang w:bidi="ar"/>
              </w:rPr>
            </w:pPr>
            <w:r>
              <w:rPr>
                <w:rFonts w:hint="eastAsia" w:ascii="宋体" w:hAnsi="宋体" w:eastAsia="宋体" w:cs="宋体"/>
                <w:color w:val="000000"/>
                <w:kern w:val="0"/>
                <w:sz w:val="24"/>
                <w:szCs w:val="24"/>
                <w:highlight w:val="none"/>
                <w:lang w:val="en-US" w:eastAsia="zh-CN" w:bidi="ar"/>
              </w:rPr>
              <w:t>1、木皮：</w:t>
            </w:r>
            <w:r>
              <w:rPr>
                <w:rFonts w:hint="eastAsia" w:ascii="宋体" w:hAnsi="宋体" w:eastAsia="宋体" w:cs="宋体"/>
                <w:color w:val="000000"/>
                <w:kern w:val="0"/>
                <w:sz w:val="24"/>
                <w:szCs w:val="24"/>
                <w:highlight w:val="none"/>
                <w:lang w:bidi="ar"/>
              </w:rPr>
              <w:t>采用优质</w:t>
            </w:r>
            <w:r>
              <w:rPr>
                <w:rFonts w:hint="eastAsia" w:ascii="宋体" w:hAnsi="宋体" w:eastAsia="宋体" w:cs="宋体"/>
                <w:color w:val="000000"/>
                <w:kern w:val="0"/>
                <w:sz w:val="24"/>
                <w:szCs w:val="24"/>
                <w:highlight w:val="none"/>
                <w:lang w:val="en-US" w:eastAsia="zh-CN" w:bidi="ar"/>
              </w:rPr>
              <w:t>天然</w:t>
            </w:r>
            <w:r>
              <w:rPr>
                <w:rFonts w:hint="eastAsia" w:ascii="宋体" w:hAnsi="宋体" w:eastAsia="宋体" w:cs="宋体"/>
                <w:color w:val="000000"/>
                <w:kern w:val="0"/>
                <w:sz w:val="24"/>
                <w:szCs w:val="24"/>
                <w:highlight w:val="none"/>
                <w:lang w:bidi="ar"/>
              </w:rPr>
              <w:t>木皮，</w:t>
            </w:r>
            <w:r>
              <w:rPr>
                <w:rFonts w:hint="eastAsia" w:ascii="宋体" w:hAnsi="宋体" w:eastAsia="宋体" w:cs="宋体"/>
                <w:color w:val="000000"/>
                <w:kern w:val="0"/>
                <w:sz w:val="24"/>
                <w:szCs w:val="24"/>
                <w:highlight w:val="none"/>
                <w:lang w:val="en-US" w:eastAsia="zh-CN" w:bidi="ar"/>
              </w:rPr>
              <w:t>厚度大于等于0.6mm</w:t>
            </w:r>
          </w:p>
          <w:p w14:paraId="49763694">
            <w:pPr>
              <w:widowControl/>
              <w:numPr>
                <w:ilvl w:val="0"/>
                <w:numId w:val="0"/>
              </w:numPr>
              <w:spacing w:line="360" w:lineRule="auto"/>
              <w:jc w:val="left"/>
              <w:textAlignment w:val="center"/>
              <w:rPr>
                <w:rFonts w:hint="eastAsia" w:ascii="宋体" w:hAnsi="宋体" w:eastAsia="宋体" w:cs="宋体"/>
                <w:color w:val="000000"/>
                <w:kern w:val="0"/>
                <w:sz w:val="24"/>
                <w:szCs w:val="24"/>
                <w:highlight w:val="none"/>
                <w:lang w:bidi="ar"/>
              </w:rPr>
            </w:pPr>
            <w:r>
              <w:rPr>
                <w:rFonts w:hint="eastAsia" w:ascii="宋体" w:hAnsi="宋体" w:eastAsia="宋体" w:cs="宋体"/>
                <w:color w:val="000000"/>
                <w:kern w:val="0"/>
                <w:sz w:val="24"/>
                <w:szCs w:val="24"/>
                <w:highlight w:val="none"/>
                <w:lang w:val="en-US" w:eastAsia="zh-CN" w:bidi="ar"/>
              </w:rPr>
              <w:t>2、基材：</w:t>
            </w:r>
            <w:r>
              <w:rPr>
                <w:rFonts w:hint="eastAsia" w:ascii="宋体" w:hAnsi="宋体" w:eastAsia="宋体" w:cs="宋体"/>
                <w:color w:val="000000"/>
                <w:kern w:val="0"/>
                <w:sz w:val="24"/>
                <w:szCs w:val="24"/>
                <w:highlight w:val="none"/>
                <w:lang w:bidi="ar"/>
              </w:rPr>
              <w:t>采用优质品牌</w:t>
            </w:r>
            <w:r>
              <w:rPr>
                <w:rFonts w:hint="eastAsia" w:ascii="宋体" w:hAnsi="宋体" w:eastAsia="宋体" w:cs="宋体"/>
                <w:color w:val="000000"/>
                <w:kern w:val="0"/>
                <w:sz w:val="24"/>
                <w:szCs w:val="24"/>
                <w:highlight w:val="none"/>
                <w:lang w:val="en-US" w:eastAsia="zh-CN" w:bidi="ar"/>
              </w:rPr>
              <w:t>ENF级</w:t>
            </w:r>
            <w:r>
              <w:rPr>
                <w:rFonts w:hint="eastAsia" w:ascii="宋体" w:hAnsi="宋体" w:eastAsia="宋体" w:cs="宋体"/>
                <w:color w:val="000000"/>
                <w:kern w:val="0"/>
                <w:sz w:val="24"/>
                <w:szCs w:val="24"/>
                <w:highlight w:val="none"/>
                <w:lang w:bidi="ar"/>
              </w:rPr>
              <w:t>中密度纤维板，符合GB/T 11718-2021、GB18580-20</w:t>
            </w:r>
            <w:r>
              <w:rPr>
                <w:rFonts w:hint="eastAsia" w:ascii="宋体" w:hAnsi="宋体" w:eastAsia="宋体" w:cs="宋体"/>
                <w:color w:val="000000"/>
                <w:kern w:val="0"/>
                <w:sz w:val="24"/>
                <w:szCs w:val="24"/>
                <w:highlight w:val="none"/>
                <w:lang w:val="en-US" w:eastAsia="zh-CN" w:bidi="ar"/>
              </w:rPr>
              <w:t>25</w:t>
            </w:r>
            <w:r>
              <w:rPr>
                <w:rFonts w:hint="eastAsia" w:ascii="宋体" w:hAnsi="宋体" w:eastAsia="宋体" w:cs="宋体"/>
                <w:color w:val="000000"/>
                <w:kern w:val="0"/>
                <w:sz w:val="24"/>
                <w:szCs w:val="24"/>
                <w:highlight w:val="none"/>
                <w:lang w:bidi="ar"/>
              </w:rPr>
              <w:t>、GB/T39600-2021、GB/T35601-2024标准要求，总挥发性有机化合物（TVOC）含量未检出，甲醛释放量</w:t>
            </w:r>
            <w:r>
              <w:rPr>
                <w:rFonts w:hint="eastAsia" w:ascii="宋体" w:hAnsi="宋体" w:eastAsia="宋体" w:cs="宋体"/>
                <w:color w:val="000000"/>
                <w:kern w:val="0"/>
                <w:sz w:val="24"/>
                <w:szCs w:val="24"/>
                <w:highlight w:val="none"/>
                <w:lang w:val="en-US" w:eastAsia="zh-CN" w:bidi="ar"/>
              </w:rPr>
              <w:t>小于0.025mg/m³.</w:t>
            </w:r>
          </w:p>
          <w:p w14:paraId="3769D8C4">
            <w:pPr>
              <w:widowControl/>
              <w:numPr>
                <w:ilvl w:val="0"/>
                <w:numId w:val="0"/>
              </w:numPr>
              <w:spacing w:line="360" w:lineRule="auto"/>
              <w:jc w:val="left"/>
              <w:textAlignment w:val="center"/>
              <w:rPr>
                <w:rFonts w:hint="eastAsia" w:ascii="宋体" w:hAnsi="宋体" w:eastAsia="宋体" w:cs="宋体"/>
                <w:color w:val="000000"/>
                <w:kern w:val="0"/>
                <w:sz w:val="24"/>
                <w:szCs w:val="24"/>
                <w:highlight w:val="none"/>
                <w:lang w:bidi="ar"/>
              </w:rPr>
            </w:pPr>
            <w:r>
              <w:rPr>
                <w:rFonts w:hint="eastAsia" w:ascii="宋体" w:hAnsi="宋体" w:eastAsia="宋体" w:cs="宋体"/>
                <w:color w:val="000000"/>
                <w:kern w:val="0"/>
                <w:sz w:val="24"/>
                <w:szCs w:val="24"/>
                <w:highlight w:val="none"/>
                <w:lang w:val="en-US" w:eastAsia="zh-CN" w:bidi="ar"/>
              </w:rPr>
              <w:t>3、油漆：选用优质水性面漆、底漆：</w:t>
            </w:r>
            <w:r>
              <w:rPr>
                <w:rFonts w:hint="eastAsia" w:ascii="宋体" w:hAnsi="宋体" w:eastAsia="宋体" w:cs="宋体"/>
                <w:color w:val="000000"/>
                <w:kern w:val="0"/>
                <w:sz w:val="24"/>
                <w:szCs w:val="24"/>
                <w:highlight w:val="none"/>
                <w:lang w:bidi="ar"/>
              </w:rPr>
              <w:t>符合</w:t>
            </w:r>
            <w:r>
              <w:rPr>
                <w:rFonts w:ascii="宋体" w:hAnsi="宋体" w:eastAsia="宋体" w:cs="宋体"/>
                <w:sz w:val="24"/>
                <w:szCs w:val="24"/>
                <w:highlight w:val="none"/>
              </w:rPr>
              <w:t>GB30981.2</w:t>
            </w:r>
            <w:r>
              <w:rPr>
                <w:rFonts w:hint="eastAsia" w:ascii="宋体" w:hAnsi="宋体" w:eastAsia="宋体" w:cs="宋体"/>
                <w:sz w:val="24"/>
                <w:szCs w:val="24"/>
                <w:highlight w:val="none"/>
                <w:lang w:val="en-US" w:eastAsia="zh-CN"/>
              </w:rPr>
              <w:t>-</w:t>
            </w:r>
            <w:r>
              <w:rPr>
                <w:rFonts w:ascii="宋体" w:hAnsi="宋体" w:eastAsia="宋体" w:cs="宋体"/>
                <w:sz w:val="24"/>
                <w:szCs w:val="24"/>
                <w:highlight w:val="none"/>
              </w:rPr>
              <w:t>2025</w:t>
            </w:r>
            <w:r>
              <w:rPr>
                <w:rFonts w:hint="eastAsia" w:ascii="宋体" w:hAnsi="宋体" w:eastAsia="宋体" w:cs="宋体"/>
                <w:color w:val="000000"/>
                <w:kern w:val="0"/>
                <w:sz w:val="24"/>
                <w:szCs w:val="24"/>
                <w:highlight w:val="none"/>
                <w:lang w:bidi="ar"/>
              </w:rPr>
              <w:t>、HJ2537-2014标准要求，VOC含量未检出，游离甲醛含量未检出，苯、甲苯、二甲苯、乙苯的总量未检出，卤代烃含量未检出，总铅（Pb）含量未检出。</w:t>
            </w:r>
          </w:p>
          <w:p w14:paraId="71C2A1EF">
            <w:pPr>
              <w:widowControl/>
              <w:spacing w:line="360" w:lineRule="auto"/>
              <w:jc w:val="left"/>
              <w:textAlignment w:val="center"/>
              <w:rPr>
                <w:rFonts w:hint="eastAsia" w:ascii="宋体" w:hAnsi="宋体" w:eastAsia="宋体" w:cs="宋体"/>
                <w:color w:val="000000"/>
                <w:kern w:val="0"/>
                <w:sz w:val="24"/>
                <w:szCs w:val="24"/>
                <w:highlight w:val="none"/>
                <w:lang w:bidi="ar"/>
              </w:rPr>
            </w:pPr>
            <w:r>
              <w:rPr>
                <w:rFonts w:hint="eastAsia" w:ascii="宋体" w:hAnsi="宋体" w:eastAsia="宋体" w:cs="宋体"/>
                <w:color w:val="000000"/>
                <w:kern w:val="0"/>
                <w:sz w:val="24"/>
                <w:szCs w:val="24"/>
                <w:highlight w:val="none"/>
                <w:lang w:val="en-US" w:eastAsia="zh-CN" w:bidi="ar"/>
              </w:rPr>
              <w:t>4，胶粘剂：</w:t>
            </w:r>
            <w:r>
              <w:rPr>
                <w:rFonts w:hint="eastAsia" w:ascii="宋体" w:hAnsi="宋体" w:eastAsia="宋体" w:cs="宋体"/>
                <w:color w:val="000000"/>
                <w:kern w:val="0"/>
                <w:sz w:val="24"/>
                <w:szCs w:val="24"/>
                <w:highlight w:val="none"/>
                <w:lang w:bidi="ar"/>
              </w:rPr>
              <w:t>采用优质品牌白乳胶，符合GB18583-2008、GB33372-2020、HJ2541-2016标准要求，游离甲醛含量未检出，总挥发性有机物含量未检出。</w:t>
            </w:r>
          </w:p>
        </w:tc>
        <w:tc>
          <w:tcPr>
            <w:tcW w:w="320" w:type="pct"/>
            <w:tcBorders>
              <w:top w:val="single" w:color="000000" w:sz="4" w:space="0"/>
              <w:left w:val="single" w:color="000000" w:sz="4" w:space="0"/>
              <w:bottom w:val="single" w:color="000000" w:sz="4" w:space="0"/>
              <w:right w:val="single" w:color="000000" w:sz="4" w:space="0"/>
            </w:tcBorders>
            <w:noWrap w:val="0"/>
            <w:vAlign w:val="center"/>
          </w:tcPr>
          <w:p w14:paraId="20744596">
            <w:pPr>
              <w:keepNext w:val="0"/>
              <w:keepLines w:val="0"/>
              <w:widowControl/>
              <w:suppressLineNumbers w:val="0"/>
              <w:spacing w:line="360" w:lineRule="auto"/>
              <w:jc w:val="center"/>
              <w:textAlignment w:val="center"/>
              <w:rPr>
                <w:rFonts w:hint="eastAsia" w:ascii="宋体" w:hAnsi="宋体" w:eastAsia="宋体" w:cs="宋体"/>
                <w:color w:val="000000"/>
                <w:kern w:val="0"/>
                <w:sz w:val="24"/>
                <w:szCs w:val="24"/>
                <w:highlight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1600</w:t>
            </w:r>
          </w:p>
        </w:tc>
        <w:tc>
          <w:tcPr>
            <w:tcW w:w="424" w:type="pct"/>
            <w:tcBorders>
              <w:top w:val="single" w:color="000000" w:sz="4" w:space="0"/>
              <w:left w:val="single" w:color="000000" w:sz="4" w:space="0"/>
              <w:bottom w:val="single" w:color="000000" w:sz="4" w:space="0"/>
              <w:right w:val="single" w:color="000000" w:sz="4" w:space="0"/>
            </w:tcBorders>
            <w:noWrap w:val="0"/>
            <w:vAlign w:val="center"/>
          </w:tcPr>
          <w:p w14:paraId="38F1FC5E">
            <w:pPr>
              <w:keepNext w:val="0"/>
              <w:keepLines w:val="0"/>
              <w:widowControl/>
              <w:suppressLineNumbers w:val="0"/>
              <w:spacing w:line="360" w:lineRule="auto"/>
              <w:jc w:val="right"/>
              <w:textAlignment w:val="center"/>
              <w:rPr>
                <w:rFonts w:hint="eastAsia" w:ascii="宋体" w:hAnsi="宋体" w:eastAsia="宋体" w:cs="宋体"/>
                <w:color w:val="000000"/>
                <w:kern w:val="0"/>
                <w:sz w:val="24"/>
                <w:szCs w:val="24"/>
                <w:highlight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1600</w:t>
            </w:r>
          </w:p>
        </w:tc>
      </w:tr>
      <w:tr w14:paraId="3CF1F5AB">
        <w:tblPrEx>
          <w:tblCellMar>
            <w:top w:w="15" w:type="dxa"/>
            <w:left w:w="108" w:type="dxa"/>
            <w:bottom w:w="15" w:type="dxa"/>
            <w:right w:w="108" w:type="dxa"/>
          </w:tblCellMar>
        </w:tblPrEx>
        <w:trPr>
          <w:trHeight w:val="224" w:hRule="atLeast"/>
          <w:jc w:val="center"/>
        </w:trPr>
        <w:tc>
          <w:tcPr>
            <w:tcW w:w="156"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6737EE0">
            <w:pPr>
              <w:widowControl/>
              <w:spacing w:line="360" w:lineRule="auto"/>
              <w:jc w:val="center"/>
              <w:textAlignment w:val="center"/>
              <w:rPr>
                <w:rFonts w:hint="eastAsia" w:ascii="宋体" w:hAnsi="宋体" w:eastAsia="宋体" w:cs="宋体"/>
                <w:color w:val="000000"/>
                <w:kern w:val="0"/>
                <w:sz w:val="24"/>
                <w:szCs w:val="24"/>
                <w:highlight w:val="none"/>
                <w:lang w:eastAsia="zh-CN" w:bidi="ar"/>
              </w:rPr>
            </w:pPr>
            <w:r>
              <w:rPr>
                <w:rFonts w:hint="eastAsia" w:ascii="宋体" w:hAnsi="宋体" w:eastAsia="宋体" w:cs="宋体"/>
                <w:color w:val="000000"/>
                <w:kern w:val="0"/>
                <w:sz w:val="24"/>
                <w:szCs w:val="24"/>
                <w:highlight w:val="none"/>
                <w:lang w:val="en-US" w:eastAsia="zh-CN" w:bidi="ar"/>
              </w:rPr>
              <w:t>8</w:t>
            </w:r>
          </w:p>
        </w:tc>
        <w:tc>
          <w:tcPr>
            <w:tcW w:w="21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254F6BF">
            <w:pPr>
              <w:widowControl/>
              <w:spacing w:line="360" w:lineRule="auto"/>
              <w:jc w:val="center"/>
              <w:textAlignment w:val="center"/>
              <w:rPr>
                <w:rFonts w:hint="eastAsia" w:ascii="宋体" w:hAnsi="宋体" w:eastAsia="宋体" w:cs="宋体"/>
                <w:color w:val="000000"/>
                <w:kern w:val="0"/>
                <w:sz w:val="24"/>
                <w:szCs w:val="24"/>
                <w:highlight w:val="none"/>
                <w:lang w:bidi="ar"/>
              </w:rPr>
            </w:pPr>
            <w:r>
              <w:rPr>
                <w:rFonts w:hint="eastAsia" w:ascii="宋体" w:hAnsi="宋体" w:eastAsia="宋体" w:cs="宋体"/>
                <w:color w:val="000000"/>
                <w:kern w:val="0"/>
                <w:sz w:val="24"/>
                <w:szCs w:val="24"/>
                <w:highlight w:val="none"/>
                <w:lang w:bidi="ar"/>
              </w:rPr>
              <w:t>报告厅</w:t>
            </w:r>
          </w:p>
          <w:p w14:paraId="162EF9D0">
            <w:pPr>
              <w:widowControl/>
              <w:spacing w:line="360" w:lineRule="auto"/>
              <w:jc w:val="center"/>
              <w:textAlignment w:val="center"/>
              <w:rPr>
                <w:rFonts w:hint="eastAsia" w:ascii="宋体" w:hAnsi="宋体" w:eastAsia="宋体" w:cs="宋体"/>
                <w:color w:val="000000"/>
                <w:kern w:val="0"/>
                <w:sz w:val="24"/>
                <w:szCs w:val="24"/>
                <w:highlight w:val="none"/>
                <w:lang w:bidi="ar"/>
              </w:rPr>
            </w:pPr>
            <w:r>
              <w:rPr>
                <w:rFonts w:hint="eastAsia" w:ascii="宋体" w:hAnsi="宋体" w:eastAsia="宋体" w:cs="宋体"/>
                <w:color w:val="000000"/>
                <w:kern w:val="0"/>
                <w:sz w:val="24"/>
                <w:szCs w:val="24"/>
                <w:highlight w:val="none"/>
                <w:lang w:val="en-US" w:eastAsia="zh-CN" w:bidi="ar"/>
              </w:rPr>
              <w:t>剧院椅</w:t>
            </w:r>
          </w:p>
        </w:tc>
        <w:tc>
          <w:tcPr>
            <w:tcW w:w="151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FA735CF">
            <w:pPr>
              <w:widowControl/>
              <w:spacing w:line="360" w:lineRule="auto"/>
              <w:jc w:val="center"/>
              <w:textAlignment w:val="center"/>
              <w:rPr>
                <w:rFonts w:hint="eastAsia" w:ascii="宋体" w:hAnsi="宋体" w:eastAsia="宋体" w:cs="宋体"/>
                <w:sz w:val="24"/>
                <w:szCs w:val="24"/>
                <w:highlight w:val="none"/>
                <w:lang w:eastAsia="zh-CN"/>
              </w:rPr>
            </w:pPr>
            <w:r>
              <w:rPr>
                <w:rFonts w:hint="eastAsia" w:ascii="宋体" w:hAnsi="宋体" w:eastAsia="宋体" w:cs="宋体"/>
                <w:sz w:val="24"/>
                <w:szCs w:val="24"/>
                <w:highlight w:val="none"/>
                <w:lang w:eastAsia="zh-CN"/>
              </w:rPr>
              <w:drawing>
                <wp:inline distT="0" distB="0" distL="114300" distR="114300">
                  <wp:extent cx="1209675" cy="1859280"/>
                  <wp:effectExtent l="0" t="0" r="9525" b="7620"/>
                  <wp:docPr id="8" name="图片 8" descr="cdce5709b92a0a97e812af5e27e6950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descr="cdce5709b92a0a97e812af5e27e6950e"/>
                          <pic:cNvPicPr>
                            <a:picLocks noChangeAspect="1"/>
                          </pic:cNvPicPr>
                        </pic:nvPicPr>
                        <pic:blipFill>
                          <a:blip r:embed="rId13"/>
                          <a:stretch>
                            <a:fillRect/>
                          </a:stretch>
                        </pic:blipFill>
                        <pic:spPr>
                          <a:xfrm>
                            <a:off x="0" y="0"/>
                            <a:ext cx="1209675" cy="1859280"/>
                          </a:xfrm>
                          <a:prstGeom prst="rect">
                            <a:avLst/>
                          </a:prstGeom>
                          <a:noFill/>
                          <a:ln>
                            <a:noFill/>
                          </a:ln>
                        </pic:spPr>
                      </pic:pic>
                    </a:graphicData>
                  </a:graphic>
                </wp:inline>
              </w:drawing>
            </w:r>
          </w:p>
        </w:tc>
        <w:tc>
          <w:tcPr>
            <w:tcW w:w="46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E1355D7">
            <w:pPr>
              <w:widowControl/>
              <w:spacing w:line="360" w:lineRule="auto"/>
              <w:jc w:val="center"/>
              <w:textAlignment w:val="center"/>
              <w:rPr>
                <w:rFonts w:hint="eastAsia" w:ascii="宋体" w:hAnsi="宋体" w:eastAsia="宋体" w:cs="宋体"/>
                <w:color w:val="000000"/>
                <w:kern w:val="0"/>
                <w:sz w:val="24"/>
                <w:szCs w:val="24"/>
                <w:highlight w:val="none"/>
                <w:lang w:bidi="ar"/>
              </w:rPr>
            </w:pPr>
            <w:r>
              <w:rPr>
                <w:rFonts w:hint="eastAsia" w:ascii="宋体" w:hAnsi="宋体" w:eastAsia="宋体" w:cs="宋体"/>
                <w:color w:val="000000"/>
                <w:kern w:val="0"/>
                <w:sz w:val="24"/>
                <w:szCs w:val="24"/>
                <w:highlight w:val="none"/>
                <w:lang w:bidi="ar"/>
              </w:rPr>
              <w:t>560*860*980</w:t>
            </w:r>
          </w:p>
        </w:tc>
        <w:tc>
          <w:tcPr>
            <w:tcW w:w="310"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C0F4C02">
            <w:pPr>
              <w:widowControl/>
              <w:spacing w:line="360" w:lineRule="auto"/>
              <w:jc w:val="center"/>
              <w:textAlignment w:val="center"/>
              <w:rPr>
                <w:rFonts w:hint="eastAsia" w:ascii="宋体" w:hAnsi="宋体" w:eastAsia="宋体" w:cs="宋体"/>
                <w:color w:val="000000"/>
                <w:kern w:val="0"/>
                <w:sz w:val="24"/>
                <w:szCs w:val="24"/>
                <w:highlight w:val="none"/>
                <w:lang w:bidi="ar"/>
              </w:rPr>
            </w:pPr>
            <w:r>
              <w:rPr>
                <w:rFonts w:hint="eastAsia" w:ascii="宋体" w:hAnsi="宋体" w:eastAsia="宋体" w:cs="宋体"/>
                <w:color w:val="000000"/>
                <w:kern w:val="0"/>
                <w:sz w:val="24"/>
                <w:szCs w:val="24"/>
                <w:highlight w:val="none"/>
                <w:lang w:bidi="ar"/>
              </w:rPr>
              <w:t>384位</w:t>
            </w:r>
          </w:p>
        </w:tc>
        <w:tc>
          <w:tcPr>
            <w:tcW w:w="1589" w:type="pct"/>
            <w:tcBorders>
              <w:top w:val="single" w:color="000000" w:sz="4" w:space="0"/>
              <w:left w:val="single" w:color="000000" w:sz="4" w:space="0"/>
              <w:bottom w:val="single" w:color="000000" w:sz="4" w:space="0"/>
              <w:right w:val="single" w:color="000000" w:sz="4" w:space="0"/>
            </w:tcBorders>
            <w:noWrap w:val="0"/>
            <w:vAlign w:val="center"/>
          </w:tcPr>
          <w:p w14:paraId="6D8E5538">
            <w:pPr>
              <w:widowControl/>
              <w:numPr>
                <w:ilvl w:val="0"/>
                <w:numId w:val="6"/>
              </w:numPr>
              <w:spacing w:line="360" w:lineRule="auto"/>
              <w:jc w:val="left"/>
              <w:textAlignment w:val="center"/>
              <w:rPr>
                <w:rFonts w:hint="eastAsia" w:ascii="宋体" w:hAnsi="宋体" w:eastAsia="宋体" w:cs="宋体"/>
                <w:color w:val="000000"/>
                <w:kern w:val="0"/>
                <w:sz w:val="24"/>
                <w:szCs w:val="24"/>
                <w:highlight w:val="none"/>
                <w:lang w:bidi="ar"/>
              </w:rPr>
            </w:pPr>
            <w:r>
              <w:rPr>
                <w:rFonts w:hint="eastAsia" w:ascii="宋体" w:hAnsi="宋体" w:eastAsia="宋体" w:cs="宋体"/>
                <w:color w:val="000000"/>
                <w:kern w:val="0"/>
                <w:sz w:val="24"/>
                <w:szCs w:val="24"/>
                <w:highlight w:val="none"/>
                <w:lang w:bidi="ar"/>
              </w:rPr>
              <w:t>麻绒布</w:t>
            </w:r>
            <w:r>
              <w:rPr>
                <w:rFonts w:hint="eastAsia" w:ascii="宋体" w:hAnsi="宋体" w:eastAsia="宋体" w:cs="宋体"/>
                <w:color w:val="000000"/>
                <w:kern w:val="0"/>
                <w:sz w:val="24"/>
                <w:szCs w:val="24"/>
                <w:highlight w:val="none"/>
                <w:lang w:eastAsia="zh-CN" w:bidi="ar"/>
              </w:rPr>
              <w:t>：</w:t>
            </w:r>
            <w:r>
              <w:rPr>
                <w:rFonts w:hint="eastAsia" w:ascii="宋体" w:hAnsi="宋体" w:eastAsia="宋体" w:cs="宋体"/>
                <w:color w:val="000000"/>
                <w:kern w:val="0"/>
                <w:sz w:val="24"/>
                <w:szCs w:val="24"/>
                <w:highlight w:val="none"/>
                <w:lang w:bidi="ar"/>
              </w:rPr>
              <w:t>采用优质品牌麻绒布，符合</w:t>
            </w:r>
            <w:r>
              <w:rPr>
                <w:rFonts w:hint="eastAsia" w:ascii="宋体" w:hAnsi="宋体" w:eastAsia="宋体" w:cs="宋体"/>
                <w:color w:val="000000"/>
                <w:kern w:val="0"/>
                <w:sz w:val="24"/>
                <w:szCs w:val="24"/>
                <w:highlight w:val="none"/>
                <w:lang w:val="en-US" w:eastAsia="zh-CN" w:bidi="ar"/>
              </w:rPr>
              <w:t>QB/T2280-2016</w:t>
            </w:r>
            <w:r>
              <w:rPr>
                <w:rFonts w:hint="eastAsia" w:ascii="宋体" w:hAnsi="宋体" w:eastAsia="宋体" w:cs="宋体"/>
                <w:color w:val="000000"/>
                <w:kern w:val="0"/>
                <w:sz w:val="24"/>
                <w:szCs w:val="24"/>
                <w:highlight w:val="none"/>
                <w:lang w:bidi="ar"/>
              </w:rPr>
              <w:t>、</w:t>
            </w:r>
            <w:r>
              <w:rPr>
                <w:rFonts w:hint="eastAsia" w:ascii="宋体" w:hAnsi="宋体" w:eastAsia="宋体" w:cs="宋体"/>
                <w:color w:val="000000"/>
                <w:kern w:val="0"/>
                <w:sz w:val="24"/>
                <w:szCs w:val="24"/>
                <w:highlight w:val="none"/>
                <w:lang w:val="en-US" w:eastAsia="zh-CN" w:bidi="ar"/>
              </w:rPr>
              <w:t>QB/T1952.1-2023、</w:t>
            </w:r>
            <w:r>
              <w:rPr>
                <w:rFonts w:hint="eastAsia" w:ascii="宋体" w:hAnsi="宋体" w:eastAsia="宋体" w:cs="宋体"/>
                <w:color w:val="000000"/>
                <w:kern w:val="0"/>
                <w:sz w:val="24"/>
                <w:szCs w:val="24"/>
                <w:highlight w:val="none"/>
                <w:lang w:bidi="ar"/>
              </w:rPr>
              <w:t>GB/T</w:t>
            </w:r>
            <w:r>
              <w:rPr>
                <w:rFonts w:hint="eastAsia" w:ascii="宋体" w:hAnsi="宋体" w:eastAsia="宋体" w:cs="宋体"/>
                <w:color w:val="000000"/>
                <w:kern w:val="0"/>
                <w:sz w:val="24"/>
                <w:szCs w:val="24"/>
                <w:highlight w:val="none"/>
                <w:lang w:val="en-US" w:eastAsia="zh-CN" w:bidi="ar"/>
              </w:rPr>
              <w:t>18401-2010、GB/T3917.3-2025</w:t>
            </w:r>
            <w:r>
              <w:rPr>
                <w:rFonts w:hint="eastAsia" w:ascii="宋体" w:hAnsi="宋体" w:eastAsia="宋体" w:cs="宋体"/>
                <w:color w:val="000000"/>
                <w:kern w:val="0"/>
                <w:sz w:val="24"/>
                <w:szCs w:val="24"/>
                <w:highlight w:val="none"/>
                <w:lang w:bidi="ar"/>
              </w:rPr>
              <w:t>标准要求，</w:t>
            </w:r>
            <w:r>
              <w:rPr>
                <w:rFonts w:hint="eastAsia" w:ascii="宋体" w:hAnsi="宋体" w:eastAsia="宋体" w:cs="宋体"/>
                <w:color w:val="000000"/>
                <w:kern w:val="0"/>
                <w:sz w:val="24"/>
                <w:szCs w:val="24"/>
                <w:highlight w:val="none"/>
                <w:lang w:val="en-US" w:eastAsia="zh-CN" w:bidi="ar"/>
              </w:rPr>
              <w:t>色牢度符合，</w:t>
            </w:r>
            <w:r>
              <w:rPr>
                <w:rFonts w:hint="eastAsia" w:ascii="宋体" w:hAnsi="宋体" w:eastAsia="宋体" w:cs="宋体"/>
                <w:color w:val="000000"/>
                <w:kern w:val="0"/>
                <w:sz w:val="24"/>
                <w:szCs w:val="24"/>
                <w:highlight w:val="none"/>
                <w:lang w:bidi="ar"/>
              </w:rPr>
              <w:t>耐磨性能检测</w:t>
            </w:r>
            <w:r>
              <w:rPr>
                <w:rFonts w:hint="eastAsia" w:ascii="宋体" w:hAnsi="宋体" w:eastAsia="宋体" w:cs="宋体"/>
                <w:color w:val="000000"/>
                <w:kern w:val="0"/>
                <w:sz w:val="24"/>
                <w:szCs w:val="24"/>
                <w:highlight w:val="none"/>
                <w:lang w:val="en-US" w:eastAsia="zh-CN" w:bidi="ar"/>
              </w:rPr>
              <w:t>3</w:t>
            </w:r>
            <w:r>
              <w:rPr>
                <w:rFonts w:hint="eastAsia" w:ascii="宋体" w:hAnsi="宋体" w:eastAsia="宋体" w:cs="宋体"/>
                <w:color w:val="000000"/>
                <w:kern w:val="0"/>
                <w:sz w:val="24"/>
                <w:szCs w:val="24"/>
                <w:highlight w:val="none"/>
                <w:lang w:bidi="ar"/>
              </w:rPr>
              <w:t>万次未破损，</w:t>
            </w:r>
            <w:r>
              <w:rPr>
                <w:rFonts w:hint="eastAsia" w:ascii="宋体" w:hAnsi="宋体" w:eastAsia="宋体" w:cs="宋体"/>
                <w:color w:val="000000"/>
                <w:kern w:val="0"/>
                <w:sz w:val="24"/>
                <w:szCs w:val="24"/>
                <w:highlight w:val="none"/>
                <w:lang w:val="en-US" w:eastAsia="zh-CN" w:bidi="ar"/>
              </w:rPr>
              <w:t>无异味、梯形试样撕破强力/N纵向500、横向290</w:t>
            </w:r>
          </w:p>
          <w:p w14:paraId="48997882">
            <w:pPr>
              <w:widowControl/>
              <w:numPr>
                <w:ilvl w:val="0"/>
                <w:numId w:val="6"/>
              </w:numPr>
              <w:spacing w:line="360" w:lineRule="auto"/>
              <w:jc w:val="left"/>
              <w:textAlignment w:val="center"/>
              <w:rPr>
                <w:rFonts w:hint="eastAsia" w:ascii="宋体" w:hAnsi="宋体" w:eastAsia="宋体" w:cs="宋体"/>
                <w:color w:val="000000"/>
                <w:kern w:val="0"/>
                <w:sz w:val="24"/>
                <w:szCs w:val="24"/>
                <w:highlight w:val="none"/>
                <w:lang w:bidi="ar"/>
              </w:rPr>
            </w:pPr>
            <w:r>
              <w:rPr>
                <w:rFonts w:hint="eastAsia" w:ascii="宋体" w:hAnsi="宋体" w:eastAsia="宋体" w:cs="宋体"/>
                <w:color w:val="000000"/>
                <w:kern w:val="0"/>
                <w:sz w:val="24"/>
                <w:szCs w:val="24"/>
                <w:highlight w:val="none"/>
                <w:lang w:val="en-US" w:eastAsia="zh-CN" w:bidi="ar"/>
              </w:rPr>
              <w:t>海绵，采用优质品牌高弹阻燃海绵，符合GB/T10802-2023、GB/T6343-2009、GB 17927-2024、QB/T2280-2016标准要求，回弹率≥50%，75%压缩永久变形≤2%，气味等级≥10级，拉伸强度≥130KPa，密度≥43kg/m³，甲醛释放量未检出，阻燃性符合。</w:t>
            </w:r>
          </w:p>
          <w:p w14:paraId="0FD54F7A">
            <w:pPr>
              <w:widowControl/>
              <w:numPr>
                <w:ilvl w:val="0"/>
                <w:numId w:val="6"/>
              </w:numPr>
              <w:spacing w:line="360" w:lineRule="auto"/>
              <w:jc w:val="left"/>
              <w:textAlignment w:val="center"/>
              <w:rPr>
                <w:rFonts w:hint="eastAsia" w:ascii="宋体" w:hAnsi="宋体" w:eastAsia="宋体" w:cs="宋体"/>
                <w:color w:val="000000"/>
                <w:kern w:val="0"/>
                <w:sz w:val="24"/>
                <w:szCs w:val="24"/>
                <w:highlight w:val="none"/>
                <w:lang w:bidi="ar"/>
              </w:rPr>
            </w:pPr>
            <w:r>
              <w:rPr>
                <w:rFonts w:hint="eastAsia" w:ascii="宋体" w:hAnsi="宋体" w:eastAsia="宋体" w:cs="宋体"/>
                <w:color w:val="000000"/>
                <w:kern w:val="0"/>
                <w:sz w:val="24"/>
                <w:szCs w:val="24"/>
                <w:highlight w:val="none"/>
                <w:lang w:val="en-US" w:eastAsia="zh-CN" w:bidi="ar"/>
              </w:rPr>
              <w:t>背板,采用优质ENF级多层板，</w:t>
            </w:r>
            <w:r>
              <w:rPr>
                <w:rFonts w:hint="eastAsia" w:ascii="宋体" w:hAnsi="宋体" w:eastAsia="宋体" w:cs="宋体"/>
                <w:color w:val="000000"/>
                <w:kern w:val="0"/>
                <w:sz w:val="24"/>
                <w:szCs w:val="24"/>
                <w:highlight w:val="none"/>
                <w:lang w:bidi="ar"/>
              </w:rPr>
              <w:t>GB18580-20</w:t>
            </w:r>
            <w:r>
              <w:rPr>
                <w:rFonts w:hint="eastAsia" w:ascii="宋体" w:hAnsi="宋体" w:eastAsia="宋体" w:cs="宋体"/>
                <w:color w:val="000000"/>
                <w:kern w:val="0"/>
                <w:sz w:val="24"/>
                <w:szCs w:val="24"/>
                <w:highlight w:val="none"/>
                <w:lang w:val="en-US" w:eastAsia="zh-CN" w:bidi="ar"/>
              </w:rPr>
              <w:t>25</w:t>
            </w:r>
            <w:r>
              <w:rPr>
                <w:rFonts w:hint="eastAsia" w:ascii="宋体" w:hAnsi="宋体" w:eastAsia="宋体" w:cs="宋体"/>
                <w:color w:val="000000"/>
                <w:kern w:val="0"/>
                <w:sz w:val="24"/>
                <w:szCs w:val="24"/>
                <w:highlight w:val="none"/>
                <w:lang w:eastAsia="zh-CN" w:bidi="ar"/>
              </w:rPr>
              <w:t>、</w:t>
            </w:r>
            <w:r>
              <w:rPr>
                <w:rFonts w:hint="eastAsia" w:ascii="宋体" w:hAnsi="宋体" w:eastAsia="宋体" w:cs="宋体"/>
                <w:color w:val="000000"/>
                <w:kern w:val="0"/>
                <w:sz w:val="24"/>
                <w:szCs w:val="24"/>
                <w:highlight w:val="none"/>
                <w:lang w:val="en-US" w:eastAsia="zh-CN" w:bidi="ar"/>
              </w:rPr>
              <w:t>GB/T9846-2015、HJ571-2010</w:t>
            </w:r>
            <w:r>
              <w:rPr>
                <w:rFonts w:hint="eastAsia" w:ascii="宋体" w:hAnsi="宋体" w:eastAsia="宋体" w:cs="宋体"/>
                <w:color w:val="000000"/>
                <w:kern w:val="0"/>
                <w:sz w:val="24"/>
                <w:szCs w:val="24"/>
                <w:highlight w:val="none"/>
                <w:lang w:bidi="ar"/>
              </w:rPr>
              <w:t>、GB/T35601-2024标准要求，甲醛释放量未检出，苯、甲苯、二甲苯含量未检出，总挥发性有机化合物（TVOC）含量未检出。</w:t>
            </w:r>
          </w:p>
          <w:p w14:paraId="27D241D1">
            <w:pPr>
              <w:widowControl/>
              <w:numPr>
                <w:ilvl w:val="0"/>
                <w:numId w:val="6"/>
              </w:numPr>
              <w:spacing w:line="360" w:lineRule="auto"/>
              <w:jc w:val="left"/>
              <w:textAlignment w:val="center"/>
              <w:rPr>
                <w:rFonts w:hint="eastAsia" w:ascii="宋体" w:hAnsi="宋体" w:eastAsia="宋体" w:cs="宋体"/>
                <w:color w:val="000000"/>
                <w:kern w:val="0"/>
                <w:sz w:val="24"/>
                <w:szCs w:val="24"/>
                <w:highlight w:val="none"/>
                <w:lang w:bidi="ar"/>
              </w:rPr>
            </w:pPr>
            <w:r>
              <w:rPr>
                <w:rFonts w:hint="eastAsia" w:ascii="宋体" w:hAnsi="宋体" w:eastAsia="宋体" w:cs="宋体"/>
                <w:color w:val="000000"/>
                <w:kern w:val="0"/>
                <w:sz w:val="24"/>
                <w:szCs w:val="24"/>
                <w:highlight w:val="none"/>
                <w:lang w:val="en-US" w:eastAsia="zh-CN" w:bidi="ar"/>
              </w:rPr>
              <w:t>铸脚：采用加厚（2.0MM）冷轧钢板</w:t>
            </w:r>
            <w:r>
              <w:rPr>
                <w:rFonts w:hint="eastAsia" w:ascii="宋体" w:hAnsi="宋体" w:eastAsia="宋体" w:cs="宋体"/>
                <w:color w:val="000000"/>
                <w:kern w:val="0"/>
                <w:sz w:val="24"/>
                <w:szCs w:val="24"/>
                <w:highlight w:val="none"/>
                <w:lang w:bidi="ar"/>
              </w:rPr>
              <w:t>，</w:t>
            </w:r>
            <w:r>
              <w:rPr>
                <w:rFonts w:hint="eastAsia" w:ascii="宋体" w:hAnsi="宋体" w:eastAsia="宋体" w:cs="宋体"/>
                <w:color w:val="000000"/>
                <w:kern w:val="0"/>
                <w:sz w:val="24"/>
                <w:szCs w:val="24"/>
                <w:highlight w:val="none"/>
                <w:lang w:eastAsia="zh-CN" w:bidi="ar"/>
              </w:rPr>
              <w:t>经磨具冲压二氧化碳焊接成型。</w:t>
            </w:r>
            <w:r>
              <w:rPr>
                <w:rFonts w:hint="eastAsia" w:ascii="宋体" w:hAnsi="宋体" w:eastAsia="宋体" w:cs="宋体"/>
                <w:color w:val="000000"/>
                <w:kern w:val="0"/>
                <w:sz w:val="24"/>
                <w:szCs w:val="24"/>
                <w:highlight w:val="none"/>
                <w:lang w:bidi="ar"/>
              </w:rPr>
              <w:t>符合</w:t>
            </w:r>
            <w:r>
              <w:rPr>
                <w:rFonts w:hint="eastAsia" w:ascii="宋体" w:hAnsi="宋体" w:eastAsia="宋体" w:cs="宋体"/>
                <w:color w:val="000000"/>
                <w:kern w:val="0"/>
                <w:sz w:val="24"/>
                <w:szCs w:val="24"/>
                <w:highlight w:val="none"/>
                <w:lang w:val="en-US" w:eastAsia="zh-CN" w:bidi="ar"/>
              </w:rPr>
              <w:t>GB/T3325-2024、</w:t>
            </w:r>
            <w:r>
              <w:rPr>
                <w:rFonts w:hint="eastAsia" w:ascii="宋体" w:hAnsi="宋体" w:eastAsia="宋体" w:cs="宋体"/>
                <w:color w:val="000000"/>
                <w:kern w:val="0"/>
                <w:sz w:val="24"/>
                <w:szCs w:val="24"/>
                <w:highlight w:val="none"/>
                <w:lang w:bidi="ar"/>
              </w:rPr>
              <w:t>QB/T3827-1999、QB/T3832-1999、QB/T3826-1999、标准要求，中性盐雾试验（NSS）≥40h耐腐蚀等级≥10级，乙酸盐雾试验≥40h耐腐蚀等级≥10级，表面理化性能检测，冲击强度无剥落、裂纹、皱纹，耐腐蚀100h内无鼓泡，100h后无锈迹、剥落、起皱、变色、失光。</w:t>
            </w:r>
          </w:p>
          <w:p w14:paraId="7D9A8E7D">
            <w:pPr>
              <w:widowControl/>
              <w:numPr>
                <w:ilvl w:val="0"/>
                <w:numId w:val="0"/>
              </w:numPr>
              <w:spacing w:line="360" w:lineRule="auto"/>
              <w:jc w:val="left"/>
              <w:textAlignment w:val="center"/>
              <w:rPr>
                <w:rFonts w:hint="eastAsia" w:ascii="宋体" w:hAnsi="宋体" w:eastAsia="宋体" w:cs="宋体"/>
                <w:color w:val="000000"/>
                <w:kern w:val="0"/>
                <w:sz w:val="24"/>
                <w:szCs w:val="24"/>
                <w:highlight w:val="none"/>
                <w:lang w:bidi="ar"/>
              </w:rPr>
            </w:pPr>
            <w:r>
              <w:rPr>
                <w:rFonts w:hint="eastAsia" w:ascii="宋体" w:hAnsi="宋体" w:eastAsia="宋体" w:cs="宋体"/>
                <w:color w:val="000000"/>
                <w:kern w:val="0"/>
                <w:sz w:val="24"/>
                <w:szCs w:val="24"/>
                <w:highlight w:val="none"/>
                <w:lang w:val="en-US" w:eastAsia="zh-CN" w:bidi="ar"/>
              </w:rPr>
              <w:t>5、油漆：选用优质水性面漆、底漆：</w:t>
            </w:r>
            <w:r>
              <w:rPr>
                <w:rFonts w:hint="eastAsia" w:ascii="宋体" w:hAnsi="宋体" w:eastAsia="宋体" w:cs="宋体"/>
                <w:color w:val="000000"/>
                <w:kern w:val="0"/>
                <w:sz w:val="24"/>
                <w:szCs w:val="24"/>
                <w:highlight w:val="none"/>
                <w:lang w:bidi="ar"/>
              </w:rPr>
              <w:t>符合</w:t>
            </w:r>
            <w:r>
              <w:rPr>
                <w:rFonts w:ascii="宋体" w:hAnsi="宋体" w:eastAsia="宋体" w:cs="宋体"/>
                <w:sz w:val="24"/>
                <w:szCs w:val="24"/>
                <w:highlight w:val="none"/>
              </w:rPr>
              <w:t>GB30981.2</w:t>
            </w:r>
            <w:r>
              <w:rPr>
                <w:rFonts w:hint="eastAsia" w:ascii="宋体" w:hAnsi="宋体" w:eastAsia="宋体" w:cs="宋体"/>
                <w:sz w:val="24"/>
                <w:szCs w:val="24"/>
                <w:highlight w:val="none"/>
                <w:lang w:val="en-US" w:eastAsia="zh-CN"/>
              </w:rPr>
              <w:t>-</w:t>
            </w:r>
            <w:r>
              <w:rPr>
                <w:rFonts w:ascii="宋体" w:hAnsi="宋体" w:eastAsia="宋体" w:cs="宋体"/>
                <w:sz w:val="24"/>
                <w:szCs w:val="24"/>
                <w:highlight w:val="none"/>
              </w:rPr>
              <w:t>2025</w:t>
            </w:r>
            <w:r>
              <w:rPr>
                <w:rFonts w:hint="eastAsia" w:ascii="宋体" w:hAnsi="宋体" w:eastAsia="宋体" w:cs="宋体"/>
                <w:color w:val="000000"/>
                <w:kern w:val="0"/>
                <w:sz w:val="24"/>
                <w:szCs w:val="24"/>
                <w:highlight w:val="none"/>
                <w:lang w:bidi="ar"/>
              </w:rPr>
              <w:t>、HJ2537-2014标准要求，VOC含量未检出，游离甲醛含量未检出，苯、甲苯、二甲苯、乙苯的总量未检出，卤代烃含量未检出，总铅（Pb）含量未检出</w:t>
            </w:r>
          </w:p>
        </w:tc>
        <w:tc>
          <w:tcPr>
            <w:tcW w:w="320" w:type="pct"/>
            <w:tcBorders>
              <w:top w:val="single" w:color="000000" w:sz="4" w:space="0"/>
              <w:left w:val="single" w:color="000000" w:sz="4" w:space="0"/>
              <w:bottom w:val="single" w:color="000000" w:sz="4" w:space="0"/>
              <w:right w:val="single" w:color="000000" w:sz="4" w:space="0"/>
            </w:tcBorders>
            <w:noWrap w:val="0"/>
            <w:vAlign w:val="center"/>
          </w:tcPr>
          <w:p w14:paraId="101BFE6A">
            <w:pPr>
              <w:keepNext w:val="0"/>
              <w:keepLines w:val="0"/>
              <w:widowControl/>
              <w:suppressLineNumbers w:val="0"/>
              <w:spacing w:line="360" w:lineRule="auto"/>
              <w:jc w:val="center"/>
              <w:textAlignment w:val="center"/>
              <w:rPr>
                <w:rFonts w:hint="eastAsia" w:ascii="宋体" w:hAnsi="宋体" w:eastAsia="宋体" w:cs="宋体"/>
                <w:color w:val="000000"/>
                <w:kern w:val="0"/>
                <w:sz w:val="24"/>
                <w:szCs w:val="24"/>
                <w:highlight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680</w:t>
            </w:r>
          </w:p>
        </w:tc>
        <w:tc>
          <w:tcPr>
            <w:tcW w:w="424" w:type="pct"/>
            <w:tcBorders>
              <w:top w:val="single" w:color="000000" w:sz="4" w:space="0"/>
              <w:left w:val="single" w:color="000000" w:sz="4" w:space="0"/>
              <w:bottom w:val="single" w:color="000000" w:sz="4" w:space="0"/>
              <w:right w:val="single" w:color="000000" w:sz="4" w:space="0"/>
            </w:tcBorders>
            <w:noWrap w:val="0"/>
            <w:vAlign w:val="center"/>
          </w:tcPr>
          <w:p w14:paraId="36D30961">
            <w:pPr>
              <w:keepNext w:val="0"/>
              <w:keepLines w:val="0"/>
              <w:widowControl/>
              <w:suppressLineNumbers w:val="0"/>
              <w:spacing w:line="360" w:lineRule="auto"/>
              <w:jc w:val="right"/>
              <w:textAlignment w:val="center"/>
              <w:rPr>
                <w:rFonts w:hint="eastAsia" w:ascii="宋体" w:hAnsi="宋体" w:eastAsia="宋体" w:cs="宋体"/>
                <w:color w:val="000000"/>
                <w:kern w:val="0"/>
                <w:sz w:val="24"/>
                <w:szCs w:val="24"/>
                <w:highlight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261120</w:t>
            </w:r>
          </w:p>
        </w:tc>
      </w:tr>
      <w:tr w14:paraId="0288A962">
        <w:tblPrEx>
          <w:tblCellMar>
            <w:top w:w="15" w:type="dxa"/>
            <w:left w:w="108" w:type="dxa"/>
            <w:bottom w:w="15" w:type="dxa"/>
            <w:right w:w="108" w:type="dxa"/>
          </w:tblCellMar>
        </w:tblPrEx>
        <w:trPr>
          <w:trHeight w:val="602" w:hRule="atLeast"/>
          <w:jc w:val="center"/>
        </w:trPr>
        <w:tc>
          <w:tcPr>
            <w:tcW w:w="372"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7B97E11">
            <w:pPr>
              <w:widowControl/>
              <w:spacing w:line="360" w:lineRule="auto"/>
              <w:jc w:val="center"/>
              <w:textAlignment w:val="center"/>
              <w:rPr>
                <w:rFonts w:hint="eastAsia" w:ascii="宋体" w:hAnsi="宋体" w:eastAsia="宋体" w:cs="宋体"/>
                <w:color w:val="000000"/>
                <w:kern w:val="0"/>
                <w:sz w:val="24"/>
                <w:szCs w:val="24"/>
                <w:highlight w:val="none"/>
                <w:lang w:bidi="ar"/>
              </w:rPr>
            </w:pPr>
            <w:r>
              <w:rPr>
                <w:rFonts w:hint="eastAsia" w:ascii="宋体" w:hAnsi="宋体" w:eastAsia="宋体" w:cs="宋体"/>
                <w:color w:val="000000"/>
                <w:kern w:val="0"/>
                <w:sz w:val="24"/>
                <w:szCs w:val="24"/>
                <w:highlight w:val="none"/>
                <w:lang w:bidi="ar"/>
              </w:rPr>
              <w:t>合计</w:t>
            </w:r>
          </w:p>
        </w:tc>
        <w:tc>
          <w:tcPr>
            <w:tcW w:w="3882" w:type="pct"/>
            <w:gridSpan w:val="4"/>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99E21A6">
            <w:pPr>
              <w:widowControl/>
              <w:spacing w:line="360" w:lineRule="auto"/>
              <w:jc w:val="left"/>
              <w:textAlignment w:val="center"/>
              <w:rPr>
                <w:rFonts w:hint="eastAsia" w:ascii="宋体" w:hAnsi="宋体" w:eastAsia="宋体" w:cs="宋体"/>
                <w:color w:val="000000"/>
                <w:kern w:val="0"/>
                <w:sz w:val="24"/>
                <w:szCs w:val="24"/>
                <w:highlight w:val="none"/>
                <w:lang w:val="en-US" w:eastAsia="zh-CN" w:bidi="ar"/>
              </w:rPr>
            </w:pPr>
          </w:p>
        </w:tc>
        <w:tc>
          <w:tcPr>
            <w:tcW w:w="745" w:type="pct"/>
            <w:gridSpan w:val="2"/>
            <w:tcBorders>
              <w:top w:val="single" w:color="000000" w:sz="4" w:space="0"/>
              <w:left w:val="single" w:color="000000" w:sz="4" w:space="0"/>
              <w:bottom w:val="single" w:color="000000" w:sz="4" w:space="0"/>
              <w:right w:val="single" w:color="000000" w:sz="4" w:space="0"/>
            </w:tcBorders>
            <w:noWrap w:val="0"/>
            <w:vAlign w:val="center"/>
          </w:tcPr>
          <w:p w14:paraId="0CA5E046">
            <w:pPr>
              <w:widowControl/>
              <w:spacing w:line="360" w:lineRule="auto"/>
              <w:jc w:val="center"/>
              <w:textAlignment w:val="center"/>
              <w:rPr>
                <w:rFonts w:hint="eastAsia" w:ascii="宋体" w:hAnsi="宋体" w:eastAsia="宋体" w:cs="宋体"/>
                <w:color w:val="000000"/>
                <w:kern w:val="0"/>
                <w:sz w:val="24"/>
                <w:szCs w:val="24"/>
                <w:highlight w:val="none"/>
                <w:lang w:val="en-US" w:eastAsia="zh-CN" w:bidi="ar"/>
              </w:rPr>
            </w:pPr>
            <w:r>
              <w:rPr>
                <w:rFonts w:hint="eastAsia" w:ascii="宋体" w:hAnsi="宋体" w:eastAsia="宋体" w:cs="宋体"/>
                <w:color w:val="000000"/>
                <w:kern w:val="0"/>
                <w:sz w:val="24"/>
                <w:szCs w:val="24"/>
                <w:highlight w:val="none"/>
                <w:lang w:val="en-US" w:eastAsia="zh-CN" w:bidi="ar"/>
              </w:rPr>
              <w:t>350000</w:t>
            </w:r>
          </w:p>
        </w:tc>
      </w:tr>
    </w:tbl>
    <w:p w14:paraId="1A92EF4D">
      <w:pPr>
        <w:spacing w:line="360" w:lineRule="auto"/>
        <w:rPr>
          <w:rFonts w:hint="eastAsia" w:ascii="宋体" w:hAnsi="宋体" w:eastAsia="宋体" w:cs="宋体"/>
          <w:sz w:val="24"/>
          <w:szCs w:val="24"/>
          <w:highlight w:val="none"/>
        </w:rPr>
      </w:pPr>
    </w:p>
    <w:p w14:paraId="04BFD001">
      <w:pPr>
        <w:spacing w:line="360" w:lineRule="auto"/>
        <w:ind w:left="161" w:leftChars="67" w:firstLine="141" w:firstLineChars="59"/>
        <w:jc w:val="left"/>
        <w:rPr>
          <w:rFonts w:hint="eastAsia" w:cs="Calibri"/>
          <w:sz w:val="24"/>
          <w:highlight w:val="none"/>
        </w:rPr>
      </w:pPr>
      <w:r>
        <w:rPr>
          <w:rFonts w:hint="eastAsia" w:cs="Calibri"/>
          <w:sz w:val="24"/>
          <w:highlight w:val="none"/>
        </w:rPr>
        <w:t>1、费用组成：</w:t>
      </w:r>
      <w:r>
        <w:rPr>
          <w:rFonts w:cs="Calibri"/>
          <w:sz w:val="24"/>
          <w:highlight w:val="none"/>
        </w:rPr>
        <w:t>报价中</w:t>
      </w:r>
      <w:r>
        <w:rPr>
          <w:rFonts w:hint="eastAsia" w:cs="Calibri"/>
          <w:sz w:val="24"/>
          <w:highlight w:val="none"/>
        </w:rPr>
        <w:t>须</w:t>
      </w:r>
      <w:r>
        <w:rPr>
          <w:rFonts w:cs="Calibri"/>
          <w:sz w:val="24"/>
          <w:highlight w:val="none"/>
        </w:rPr>
        <w:t>家具采购及安装（含主辅材料）的采购、运输至采购人指定地点、安装调试、垃圾清运、垃圾外运、成品保护、耗材、质保（含质保期内的免费维保）、利润、税金、验收等所有费用</w:t>
      </w:r>
      <w:r>
        <w:rPr>
          <w:rFonts w:hint="eastAsia" w:cs="Calibri"/>
          <w:sz w:val="24"/>
          <w:highlight w:val="none"/>
        </w:rPr>
        <w:t>。</w:t>
      </w:r>
    </w:p>
    <w:p w14:paraId="4042ED32">
      <w:pPr>
        <w:spacing w:line="360" w:lineRule="auto"/>
        <w:ind w:left="120" w:leftChars="50" w:firstLine="163" w:firstLineChars="68"/>
        <w:jc w:val="left"/>
        <w:rPr>
          <w:rFonts w:cs="Calibri"/>
          <w:sz w:val="24"/>
          <w:highlight w:val="none"/>
        </w:rPr>
      </w:pPr>
      <w:r>
        <w:rPr>
          <w:rFonts w:hint="eastAsia" w:cs="Calibri"/>
          <w:sz w:val="24"/>
          <w:highlight w:val="none"/>
        </w:rPr>
        <w:t>2、</w:t>
      </w:r>
      <w:r>
        <w:rPr>
          <w:rFonts w:cs="Calibri"/>
          <w:sz w:val="24"/>
          <w:highlight w:val="none"/>
        </w:rPr>
        <w:t>交货地点：</w:t>
      </w:r>
      <w:r>
        <w:rPr>
          <w:rFonts w:hint="eastAsia" w:cs="Calibri"/>
          <w:sz w:val="24"/>
          <w:highlight w:val="none"/>
          <w:lang w:val="en-US" w:eastAsia="zh-CN"/>
        </w:rPr>
        <w:t>采购</w:t>
      </w:r>
      <w:r>
        <w:rPr>
          <w:rFonts w:hint="eastAsia" w:cs="Calibri"/>
          <w:sz w:val="24"/>
          <w:highlight w:val="none"/>
        </w:rPr>
        <w:t>人</w:t>
      </w:r>
      <w:r>
        <w:rPr>
          <w:rFonts w:cs="Calibri"/>
          <w:sz w:val="24"/>
          <w:highlight w:val="none"/>
        </w:rPr>
        <w:t>指定</w:t>
      </w:r>
      <w:r>
        <w:rPr>
          <w:rFonts w:hint="eastAsia" w:cs="Calibri"/>
          <w:sz w:val="24"/>
          <w:highlight w:val="none"/>
        </w:rPr>
        <w:t>送货</w:t>
      </w:r>
      <w:r>
        <w:rPr>
          <w:rFonts w:cs="Calibri"/>
          <w:sz w:val="24"/>
          <w:highlight w:val="none"/>
        </w:rPr>
        <w:t>现场。</w:t>
      </w:r>
      <w:r>
        <w:rPr>
          <w:rFonts w:hint="eastAsia" w:cs="Calibri"/>
          <w:sz w:val="24"/>
          <w:highlight w:val="none"/>
          <w:lang w:val="en-US" w:eastAsia="zh-CN"/>
        </w:rPr>
        <w:t>供应商</w:t>
      </w:r>
      <w:r>
        <w:rPr>
          <w:rFonts w:cs="Calibri"/>
          <w:sz w:val="24"/>
          <w:highlight w:val="none"/>
        </w:rPr>
        <w:t>自行考虑运输卸货至指定位置等所有费用。</w:t>
      </w:r>
    </w:p>
    <w:p w14:paraId="5A6D9583">
      <w:pPr>
        <w:pStyle w:val="5"/>
        <w:spacing w:before="5" w:line="360" w:lineRule="auto"/>
        <w:ind w:left="120" w:leftChars="50" w:firstLine="120" w:firstLineChars="50"/>
        <w:jc w:val="both"/>
        <w:rPr>
          <w:rFonts w:hint="eastAsia" w:ascii="Times New Roman" w:hAnsi="Times New Roman" w:eastAsia="宋体" w:cs="Calibri"/>
          <w:kern w:val="2"/>
          <w:sz w:val="24"/>
          <w:szCs w:val="24"/>
          <w:highlight w:val="none"/>
          <w:lang w:eastAsia="zh-CN"/>
        </w:rPr>
      </w:pPr>
      <w:r>
        <w:rPr>
          <w:rFonts w:hint="eastAsia" w:cs="Calibri"/>
          <w:kern w:val="2"/>
          <w:sz w:val="24"/>
          <w:szCs w:val="24"/>
          <w:highlight w:val="none"/>
          <w:lang w:eastAsia="zh-CN"/>
        </w:rPr>
        <w:t>3、</w:t>
      </w:r>
      <w:r>
        <w:rPr>
          <w:rFonts w:hint="eastAsia" w:ascii="Times New Roman" w:hAnsi="Times New Roman" w:eastAsia="宋体" w:cs="Calibri"/>
          <w:kern w:val="2"/>
          <w:sz w:val="24"/>
          <w:szCs w:val="24"/>
          <w:highlight w:val="none"/>
          <w:lang w:eastAsia="zh-CN"/>
        </w:rPr>
        <w:t>供货通过验收后，</w:t>
      </w:r>
      <w:r>
        <w:rPr>
          <w:rFonts w:hint="eastAsia" w:ascii="Times New Roman" w:hAnsi="Times New Roman" w:eastAsia="宋体" w:cs="Calibri"/>
          <w:kern w:val="2"/>
          <w:sz w:val="24"/>
          <w:szCs w:val="24"/>
          <w:highlight w:val="none"/>
          <w:lang w:val="en-US" w:eastAsia="zh-CN"/>
        </w:rPr>
        <w:t>成交人</w:t>
      </w:r>
      <w:r>
        <w:rPr>
          <w:rFonts w:hint="eastAsia" w:ascii="Times New Roman" w:hAnsi="Times New Roman" w:eastAsia="宋体" w:cs="Calibri"/>
          <w:kern w:val="2"/>
          <w:sz w:val="24"/>
          <w:szCs w:val="24"/>
          <w:highlight w:val="none"/>
          <w:lang w:eastAsia="zh-CN"/>
        </w:rPr>
        <w:t>与</w:t>
      </w:r>
      <w:r>
        <w:rPr>
          <w:rFonts w:hint="eastAsia" w:ascii="Times New Roman" w:hAnsi="Times New Roman" w:eastAsia="宋体" w:cs="Calibri"/>
          <w:kern w:val="2"/>
          <w:sz w:val="24"/>
          <w:szCs w:val="24"/>
          <w:highlight w:val="none"/>
          <w:lang w:val="en-US" w:eastAsia="zh-CN"/>
        </w:rPr>
        <w:t>采购人</w:t>
      </w:r>
      <w:r>
        <w:rPr>
          <w:rFonts w:hint="eastAsia" w:ascii="Times New Roman" w:hAnsi="Times New Roman" w:eastAsia="宋体" w:cs="Calibri"/>
          <w:kern w:val="2"/>
          <w:sz w:val="24"/>
          <w:szCs w:val="24"/>
          <w:highlight w:val="none"/>
          <w:lang w:eastAsia="zh-CN"/>
        </w:rPr>
        <w:t>办理交接并完成出入库手续后即为交接完成。交接完成前家具的毁损、灭失风险由</w:t>
      </w:r>
      <w:r>
        <w:rPr>
          <w:rFonts w:hint="eastAsia" w:ascii="Times New Roman" w:hAnsi="Times New Roman" w:eastAsia="宋体" w:cs="Calibri"/>
          <w:kern w:val="2"/>
          <w:sz w:val="24"/>
          <w:szCs w:val="24"/>
          <w:highlight w:val="none"/>
          <w:lang w:val="en-US" w:eastAsia="zh-CN"/>
        </w:rPr>
        <w:t>成交人</w:t>
      </w:r>
      <w:r>
        <w:rPr>
          <w:rFonts w:hint="eastAsia" w:ascii="Times New Roman" w:hAnsi="Times New Roman" w:eastAsia="宋体" w:cs="Calibri"/>
          <w:kern w:val="2"/>
          <w:sz w:val="24"/>
          <w:szCs w:val="24"/>
          <w:highlight w:val="none"/>
          <w:lang w:eastAsia="zh-CN"/>
        </w:rPr>
        <w:t>承担。合同履行过程中的安全责任均由</w:t>
      </w:r>
      <w:r>
        <w:rPr>
          <w:rFonts w:hint="eastAsia" w:ascii="Times New Roman" w:hAnsi="Times New Roman" w:eastAsia="宋体" w:cs="Calibri"/>
          <w:kern w:val="2"/>
          <w:sz w:val="24"/>
          <w:szCs w:val="24"/>
          <w:highlight w:val="none"/>
          <w:lang w:val="en-US" w:eastAsia="zh-CN"/>
        </w:rPr>
        <w:t>成交人</w:t>
      </w:r>
      <w:r>
        <w:rPr>
          <w:rFonts w:hint="eastAsia" w:ascii="Times New Roman" w:hAnsi="Times New Roman" w:eastAsia="宋体" w:cs="Calibri"/>
          <w:kern w:val="2"/>
          <w:sz w:val="24"/>
          <w:szCs w:val="24"/>
          <w:highlight w:val="none"/>
          <w:lang w:eastAsia="zh-CN"/>
        </w:rPr>
        <w:t>自行承担。由于</w:t>
      </w:r>
      <w:r>
        <w:rPr>
          <w:rFonts w:hint="eastAsia" w:ascii="Times New Roman" w:hAnsi="Times New Roman" w:eastAsia="宋体" w:cs="Calibri"/>
          <w:kern w:val="2"/>
          <w:sz w:val="24"/>
          <w:szCs w:val="24"/>
          <w:highlight w:val="none"/>
          <w:lang w:val="en-US" w:eastAsia="zh-CN"/>
        </w:rPr>
        <w:t>成交人</w:t>
      </w:r>
      <w:r>
        <w:rPr>
          <w:rFonts w:hint="eastAsia" w:ascii="Times New Roman" w:hAnsi="Times New Roman" w:eastAsia="宋体" w:cs="Calibri"/>
          <w:kern w:val="2"/>
          <w:sz w:val="24"/>
          <w:szCs w:val="24"/>
          <w:highlight w:val="none"/>
          <w:lang w:eastAsia="zh-CN"/>
        </w:rPr>
        <w:t>的原因造成施工人员伤亡事故、第三方事故或使医院、</w:t>
      </w:r>
      <w:r>
        <w:rPr>
          <w:rFonts w:hint="eastAsia" w:ascii="Times New Roman" w:hAnsi="Times New Roman" w:eastAsia="宋体" w:cs="Calibri"/>
          <w:kern w:val="2"/>
          <w:sz w:val="24"/>
          <w:szCs w:val="24"/>
          <w:highlight w:val="none"/>
          <w:lang w:val="en-US" w:eastAsia="zh-CN"/>
        </w:rPr>
        <w:t>成交人</w:t>
      </w:r>
      <w:r>
        <w:rPr>
          <w:rFonts w:hint="eastAsia" w:ascii="Times New Roman" w:hAnsi="Times New Roman" w:eastAsia="宋体" w:cs="Calibri"/>
          <w:kern w:val="2"/>
          <w:sz w:val="24"/>
          <w:szCs w:val="24"/>
          <w:highlight w:val="none"/>
          <w:lang w:eastAsia="zh-CN"/>
        </w:rPr>
        <w:t>受损等一切安全责任，将由</w:t>
      </w:r>
      <w:r>
        <w:rPr>
          <w:rFonts w:hint="eastAsia" w:ascii="Times New Roman" w:hAnsi="Times New Roman" w:eastAsia="宋体" w:cs="Calibri"/>
          <w:kern w:val="2"/>
          <w:sz w:val="24"/>
          <w:szCs w:val="24"/>
          <w:highlight w:val="none"/>
          <w:lang w:val="en-US" w:eastAsia="zh-CN"/>
        </w:rPr>
        <w:t>成交人</w:t>
      </w:r>
      <w:r>
        <w:rPr>
          <w:rFonts w:hint="eastAsia" w:ascii="Times New Roman" w:hAnsi="Times New Roman" w:eastAsia="宋体" w:cs="Calibri"/>
          <w:kern w:val="2"/>
          <w:sz w:val="24"/>
          <w:szCs w:val="24"/>
          <w:highlight w:val="none"/>
          <w:lang w:eastAsia="zh-CN"/>
        </w:rPr>
        <w:t>承担全部责任。</w:t>
      </w:r>
    </w:p>
    <w:p w14:paraId="4E3D2D75">
      <w:r>
        <w:rPr>
          <w:rFonts w:hint="eastAsia" w:ascii="Times New Roman" w:hAnsi="Times New Roman" w:eastAsia="宋体" w:cs="Calibri"/>
          <w:sz w:val="24"/>
          <w:highlight w:val="none"/>
          <w:lang w:eastAsia="zh-CN"/>
        </w:rPr>
        <w:t>4</w:t>
      </w:r>
      <w:r>
        <w:rPr>
          <w:rFonts w:hint="eastAsia" w:ascii="Times New Roman" w:hAnsi="Times New Roman" w:eastAsia="宋体" w:cs="Calibri"/>
          <w:sz w:val="24"/>
          <w:highlight w:val="none"/>
        </w:rPr>
        <w:t>、</w:t>
      </w:r>
      <w:r>
        <w:rPr>
          <w:rFonts w:hint="eastAsia" w:ascii="Times New Roman" w:hAnsi="Times New Roman" w:eastAsia="宋体" w:cs="Calibri"/>
          <w:sz w:val="24"/>
          <w:highlight w:val="none"/>
          <w:lang w:val="en-US" w:eastAsia="zh-CN"/>
        </w:rPr>
        <w:t>参选人</w:t>
      </w:r>
      <w:r>
        <w:rPr>
          <w:rFonts w:hint="eastAsia" w:ascii="Times New Roman" w:hAnsi="Times New Roman" w:eastAsia="宋体" w:cs="Calibri"/>
          <w:sz w:val="24"/>
          <w:highlight w:val="none"/>
        </w:rPr>
        <w:t>需进行现场踏勘，全面了解集团办公家具的供货款式及送货要求，如有疑问，在正式</w:t>
      </w:r>
      <w:r>
        <w:rPr>
          <w:rFonts w:hint="eastAsia" w:ascii="Times New Roman" w:hAnsi="Times New Roman" w:eastAsia="宋体" w:cs="Calibri"/>
          <w:sz w:val="24"/>
          <w:highlight w:val="none"/>
          <w:lang w:val="en-US" w:eastAsia="zh-CN"/>
        </w:rPr>
        <w:t>比选</w:t>
      </w:r>
      <w:r>
        <w:rPr>
          <w:rFonts w:hint="eastAsia" w:ascii="Times New Roman" w:hAnsi="Times New Roman" w:eastAsia="宋体" w:cs="Calibri"/>
          <w:sz w:val="24"/>
          <w:highlight w:val="none"/>
        </w:rPr>
        <w:t>前提出，否则视为对</w:t>
      </w:r>
      <w:r>
        <w:rPr>
          <w:rFonts w:hint="eastAsia" w:ascii="Times New Roman" w:hAnsi="Times New Roman" w:eastAsia="宋体" w:cs="Calibri"/>
          <w:sz w:val="24"/>
          <w:highlight w:val="none"/>
          <w:lang w:val="en-US" w:eastAsia="zh-CN"/>
        </w:rPr>
        <w:t>比选</w:t>
      </w:r>
      <w:r>
        <w:rPr>
          <w:rFonts w:hint="eastAsia" w:ascii="Times New Roman" w:hAnsi="Times New Roman" w:eastAsia="宋体" w:cs="Calibri"/>
          <w:sz w:val="24"/>
          <w:highlight w:val="none"/>
        </w:rPr>
        <w:t>要求完全响应。</w:t>
      </w:r>
    </w:p>
    <w:sectPr>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81"/>
    <w:family w:val="roma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pPr>
      <w:r>
        <w:separator/>
      </w:r>
    </w:p>
  </w:footnote>
  <w:footnote w:type="continuationSeparator" w:id="1">
    <w:p>
      <w:pPr>
        <w:spacing w:line="36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7F8BEE5"/>
    <w:multiLevelType w:val="singleLevel"/>
    <w:tmpl w:val="C7F8BEE5"/>
    <w:lvl w:ilvl="0" w:tentative="0">
      <w:start w:val="1"/>
      <w:numFmt w:val="decimal"/>
      <w:suff w:val="nothing"/>
      <w:lvlText w:val="%1、"/>
      <w:lvlJc w:val="left"/>
    </w:lvl>
  </w:abstractNum>
  <w:abstractNum w:abstractNumId="1">
    <w:nsid w:val="DF7F3A2B"/>
    <w:multiLevelType w:val="singleLevel"/>
    <w:tmpl w:val="DF7F3A2B"/>
    <w:lvl w:ilvl="0" w:tentative="0">
      <w:start w:val="1"/>
      <w:numFmt w:val="decimal"/>
      <w:suff w:val="nothing"/>
      <w:lvlText w:val="%1、"/>
      <w:lvlJc w:val="left"/>
    </w:lvl>
  </w:abstractNum>
  <w:abstractNum w:abstractNumId="2">
    <w:nsid w:val="F3BAF0D4"/>
    <w:multiLevelType w:val="singleLevel"/>
    <w:tmpl w:val="F3BAF0D4"/>
    <w:lvl w:ilvl="0" w:tentative="0">
      <w:start w:val="1"/>
      <w:numFmt w:val="decimal"/>
      <w:suff w:val="nothing"/>
      <w:lvlText w:val="%1、"/>
      <w:lvlJc w:val="left"/>
    </w:lvl>
  </w:abstractNum>
  <w:abstractNum w:abstractNumId="3">
    <w:nsid w:val="F77E43A8"/>
    <w:multiLevelType w:val="singleLevel"/>
    <w:tmpl w:val="F77E43A8"/>
    <w:lvl w:ilvl="0" w:tentative="0">
      <w:start w:val="1"/>
      <w:numFmt w:val="decimal"/>
      <w:suff w:val="nothing"/>
      <w:lvlText w:val="%1、"/>
      <w:lvlJc w:val="left"/>
    </w:lvl>
  </w:abstractNum>
  <w:abstractNum w:abstractNumId="4">
    <w:nsid w:val="6A5B5562"/>
    <w:multiLevelType w:val="singleLevel"/>
    <w:tmpl w:val="6A5B5562"/>
    <w:lvl w:ilvl="0" w:tentative="0">
      <w:start w:val="4"/>
      <w:numFmt w:val="decimal"/>
      <w:suff w:val="nothing"/>
      <w:lvlText w:val="%1，"/>
      <w:lvlJc w:val="left"/>
    </w:lvl>
  </w:abstractNum>
  <w:abstractNum w:abstractNumId="5">
    <w:nsid w:val="7500454D"/>
    <w:multiLevelType w:val="singleLevel"/>
    <w:tmpl w:val="7500454D"/>
    <w:lvl w:ilvl="0" w:tentative="0">
      <w:start w:val="2"/>
      <w:numFmt w:val="chineseCounting"/>
      <w:suff w:val="nothing"/>
      <w:lvlText w:val="%1、"/>
      <w:lvlJc w:val="left"/>
      <w:rPr>
        <w:rFonts w:hint="eastAsia"/>
      </w:rPr>
    </w:lvl>
  </w:abstractNum>
  <w:num w:numId="1">
    <w:abstractNumId w:val="5"/>
  </w:num>
  <w:num w:numId="2">
    <w:abstractNumId w:val="3"/>
  </w:num>
  <w:num w:numId="3">
    <w:abstractNumId w:val="4"/>
  </w:num>
  <w:num w:numId="4">
    <w:abstractNumId w:val="0"/>
  </w:num>
  <w:num w:numId="5">
    <w:abstractNumId w:val="2"/>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47B51DE"/>
    <w:rsid w:val="147B51D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360" w:lineRule="auto"/>
    </w:pPr>
    <w:rPr>
      <w:rFonts w:ascii="Times New Roman" w:hAnsi="Times New Roman" w:eastAsia="宋体" w:cs="Times New Roman"/>
      <w:kern w:val="2"/>
      <w:sz w:val="24"/>
      <w:szCs w:val="24"/>
      <w:lang w:val="en-US" w:eastAsia="zh-CN" w:bidi="ar-SA"/>
    </w:rPr>
  </w:style>
  <w:style w:type="paragraph" w:styleId="2">
    <w:name w:val="heading 1"/>
    <w:basedOn w:val="1"/>
    <w:next w:val="1"/>
    <w:qFormat/>
    <w:uiPriority w:val="9"/>
    <w:pPr>
      <w:keepNext/>
      <w:tabs>
        <w:tab w:val="left" w:pos="420"/>
      </w:tabs>
      <w:spacing w:line="500" w:lineRule="exact"/>
      <w:ind w:left="420" w:hanging="420"/>
      <w:outlineLvl w:val="0"/>
    </w:pPr>
    <w:rPr>
      <w:b/>
      <w:sz w:val="36"/>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customStyle="1" w:styleId="5">
    <w:name w:val="Table Paragraph"/>
    <w:basedOn w:val="1"/>
    <w:qFormat/>
    <w:uiPriority w:val="1"/>
    <w:pPr>
      <w:spacing w:line="240" w:lineRule="auto"/>
    </w:pPr>
    <w:rPr>
      <w:rFonts w:ascii="Calibri" w:hAnsi="Calibri" w:eastAsia="Calibri"/>
      <w:kern w:val="0"/>
      <w:sz w:val="22"/>
      <w:szCs w:val="22"/>
      <w:lang w:eastAsia="en-US"/>
    </w:rPr>
  </w:style>
</w:styles>
</file>

<file path=word/_rels/document.xml.rels><?xml version="1.0" encoding="UTF-8" standalone="yes"?>
<Relationships xmlns="http://schemas.openxmlformats.org/package/2006/relationships"><Relationship Id="rId9" Type="http://schemas.openxmlformats.org/officeDocument/2006/relationships/image" Target="media/image4.png"/><Relationship Id="rId8" Type="http://schemas.openxmlformats.org/officeDocument/2006/relationships/image" Target="media/image3.png"/><Relationship Id="rId7" Type="http://schemas.openxmlformats.org/officeDocument/2006/relationships/image" Target="media/image2.png"/><Relationship Id="rId6" Type="http://schemas.openxmlformats.org/officeDocument/2006/relationships/image" Target="media/image1.png"/><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5" Type="http://schemas.openxmlformats.org/officeDocument/2006/relationships/fontTable" Target="fontTable.xml"/><Relationship Id="rId14" Type="http://schemas.openxmlformats.org/officeDocument/2006/relationships/numbering" Target="numbering.xml"/><Relationship Id="rId13" Type="http://schemas.openxmlformats.org/officeDocument/2006/relationships/image" Target="media/image8.jpeg"/><Relationship Id="rId12" Type="http://schemas.openxmlformats.org/officeDocument/2006/relationships/image" Target="media/image7.png"/><Relationship Id="rId11" Type="http://schemas.openxmlformats.org/officeDocument/2006/relationships/image" Target="media/image6.png"/><Relationship Id="rId10" Type="http://schemas.openxmlformats.org/officeDocument/2006/relationships/image" Target="media/image5.png"/><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13</Pages>
  <Words>0</Words>
  <Characters>0</Characters>
  <Lines>0</Lines>
  <Paragraphs>0</Paragraphs>
  <TotalTime>0</TotalTime>
  <ScaleCrop>false</ScaleCrop>
  <LinksUpToDate>false</LinksUpToDate>
  <CharactersWithSpaces>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2026-10-08T06:58:00Z</dcterms:created>
  <dc:creator>省招-wxy</dc:creator>
  <cp:lastModifiedBy>省招-wxy</cp:lastModifiedBy>
  <dcterms:modified xsi:type="dcterms:W3CDTF">2026-10-08T06:58:46Z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D9FB3E453BA84804BD7324281840824C_11</vt:lpwstr>
  </property>
  <property fmtid="{D5CDD505-2E9C-101B-9397-08002B2CF9AE}" pid="4" name="KSOTemplateDocerSaveRecord">
    <vt:lpwstr>eyJoZGlkIjoiZWUyOTQ1NDM2Zjc0YjU0MjZhMWI3YTAyMzgxNTM2MDQiLCJ1c2VySWQiOiI0NjEyMTI0ODEifQ==</vt:lpwstr>
  </property>
</Properties>
</file>