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43134E">
      <w:pPr>
        <w:pStyle w:val="2"/>
        <w:spacing w:line="360" w:lineRule="auto"/>
        <w:ind w:left="0" w:right="0" w:firstLine="0"/>
        <w:jc w:val="center"/>
        <w:rPr>
          <w:highlight w:val="none"/>
        </w:rPr>
      </w:pPr>
      <w:r>
        <w:rPr>
          <w:rFonts w:hint="eastAsia" w:ascii="宋体" w:hAnsi="宋体"/>
          <w:szCs w:val="36"/>
          <w:highlight w:val="none"/>
          <w:lang w:eastAsia="zh-CN"/>
        </w:rPr>
        <w:t>附件</w:t>
      </w:r>
      <w:bookmarkStart w:id="2" w:name="_GoBack"/>
      <w:bookmarkEnd w:id="2"/>
      <w:r>
        <w:rPr>
          <w:rFonts w:hint="eastAsia" w:ascii="宋体" w:hAnsi="宋体" w:cs="宋体"/>
          <w:szCs w:val="36"/>
          <w:highlight w:val="none"/>
        </w:rPr>
        <w:t xml:space="preserve">  采购需求</w:t>
      </w:r>
    </w:p>
    <w:p w14:paraId="1790BEC7">
      <w:pPr>
        <w:rPr>
          <w:highlight w:val="none"/>
        </w:rPr>
      </w:pPr>
      <w:r>
        <w:rPr>
          <w:rFonts w:hint="eastAsia" w:ascii="宋体" w:hAnsi="宋体" w:cs="宋体"/>
          <w:b/>
          <w:color w:val="FF0000"/>
          <w:highlight w:val="none"/>
        </w:rPr>
        <w:t>一、要求：以下条款如投标人参与投标，视为投标人自动响应。</w:t>
      </w:r>
    </w:p>
    <w:p w14:paraId="758BDB1B">
      <w:pPr>
        <w:ind w:left="0" w:right="0" w:firstLine="482"/>
        <w:rPr>
          <w:highlight w:val="none"/>
        </w:rPr>
      </w:pPr>
      <w:r>
        <w:rPr>
          <w:rFonts w:hint="eastAsia" w:ascii="宋体" w:hAnsi="宋体" w:cs="宋体"/>
          <w:b/>
          <w:color w:val="000000"/>
          <w:highlight w:val="none"/>
        </w:rPr>
        <w:t>1、按照投标方案提供配置清单，标明品牌、型号、产地、数量等并分项报价。</w:t>
      </w:r>
    </w:p>
    <w:p w14:paraId="15010C60">
      <w:pPr>
        <w:ind w:left="0" w:right="0" w:firstLine="482"/>
        <w:rPr>
          <w:highlight w:val="none"/>
        </w:rPr>
      </w:pPr>
      <w:r>
        <w:rPr>
          <w:rFonts w:hint="eastAsia" w:ascii="宋体" w:hAnsi="宋体" w:cs="宋体"/>
          <w:b/>
          <w:color w:val="000000"/>
          <w:highlight w:val="none"/>
        </w:rPr>
        <w:t>2、提供产品日常使用的所有配套专用耗材清单，确保产品正常使用。标明品牌、型号、产地、规格、最小供货单位等并分项报价，报价不计入投标总价。在中标后如发现有漏报、瞒报的配套专用耗材，一律视为已包含在投标总价内。耗材供应期按照医院相关耗材管理规定执行。</w:t>
      </w:r>
    </w:p>
    <w:p w14:paraId="4307560A">
      <w:pPr>
        <w:ind w:left="0" w:right="0" w:firstLine="482"/>
        <w:rPr>
          <w:highlight w:val="none"/>
        </w:rPr>
      </w:pPr>
      <w:r>
        <w:rPr>
          <w:rFonts w:hint="eastAsia" w:ascii="宋体" w:hAnsi="宋体" w:cs="宋体"/>
          <w:b/>
          <w:color w:val="000000"/>
          <w:highlight w:val="none"/>
        </w:rPr>
        <w:t>3、说明是否需要其他设备配套使用，请列出配套设备名称、数量等，如未说明一律视为已包含在投标总价内。</w:t>
      </w:r>
    </w:p>
    <w:p w14:paraId="7D222D1B">
      <w:pPr>
        <w:ind w:left="0" w:right="0" w:firstLine="482"/>
        <w:rPr>
          <w:highlight w:val="none"/>
        </w:rPr>
      </w:pPr>
      <w:r>
        <w:rPr>
          <w:rFonts w:hint="eastAsia" w:ascii="宋体" w:hAnsi="宋体" w:cs="宋体"/>
          <w:b/>
          <w:color w:val="000000"/>
          <w:highlight w:val="none"/>
        </w:rPr>
        <w:t>4、本项目中所要求的所有设备、耗材、配件及相关服务等均应包含在投标总价内，不得以赠送形式向采购人提供产品及服务。</w:t>
      </w:r>
    </w:p>
    <w:p w14:paraId="35C33359">
      <w:pPr>
        <w:ind w:left="0" w:right="0" w:firstLine="482"/>
        <w:rPr>
          <w:highlight w:val="none"/>
        </w:rPr>
      </w:pPr>
      <w:r>
        <w:rPr>
          <w:rFonts w:hint="eastAsia" w:ascii="宋体" w:hAnsi="宋体" w:cs="宋体"/>
          <w:b/>
          <w:color w:val="000000"/>
          <w:highlight w:val="none"/>
        </w:rPr>
        <w:t>5、投标公司及产品须资质、证照齐全且在有效期内，如确无注册证的产品，须提供官方说明材料。</w:t>
      </w:r>
    </w:p>
    <w:p w14:paraId="2D1132F2">
      <w:pPr>
        <w:ind w:left="0" w:right="0" w:firstLine="482"/>
        <w:rPr>
          <w:highlight w:val="none"/>
        </w:rPr>
      </w:pPr>
      <w:r>
        <w:rPr>
          <w:rFonts w:hint="eastAsia" w:ascii="宋体" w:hAnsi="宋体" w:cs="宋体"/>
          <w:b/>
          <w:color w:val="000000"/>
          <w:highlight w:val="none"/>
        </w:rPr>
        <w:t>6、若属安徽省医用耗材政策管理范围内产品，需满足相关要求（如“集采”、“两票制”等）；若为集采管理范围内产品，需在集采目录中，同类产品原则上选择限价产品，同类无替代选择备案产品。</w:t>
      </w:r>
    </w:p>
    <w:p w14:paraId="567F7D0A">
      <w:pPr>
        <w:ind w:left="0" w:right="0" w:firstLine="482"/>
        <w:rPr>
          <w:highlight w:val="none"/>
        </w:rPr>
      </w:pPr>
      <w:r>
        <w:rPr>
          <w:rFonts w:hint="eastAsia" w:ascii="宋体" w:hAnsi="宋体" w:cs="宋体"/>
          <w:b/>
          <w:color w:val="000000"/>
          <w:highlight w:val="none"/>
        </w:rPr>
        <w:t>7、中标人须将供应的医用物资包括但不限于医用耗材、检验试剂、后勤物资等，纳入采购人医用物资SPD智慧物流管理模式进行一元化管理，与采购人SPD服务商签订服务协议并承担相关的服务费。其中医用耗材、试剂的具体服务费率由中标人与SPD服务商协商，服务费率不高于医院与 SPD服务商约定的收费标准(现行服务费率为供货金额的1%;如后期采购人与SPD服务商约定的服务费率发生变动，以采购人与SPD服务商签订合同约定的服务费率为准);后勤物资等其他物资，中标人无需承担服务费。如中标人不予配合，采购人有权终止与中标人的医用物资供应关系或选择备选医用物资中标人</w:t>
      </w:r>
      <w:r>
        <w:rPr>
          <w:rFonts w:hint="eastAsia" w:ascii="宋体" w:hAnsi="宋体" w:cs="宋体"/>
          <w:b/>
          <w:color w:val="000000"/>
          <w:highlight w:val="none"/>
          <w:lang w:eastAsia="zh-CN"/>
        </w:rPr>
        <w:t>。</w:t>
      </w:r>
    </w:p>
    <w:p w14:paraId="0AEA2B9A">
      <w:pPr>
        <w:ind w:left="0" w:right="0" w:firstLine="482"/>
        <w:rPr>
          <w:highlight w:val="none"/>
        </w:rPr>
      </w:pPr>
      <w:r>
        <w:rPr>
          <w:rFonts w:hint="eastAsia" w:ascii="宋体" w:hAnsi="宋体" w:cs="宋体"/>
          <w:b/>
          <w:color w:val="000000"/>
          <w:highlight w:val="none"/>
        </w:rPr>
        <w:t>8、根据医保政策，可单独收费医用耗材请提供安徽医保局下发的27位医保编码，并按编码进行报价。</w:t>
      </w:r>
    </w:p>
    <w:p w14:paraId="52AB1698">
      <w:pPr>
        <w:ind w:left="0" w:right="0" w:firstLine="482"/>
        <w:rPr>
          <w:highlight w:val="none"/>
        </w:rPr>
      </w:pPr>
      <w:r>
        <w:rPr>
          <w:rFonts w:ascii="宋体" w:hAnsi="宋体" w:cs="宋体"/>
          <w:b/>
          <w:color w:val="000000"/>
          <w:highlight w:val="none"/>
        </w:rPr>
        <w:t>9</w:t>
      </w:r>
      <w:r>
        <w:rPr>
          <w:rFonts w:hint="eastAsia" w:ascii="宋体" w:hAnsi="宋体" w:cs="宋体"/>
          <w:b/>
          <w:color w:val="000000"/>
          <w:highlight w:val="none"/>
        </w:rPr>
        <w:t>、</w:t>
      </w:r>
      <w:r>
        <w:rPr>
          <w:rFonts w:hint="eastAsia"/>
          <w:b/>
          <w:color w:val="000000"/>
          <w:highlight w:val="none"/>
        </w:rPr>
        <w:t>需长期供应的医用耗材及试剂产品，成交后合同期内不得变更配送公司，否则取消成交资格。投标时生产厂家须出具长期授权函，并提供合同期内不变更配送公司的承诺函，</w:t>
      </w:r>
      <w:bookmarkStart w:id="0" w:name="_Hlk100612830"/>
      <w:r>
        <w:rPr>
          <w:rFonts w:hint="eastAsia"/>
          <w:b/>
          <w:color w:val="000000"/>
          <w:highlight w:val="none"/>
        </w:rPr>
        <w:t>如不提供的评标委员会</w:t>
      </w:r>
      <w:bookmarkEnd w:id="0"/>
      <w:r>
        <w:rPr>
          <w:rFonts w:hint="eastAsia"/>
          <w:b/>
          <w:color w:val="000000"/>
          <w:highlight w:val="none"/>
        </w:rPr>
        <w:t>有权否决其投标</w:t>
      </w:r>
      <w:r>
        <w:rPr>
          <w:rFonts w:hint="eastAsia" w:ascii="宋体" w:hAnsi="宋体" w:cs="宋体"/>
          <w:b/>
          <w:color w:val="000000"/>
          <w:highlight w:val="none"/>
        </w:rPr>
        <w:t>。</w:t>
      </w:r>
    </w:p>
    <w:p w14:paraId="3D2EF931">
      <w:pPr>
        <w:ind w:left="0" w:right="0" w:firstLine="482"/>
        <w:rPr>
          <w:highlight w:val="none"/>
        </w:rPr>
      </w:pPr>
      <w:r>
        <w:rPr>
          <w:rFonts w:hint="eastAsia" w:ascii="宋体" w:hAnsi="宋体" w:cs="宋体"/>
          <w:b/>
          <w:color w:val="000000"/>
          <w:highlight w:val="none"/>
        </w:rPr>
        <w:t>10、医用耗材及配套使用的工具按医院规定需要消毒的，其相关费用由投标人自行承担。</w:t>
      </w:r>
    </w:p>
    <w:p w14:paraId="63781CC0">
      <w:pPr>
        <w:ind w:left="0" w:right="0" w:firstLine="482"/>
        <w:rPr>
          <w:highlight w:val="none"/>
        </w:rPr>
      </w:pPr>
      <w:r>
        <w:rPr>
          <w:rFonts w:hint="eastAsia"/>
          <w:b/>
          <w:color w:val="000000"/>
          <w:highlight w:val="none"/>
        </w:rPr>
        <w:t>1</w:t>
      </w:r>
      <w:r>
        <w:rPr>
          <w:b/>
          <w:color w:val="000000"/>
          <w:highlight w:val="none"/>
        </w:rPr>
        <w:t>1</w:t>
      </w:r>
      <w:r>
        <w:rPr>
          <w:rFonts w:hint="eastAsia"/>
          <w:b/>
          <w:color w:val="000000"/>
          <w:highlight w:val="none"/>
        </w:rPr>
        <w:t>、检验试剂项目和需配套检验试剂使用的检验设备项目，均须免费提供同品</w:t>
      </w:r>
      <w:r>
        <w:rPr>
          <w:rFonts w:hint="eastAsia" w:ascii="宋体" w:hAnsi="宋体" w:cs="宋体"/>
          <w:b/>
          <w:color w:val="000000"/>
          <w:highlight w:val="none"/>
        </w:rPr>
        <w:t>牌或第三方符合溯源要求的质控品。</w:t>
      </w:r>
    </w:p>
    <w:p w14:paraId="23F185F4">
      <w:pPr>
        <w:ind w:left="0" w:right="0" w:firstLine="482"/>
        <w:rPr>
          <w:highlight w:val="none"/>
        </w:rPr>
      </w:pPr>
      <w:r>
        <w:rPr>
          <w:rFonts w:hint="eastAsia" w:ascii="宋体" w:hAnsi="宋体" w:cs="宋体"/>
          <w:b/>
          <w:color w:val="000000"/>
          <w:highlight w:val="none"/>
        </w:rPr>
        <w:t>12、投标人需无条件接受因国家及安徽省相关政策（如医用耗材带量采购等）对招标结果带来的变动，投标人不得提出异议。</w:t>
      </w:r>
      <w:r>
        <w:rPr>
          <w:rFonts w:hint="eastAsia" w:ascii="宋体" w:hAnsi="宋体" w:cs="宋体"/>
          <w:b/>
          <w:color w:val="000000"/>
          <w:highlight w:val="none"/>
        </w:rPr>
        <w:br w:type="textWrapping"/>
      </w:r>
      <w:r>
        <w:rPr>
          <w:rFonts w:hint="eastAsia" w:ascii="宋体" w:hAnsi="宋体" w:cs="宋体"/>
          <w:b/>
          <w:color w:val="000000"/>
          <w:highlight w:val="none"/>
        </w:rPr>
        <w:t xml:space="preserve">    13、投标人须保证此次招标产品，投标价格不得高于安徽省医药集中采购平台交易目录最高限价；后期安徽省医药集中采购平台交易目录最高限价如有降价，中标产品的投标人应于7个工作日内书面通知采购人启动协商程序。</w:t>
      </w:r>
    </w:p>
    <w:p w14:paraId="064C2C7D">
      <w:pPr>
        <w:ind w:left="0" w:right="0" w:firstLine="482"/>
        <w:rPr>
          <w:highlight w:val="none"/>
        </w:rPr>
      </w:pPr>
      <w:r>
        <w:rPr>
          <w:rFonts w:hint="eastAsia" w:ascii="宋体" w:hAnsi="宋体" w:cs="宋体"/>
          <w:b/>
          <w:color w:val="000000"/>
          <w:highlight w:val="none"/>
        </w:rPr>
        <w:t>14、 按收费价格费率投标的检验项目，如后期收费价格下调，试剂供货价格须按中标费率同比例下浮。</w:t>
      </w:r>
    </w:p>
    <w:p w14:paraId="756D5FBB">
      <w:pPr>
        <w:numPr>
          <w:ilvl w:val="0"/>
          <w:numId w:val="0"/>
        </w:numPr>
        <w:ind w:left="0" w:right="0" w:firstLine="437"/>
        <w:jc w:val="both"/>
        <w:outlineLvl w:val="1"/>
        <w:rPr>
          <w:highlight w:val="none"/>
        </w:rPr>
      </w:pPr>
      <w:bookmarkStart w:id="1" w:name="_Hlk16461016"/>
      <w:r>
        <w:rPr>
          <w:rFonts w:hint="eastAsia" w:ascii="宋体" w:hAnsi="宋体" w:cs="@仿宋_GB2312"/>
          <w:b/>
          <w:color w:val="000000"/>
          <w:szCs w:val="18"/>
          <w:highlight w:val="none"/>
          <w:lang w:val="en-US" w:eastAsia="zh-CN"/>
        </w:rPr>
        <w:t>二</w:t>
      </w:r>
      <w:r>
        <w:rPr>
          <w:rFonts w:hint="eastAsia" w:ascii="宋体" w:hAnsi="宋体" w:cs="@仿宋_GB2312"/>
          <w:b/>
          <w:color w:val="000000"/>
          <w:szCs w:val="18"/>
          <w:highlight w:val="none"/>
        </w:rPr>
        <w:t>、采购需求前附表（以下内容必须响应，不允许偏离）</w:t>
      </w:r>
    </w:p>
    <w:tbl>
      <w:tblPr>
        <w:tblStyle w:val="4"/>
        <w:tblW w:w="0" w:type="auto"/>
        <w:jc w:val="center"/>
        <w:tblLayout w:type="fixed"/>
        <w:tblCellMar>
          <w:top w:w="0" w:type="dxa"/>
          <w:left w:w="108" w:type="dxa"/>
          <w:bottom w:w="0" w:type="dxa"/>
          <w:right w:w="108" w:type="dxa"/>
        </w:tblCellMar>
      </w:tblPr>
      <w:tblGrid>
        <w:gridCol w:w="1087"/>
        <w:gridCol w:w="2191"/>
        <w:gridCol w:w="5476"/>
      </w:tblGrid>
      <w:tr w14:paraId="42D5F781">
        <w:tblPrEx>
          <w:tblCellMar>
            <w:top w:w="0" w:type="dxa"/>
            <w:left w:w="108" w:type="dxa"/>
            <w:bottom w:w="0" w:type="dxa"/>
            <w:right w:w="108" w:type="dxa"/>
          </w:tblCellMar>
        </w:tblPrEx>
        <w:trPr>
          <w:trHeight w:val="502" w:hRule="atLeast"/>
          <w:jc w:val="center"/>
        </w:trPr>
        <w:tc>
          <w:tcPr>
            <w:tcW w:w="1087" w:type="dxa"/>
            <w:tcBorders>
              <w:top w:val="single" w:color="000000" w:sz="4" w:space="0"/>
              <w:left w:val="single" w:color="000000" w:sz="4" w:space="0"/>
              <w:bottom w:val="single" w:color="000000" w:sz="4" w:space="0"/>
              <w:right w:val="single" w:color="000000" w:sz="4" w:space="0"/>
            </w:tcBorders>
            <w:noWrap w:val="0"/>
            <w:vAlign w:val="center"/>
          </w:tcPr>
          <w:p w14:paraId="1EB4CFEE">
            <w:pPr>
              <w:spacing w:line="240" w:lineRule="auto"/>
              <w:jc w:val="center"/>
              <w:rPr>
                <w:highlight w:val="none"/>
              </w:rPr>
            </w:pPr>
            <w:r>
              <w:rPr>
                <w:rFonts w:hint="eastAsia" w:ascii="宋体" w:hAnsi="宋体" w:cs="@仿宋_GB2312"/>
                <w:b/>
                <w:color w:val="000000"/>
                <w:szCs w:val="20"/>
                <w:highlight w:val="none"/>
              </w:rPr>
              <w:t>序号</w:t>
            </w:r>
          </w:p>
        </w:tc>
        <w:tc>
          <w:tcPr>
            <w:tcW w:w="2191" w:type="dxa"/>
            <w:tcBorders>
              <w:top w:val="single" w:color="000000" w:sz="4" w:space="0"/>
              <w:left w:val="single" w:color="000000" w:sz="4" w:space="0"/>
              <w:bottom w:val="single" w:color="000000" w:sz="4" w:space="0"/>
              <w:right w:val="single" w:color="000000" w:sz="4" w:space="0"/>
            </w:tcBorders>
            <w:noWrap w:val="0"/>
            <w:vAlign w:val="center"/>
          </w:tcPr>
          <w:p w14:paraId="1E40A177">
            <w:pPr>
              <w:jc w:val="center"/>
              <w:rPr>
                <w:highlight w:val="none"/>
              </w:rPr>
            </w:pPr>
            <w:r>
              <w:rPr>
                <w:rFonts w:hint="eastAsia" w:ascii="宋体" w:hAnsi="宋体" w:cs="@仿宋_GB2312"/>
                <w:b/>
                <w:color w:val="000000"/>
                <w:kern w:val="0"/>
                <w:szCs w:val="28"/>
                <w:highlight w:val="none"/>
              </w:rPr>
              <w:t>条款名称</w:t>
            </w:r>
          </w:p>
        </w:tc>
        <w:tc>
          <w:tcPr>
            <w:tcW w:w="5476" w:type="dxa"/>
            <w:tcBorders>
              <w:top w:val="single" w:color="000000" w:sz="4" w:space="0"/>
              <w:left w:val="single" w:color="000000" w:sz="4" w:space="0"/>
              <w:bottom w:val="single" w:color="000000" w:sz="4" w:space="0"/>
              <w:right w:val="single" w:color="000000" w:sz="4" w:space="0"/>
            </w:tcBorders>
            <w:noWrap w:val="0"/>
            <w:vAlign w:val="center"/>
          </w:tcPr>
          <w:p w14:paraId="23331E85">
            <w:pPr>
              <w:jc w:val="center"/>
              <w:rPr>
                <w:highlight w:val="none"/>
              </w:rPr>
            </w:pPr>
            <w:r>
              <w:rPr>
                <w:rFonts w:hint="eastAsia" w:ascii="宋体" w:hAnsi="宋体" w:cs="@仿宋_GB2312"/>
                <w:b/>
                <w:color w:val="000000"/>
                <w:kern w:val="0"/>
                <w:szCs w:val="28"/>
                <w:highlight w:val="none"/>
              </w:rPr>
              <w:t>内容、说明与要求</w:t>
            </w:r>
          </w:p>
        </w:tc>
      </w:tr>
      <w:tr w14:paraId="691DDB6A">
        <w:tblPrEx>
          <w:tblCellMar>
            <w:top w:w="0" w:type="dxa"/>
            <w:left w:w="108" w:type="dxa"/>
            <w:bottom w:w="0" w:type="dxa"/>
            <w:right w:w="108" w:type="dxa"/>
          </w:tblCellMar>
        </w:tblPrEx>
        <w:trPr>
          <w:trHeight w:val="502" w:hRule="atLeast"/>
          <w:jc w:val="center"/>
        </w:trPr>
        <w:tc>
          <w:tcPr>
            <w:tcW w:w="1087" w:type="dxa"/>
            <w:tcBorders>
              <w:top w:val="single" w:color="000000" w:sz="4" w:space="0"/>
              <w:left w:val="single" w:color="000000" w:sz="4" w:space="0"/>
              <w:bottom w:val="single" w:color="000000" w:sz="4" w:space="0"/>
              <w:right w:val="single" w:color="000000" w:sz="4" w:space="0"/>
            </w:tcBorders>
            <w:noWrap w:val="0"/>
            <w:vAlign w:val="center"/>
          </w:tcPr>
          <w:p w14:paraId="39D9811B">
            <w:pPr>
              <w:spacing w:line="240" w:lineRule="auto"/>
              <w:jc w:val="center"/>
              <w:rPr>
                <w:highlight w:val="none"/>
              </w:rPr>
            </w:pPr>
            <w:r>
              <w:rPr>
                <w:rFonts w:hint="eastAsia" w:ascii="宋体" w:hAnsi="宋体" w:cs="@仿宋_GB2312"/>
                <w:bCs/>
                <w:color w:val="000000"/>
                <w:szCs w:val="20"/>
                <w:highlight w:val="none"/>
              </w:rPr>
              <w:t>1</w:t>
            </w:r>
          </w:p>
        </w:tc>
        <w:tc>
          <w:tcPr>
            <w:tcW w:w="2191" w:type="dxa"/>
            <w:tcBorders>
              <w:top w:val="single" w:color="000000" w:sz="4" w:space="0"/>
              <w:left w:val="single" w:color="000000" w:sz="4" w:space="0"/>
              <w:bottom w:val="single" w:color="000000" w:sz="4" w:space="0"/>
              <w:right w:val="single" w:color="000000" w:sz="4" w:space="0"/>
            </w:tcBorders>
            <w:noWrap w:val="0"/>
            <w:vAlign w:val="center"/>
          </w:tcPr>
          <w:p w14:paraId="4F2D469E">
            <w:pPr>
              <w:jc w:val="center"/>
              <w:rPr>
                <w:highlight w:val="none"/>
              </w:rPr>
            </w:pPr>
            <w:r>
              <w:rPr>
                <w:rFonts w:hint="eastAsia" w:ascii="宋体" w:hAnsi="宋体" w:cs="@仿宋_GB2312"/>
                <w:bCs/>
                <w:color w:val="000000"/>
                <w:kern w:val="0"/>
                <w:szCs w:val="28"/>
                <w:highlight w:val="none"/>
              </w:rPr>
              <w:t>付款方式</w:t>
            </w:r>
          </w:p>
        </w:tc>
        <w:tc>
          <w:tcPr>
            <w:tcW w:w="5476" w:type="dxa"/>
            <w:tcBorders>
              <w:top w:val="single" w:color="000000" w:sz="4" w:space="0"/>
              <w:left w:val="single" w:color="000000" w:sz="4" w:space="0"/>
              <w:bottom w:val="single" w:color="000000" w:sz="4" w:space="0"/>
              <w:right w:val="single" w:color="000000" w:sz="4" w:space="0"/>
            </w:tcBorders>
            <w:noWrap w:val="0"/>
            <w:vAlign w:val="center"/>
          </w:tcPr>
          <w:p w14:paraId="499E188E">
            <w:pPr>
              <w:jc w:val="both"/>
              <w:rPr>
                <w:highlight w:val="none"/>
              </w:rPr>
            </w:pPr>
            <w:r>
              <w:rPr>
                <w:rFonts w:hint="eastAsia" w:ascii="宋体" w:hAnsi="宋体" w:eastAsia="宋体" w:cs="@仿宋_GB2312"/>
                <w:bCs/>
                <w:color w:val="000000"/>
                <w:kern w:val="0"/>
                <w:szCs w:val="28"/>
                <w:highlight w:val="none"/>
                <w:lang w:val="en-US" w:eastAsia="zh-CN"/>
              </w:rPr>
              <w:t>按医用物资采购批次入库为计算时间起点九个月后一次性付清</w:t>
            </w:r>
          </w:p>
        </w:tc>
      </w:tr>
      <w:tr w14:paraId="45A0F013">
        <w:tblPrEx>
          <w:tblCellMar>
            <w:top w:w="0" w:type="dxa"/>
            <w:left w:w="108" w:type="dxa"/>
            <w:bottom w:w="0" w:type="dxa"/>
            <w:right w:w="108" w:type="dxa"/>
          </w:tblCellMar>
        </w:tblPrEx>
        <w:trPr>
          <w:trHeight w:val="502" w:hRule="atLeast"/>
          <w:jc w:val="center"/>
        </w:trPr>
        <w:tc>
          <w:tcPr>
            <w:tcW w:w="1087" w:type="dxa"/>
            <w:tcBorders>
              <w:top w:val="single" w:color="000000" w:sz="4" w:space="0"/>
              <w:left w:val="single" w:color="000000" w:sz="4" w:space="0"/>
              <w:bottom w:val="single" w:color="000000" w:sz="4" w:space="0"/>
              <w:right w:val="single" w:color="000000" w:sz="4" w:space="0"/>
            </w:tcBorders>
            <w:noWrap w:val="0"/>
            <w:vAlign w:val="center"/>
          </w:tcPr>
          <w:p w14:paraId="3A7A990A">
            <w:pPr>
              <w:spacing w:line="240" w:lineRule="auto"/>
              <w:jc w:val="center"/>
              <w:rPr>
                <w:highlight w:val="none"/>
              </w:rPr>
            </w:pPr>
            <w:r>
              <w:rPr>
                <w:rFonts w:hint="eastAsia" w:ascii="宋体" w:hAnsi="宋体" w:cs="@仿宋_GB2312"/>
                <w:bCs/>
                <w:color w:val="000000"/>
                <w:szCs w:val="20"/>
                <w:highlight w:val="none"/>
              </w:rPr>
              <w:t>2</w:t>
            </w:r>
          </w:p>
        </w:tc>
        <w:tc>
          <w:tcPr>
            <w:tcW w:w="2191" w:type="dxa"/>
            <w:tcBorders>
              <w:top w:val="single" w:color="000000" w:sz="4" w:space="0"/>
              <w:left w:val="single" w:color="000000" w:sz="4" w:space="0"/>
              <w:bottom w:val="single" w:color="000000" w:sz="4" w:space="0"/>
              <w:right w:val="single" w:color="000000" w:sz="4" w:space="0"/>
            </w:tcBorders>
            <w:noWrap w:val="0"/>
            <w:vAlign w:val="center"/>
          </w:tcPr>
          <w:p w14:paraId="1A4896A6">
            <w:pPr>
              <w:jc w:val="center"/>
              <w:rPr>
                <w:highlight w:val="none"/>
              </w:rPr>
            </w:pPr>
            <w:r>
              <w:rPr>
                <w:rFonts w:hint="eastAsia" w:ascii="宋体" w:hAnsi="宋体" w:cs="@仿宋_GB2312"/>
                <w:bCs/>
                <w:color w:val="000000"/>
                <w:kern w:val="0"/>
                <w:szCs w:val="28"/>
                <w:highlight w:val="none"/>
              </w:rPr>
              <w:t>供货及安装地点</w:t>
            </w:r>
          </w:p>
        </w:tc>
        <w:tc>
          <w:tcPr>
            <w:tcW w:w="5476" w:type="dxa"/>
            <w:tcBorders>
              <w:top w:val="single" w:color="000000" w:sz="4" w:space="0"/>
              <w:left w:val="single" w:color="000000" w:sz="4" w:space="0"/>
              <w:bottom w:val="single" w:color="000000" w:sz="4" w:space="0"/>
              <w:right w:val="single" w:color="000000" w:sz="4" w:space="0"/>
            </w:tcBorders>
            <w:noWrap w:val="0"/>
            <w:vAlign w:val="center"/>
          </w:tcPr>
          <w:p w14:paraId="163E55BB">
            <w:pPr>
              <w:jc w:val="both"/>
              <w:rPr>
                <w:highlight w:val="none"/>
              </w:rPr>
            </w:pPr>
            <w:r>
              <w:rPr>
                <w:rFonts w:hint="eastAsia" w:ascii="宋体" w:hAnsi="宋体" w:cs="@仿宋_GB2312"/>
                <w:bCs/>
                <w:color w:val="000000"/>
                <w:kern w:val="0"/>
                <w:szCs w:val="28"/>
                <w:highlight w:val="none"/>
                <w:lang w:val="en-US" w:eastAsia="zh-CN"/>
              </w:rPr>
              <w:t>采购人指定地点</w:t>
            </w:r>
          </w:p>
        </w:tc>
      </w:tr>
      <w:tr w14:paraId="07D38D07">
        <w:tblPrEx>
          <w:tblCellMar>
            <w:top w:w="0" w:type="dxa"/>
            <w:left w:w="108" w:type="dxa"/>
            <w:bottom w:w="0" w:type="dxa"/>
            <w:right w:w="108" w:type="dxa"/>
          </w:tblCellMar>
        </w:tblPrEx>
        <w:trPr>
          <w:trHeight w:val="502" w:hRule="atLeast"/>
          <w:jc w:val="center"/>
        </w:trPr>
        <w:tc>
          <w:tcPr>
            <w:tcW w:w="1087" w:type="dxa"/>
            <w:tcBorders>
              <w:top w:val="single" w:color="000000" w:sz="4" w:space="0"/>
              <w:left w:val="single" w:color="000000" w:sz="4" w:space="0"/>
              <w:bottom w:val="single" w:color="000000" w:sz="4" w:space="0"/>
              <w:right w:val="single" w:color="000000" w:sz="4" w:space="0"/>
            </w:tcBorders>
            <w:noWrap w:val="0"/>
            <w:vAlign w:val="center"/>
          </w:tcPr>
          <w:p w14:paraId="224E028F">
            <w:pPr>
              <w:spacing w:line="240" w:lineRule="auto"/>
              <w:jc w:val="center"/>
              <w:rPr>
                <w:highlight w:val="none"/>
              </w:rPr>
            </w:pPr>
            <w:r>
              <w:rPr>
                <w:rFonts w:hint="eastAsia" w:ascii="宋体" w:hAnsi="宋体" w:cs="@仿宋_GB2312"/>
                <w:bCs/>
                <w:color w:val="000000"/>
                <w:szCs w:val="20"/>
                <w:highlight w:val="none"/>
              </w:rPr>
              <w:t>3</w:t>
            </w:r>
          </w:p>
        </w:tc>
        <w:tc>
          <w:tcPr>
            <w:tcW w:w="2191" w:type="dxa"/>
            <w:tcBorders>
              <w:top w:val="single" w:color="000000" w:sz="4" w:space="0"/>
              <w:left w:val="single" w:color="000000" w:sz="4" w:space="0"/>
              <w:bottom w:val="single" w:color="000000" w:sz="4" w:space="0"/>
              <w:right w:val="single" w:color="000000" w:sz="4" w:space="0"/>
            </w:tcBorders>
            <w:noWrap w:val="0"/>
            <w:vAlign w:val="center"/>
          </w:tcPr>
          <w:p w14:paraId="4224906C">
            <w:pPr>
              <w:jc w:val="center"/>
              <w:rPr>
                <w:highlight w:val="none"/>
              </w:rPr>
            </w:pPr>
            <w:r>
              <w:rPr>
                <w:rFonts w:hint="eastAsia" w:ascii="宋体" w:hAnsi="宋体" w:cs="@仿宋_GB2312"/>
                <w:bCs/>
                <w:color w:val="000000"/>
                <w:kern w:val="0"/>
                <w:szCs w:val="28"/>
                <w:highlight w:val="none"/>
              </w:rPr>
              <w:t>供货安装期/供货期</w:t>
            </w:r>
          </w:p>
        </w:tc>
        <w:tc>
          <w:tcPr>
            <w:tcW w:w="5476" w:type="dxa"/>
            <w:tcBorders>
              <w:top w:val="single" w:color="000000" w:sz="4" w:space="0"/>
              <w:left w:val="single" w:color="000000" w:sz="4" w:space="0"/>
              <w:bottom w:val="single" w:color="000000" w:sz="4" w:space="0"/>
              <w:right w:val="single" w:color="000000" w:sz="4" w:space="0"/>
            </w:tcBorders>
            <w:noWrap w:val="0"/>
            <w:vAlign w:val="center"/>
          </w:tcPr>
          <w:p w14:paraId="2C80D055">
            <w:pPr>
              <w:jc w:val="both"/>
              <w:rPr>
                <w:highlight w:val="none"/>
              </w:rPr>
            </w:pPr>
            <w:r>
              <w:rPr>
                <w:rFonts w:hint="eastAsia" w:ascii="宋体" w:hAnsi="宋体" w:cs="宋体"/>
                <w:b w:val="0"/>
                <w:bCs w:val="0"/>
                <w:color w:val="000000"/>
                <w:szCs w:val="24"/>
                <w:highlight w:val="none"/>
              </w:rPr>
              <w:t>详见采购公告</w:t>
            </w:r>
          </w:p>
        </w:tc>
      </w:tr>
      <w:tr w14:paraId="407AF37B">
        <w:tblPrEx>
          <w:tblCellMar>
            <w:top w:w="0" w:type="dxa"/>
            <w:left w:w="108" w:type="dxa"/>
            <w:bottom w:w="0" w:type="dxa"/>
            <w:right w:w="108" w:type="dxa"/>
          </w:tblCellMar>
        </w:tblPrEx>
        <w:trPr>
          <w:trHeight w:val="502" w:hRule="atLeast"/>
          <w:jc w:val="center"/>
        </w:trPr>
        <w:tc>
          <w:tcPr>
            <w:tcW w:w="1087" w:type="dxa"/>
            <w:tcBorders>
              <w:top w:val="single" w:color="000000" w:sz="4" w:space="0"/>
              <w:left w:val="single" w:color="000000" w:sz="4" w:space="0"/>
              <w:bottom w:val="single" w:color="000000" w:sz="4" w:space="0"/>
              <w:right w:val="single" w:color="000000" w:sz="4" w:space="0"/>
            </w:tcBorders>
            <w:noWrap w:val="0"/>
            <w:vAlign w:val="center"/>
          </w:tcPr>
          <w:p w14:paraId="47C576E5">
            <w:pPr>
              <w:spacing w:line="240" w:lineRule="auto"/>
              <w:jc w:val="center"/>
              <w:rPr>
                <w:highlight w:val="none"/>
              </w:rPr>
            </w:pPr>
            <w:r>
              <w:rPr>
                <w:rFonts w:hint="eastAsia" w:ascii="宋体" w:hAnsi="宋体" w:cs="@仿宋_GB2312"/>
                <w:bCs/>
                <w:color w:val="000000"/>
                <w:szCs w:val="20"/>
                <w:highlight w:val="none"/>
              </w:rPr>
              <w:t>4</w:t>
            </w:r>
          </w:p>
        </w:tc>
        <w:tc>
          <w:tcPr>
            <w:tcW w:w="2191" w:type="dxa"/>
            <w:tcBorders>
              <w:top w:val="single" w:color="000000" w:sz="4" w:space="0"/>
              <w:left w:val="single" w:color="000000" w:sz="4" w:space="0"/>
              <w:bottom w:val="single" w:color="000000" w:sz="4" w:space="0"/>
              <w:right w:val="single" w:color="000000" w:sz="4" w:space="0"/>
            </w:tcBorders>
            <w:noWrap w:val="0"/>
            <w:vAlign w:val="center"/>
          </w:tcPr>
          <w:p w14:paraId="38439426">
            <w:pPr>
              <w:jc w:val="center"/>
              <w:rPr>
                <w:highlight w:val="none"/>
              </w:rPr>
            </w:pPr>
            <w:r>
              <w:rPr>
                <w:rFonts w:hint="eastAsia" w:ascii="宋体" w:hAnsi="宋体" w:cs="@仿宋_GB2312"/>
                <w:bCs/>
                <w:color w:val="000000"/>
                <w:kern w:val="0"/>
                <w:szCs w:val="28"/>
                <w:highlight w:val="none"/>
              </w:rPr>
              <w:t>质保期（如有）</w:t>
            </w:r>
          </w:p>
        </w:tc>
        <w:tc>
          <w:tcPr>
            <w:tcW w:w="5476" w:type="dxa"/>
            <w:tcBorders>
              <w:top w:val="single" w:color="000000" w:sz="4" w:space="0"/>
              <w:left w:val="single" w:color="000000" w:sz="4" w:space="0"/>
              <w:bottom w:val="single" w:color="000000" w:sz="4" w:space="0"/>
              <w:right w:val="single" w:color="000000" w:sz="4" w:space="0"/>
            </w:tcBorders>
            <w:noWrap w:val="0"/>
            <w:vAlign w:val="center"/>
          </w:tcPr>
          <w:p w14:paraId="5F2B1318">
            <w:pPr>
              <w:jc w:val="both"/>
              <w:rPr>
                <w:highlight w:val="none"/>
              </w:rPr>
            </w:pPr>
            <w:r>
              <w:rPr>
                <w:rFonts w:hint="eastAsia" w:ascii="宋体" w:hAnsi="宋体" w:cs="宋体"/>
                <w:b w:val="0"/>
                <w:bCs w:val="0"/>
                <w:color w:val="000000"/>
                <w:szCs w:val="24"/>
                <w:highlight w:val="none"/>
                <w:lang w:val="en-US" w:eastAsia="zh-CN"/>
              </w:rPr>
              <w:t>全生命周期</w:t>
            </w:r>
          </w:p>
        </w:tc>
      </w:tr>
    </w:tbl>
    <w:p w14:paraId="70D4226E">
      <w:pPr>
        <w:ind w:left="0" w:right="0" w:firstLine="437"/>
        <w:jc w:val="both"/>
        <w:rPr>
          <w:rFonts w:hint="eastAsia" w:ascii="宋体" w:hAnsi="宋体" w:cs="@仿宋_GB2312"/>
          <w:b/>
          <w:bCs/>
          <w:color w:val="000000"/>
          <w:szCs w:val="18"/>
          <w:highlight w:val="none"/>
        </w:rPr>
      </w:pPr>
    </w:p>
    <w:p w14:paraId="586F26FD">
      <w:pPr>
        <w:numPr>
          <w:ilvl w:val="0"/>
          <w:numId w:val="0"/>
        </w:numPr>
        <w:ind w:left="0" w:right="0" w:firstLine="437"/>
        <w:jc w:val="both"/>
        <w:outlineLvl w:val="1"/>
        <w:rPr>
          <w:highlight w:val="none"/>
        </w:rPr>
      </w:pPr>
      <w:r>
        <w:rPr>
          <w:rFonts w:hint="eastAsia" w:ascii="宋体" w:hAnsi="宋体" w:cs="@仿宋_GB2312"/>
          <w:b/>
          <w:bCs/>
          <w:color w:val="000000"/>
          <w:szCs w:val="18"/>
          <w:highlight w:val="none"/>
          <w:lang w:val="en-US" w:eastAsia="zh-CN"/>
        </w:rPr>
        <w:t>三</w:t>
      </w:r>
      <w:r>
        <w:rPr>
          <w:rFonts w:hint="eastAsia" w:ascii="宋体" w:hAnsi="宋体" w:cs="@仿宋_GB2312"/>
          <w:b/>
          <w:bCs/>
          <w:color w:val="000000"/>
          <w:szCs w:val="18"/>
          <w:highlight w:val="none"/>
        </w:rPr>
        <w:t>、</w:t>
      </w:r>
      <w:r>
        <w:rPr>
          <w:rFonts w:hint="eastAsia" w:ascii="宋体" w:hAnsi="宋体" w:cs="@仿宋_GB2312"/>
          <w:b/>
          <w:color w:val="000000"/>
          <w:szCs w:val="18"/>
          <w:highlight w:val="none"/>
        </w:rPr>
        <w:t>货物</w:t>
      </w:r>
      <w:r>
        <w:rPr>
          <w:rFonts w:hint="eastAsia" w:ascii="宋体" w:hAnsi="宋体" w:cs="@仿宋_GB2312"/>
          <w:b/>
          <w:bCs/>
          <w:color w:val="000000"/>
          <w:szCs w:val="18"/>
          <w:highlight w:val="none"/>
        </w:rPr>
        <w:t>需求</w:t>
      </w:r>
    </w:p>
    <w:p w14:paraId="286BAE4C">
      <w:pPr>
        <w:widowControl/>
        <w:numPr>
          <w:ilvl w:val="0"/>
          <w:numId w:val="0"/>
        </w:numPr>
        <w:spacing w:line="240" w:lineRule="auto"/>
        <w:ind w:left="0" w:right="0" w:firstLine="482"/>
        <w:jc w:val="both"/>
        <w:outlineLvl w:val="2"/>
        <w:rPr>
          <w:highlight w:val="none"/>
        </w:rPr>
      </w:pPr>
      <w:r>
        <w:rPr>
          <w:rFonts w:hint="eastAsia" w:ascii="宋体" w:hAnsi="宋体" w:cs="宋体"/>
          <w:b/>
          <w:bCs/>
          <w:color w:val="000000"/>
          <w:highlight w:val="none"/>
        </w:rPr>
        <w:t>（一）标识符号</w:t>
      </w:r>
    </w:p>
    <w:tbl>
      <w:tblPr>
        <w:tblStyle w:val="4"/>
        <w:tblW w:w="0" w:type="auto"/>
        <w:jc w:val="center"/>
        <w:tblLayout w:type="fixed"/>
        <w:tblCellMar>
          <w:top w:w="0" w:type="dxa"/>
          <w:left w:w="108" w:type="dxa"/>
          <w:bottom w:w="0" w:type="dxa"/>
          <w:right w:w="108" w:type="dxa"/>
        </w:tblCellMar>
      </w:tblPr>
      <w:tblGrid>
        <w:gridCol w:w="1794"/>
        <w:gridCol w:w="1365"/>
        <w:gridCol w:w="5561"/>
      </w:tblGrid>
      <w:tr w14:paraId="279FAAEC">
        <w:tblPrEx>
          <w:tblCellMar>
            <w:top w:w="0" w:type="dxa"/>
            <w:left w:w="108" w:type="dxa"/>
            <w:bottom w:w="0" w:type="dxa"/>
            <w:right w:w="108" w:type="dxa"/>
          </w:tblCellMar>
        </w:tblPrEx>
        <w:trPr>
          <w:jc w:val="center"/>
        </w:trPr>
        <w:tc>
          <w:tcPr>
            <w:tcW w:w="1794" w:type="dxa"/>
            <w:tcBorders>
              <w:top w:val="single" w:color="000000" w:sz="4" w:space="0"/>
              <w:left w:val="single" w:color="000000" w:sz="4" w:space="0"/>
              <w:bottom w:val="single" w:color="000000" w:sz="4" w:space="0"/>
              <w:right w:val="single" w:color="000000" w:sz="4" w:space="0"/>
            </w:tcBorders>
            <w:noWrap w:val="0"/>
            <w:vAlign w:val="center"/>
          </w:tcPr>
          <w:p w14:paraId="33DEF9CB">
            <w:pPr>
              <w:spacing w:line="300" w:lineRule="auto"/>
              <w:jc w:val="center"/>
              <w:rPr>
                <w:highlight w:val="none"/>
              </w:rPr>
            </w:pPr>
            <w:r>
              <w:rPr>
                <w:rFonts w:hint="eastAsia" w:ascii="宋体" w:hAnsi="宋体" w:cs="宋体"/>
                <w:b/>
                <w:color w:val="000000"/>
                <w:highlight w:val="none"/>
              </w:rPr>
              <w:t>标识类型</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48CC4CFF">
            <w:pPr>
              <w:spacing w:line="300" w:lineRule="auto"/>
              <w:jc w:val="center"/>
              <w:rPr>
                <w:highlight w:val="none"/>
              </w:rPr>
            </w:pPr>
            <w:r>
              <w:rPr>
                <w:rFonts w:hint="eastAsia" w:ascii="宋体" w:hAnsi="宋体" w:cs="宋体"/>
                <w:b/>
                <w:color w:val="000000"/>
                <w:highlight w:val="none"/>
              </w:rPr>
              <w:t>标识符号</w:t>
            </w:r>
          </w:p>
        </w:tc>
        <w:tc>
          <w:tcPr>
            <w:tcW w:w="5561" w:type="dxa"/>
            <w:tcBorders>
              <w:top w:val="single" w:color="000000" w:sz="4" w:space="0"/>
              <w:left w:val="single" w:color="000000" w:sz="4" w:space="0"/>
              <w:bottom w:val="single" w:color="000000" w:sz="4" w:space="0"/>
              <w:right w:val="single" w:color="000000" w:sz="4" w:space="0"/>
            </w:tcBorders>
            <w:noWrap w:val="0"/>
            <w:vAlign w:val="center"/>
          </w:tcPr>
          <w:p w14:paraId="680FE30A">
            <w:pPr>
              <w:spacing w:line="300" w:lineRule="auto"/>
              <w:jc w:val="center"/>
              <w:rPr>
                <w:highlight w:val="none"/>
              </w:rPr>
            </w:pPr>
            <w:r>
              <w:rPr>
                <w:rFonts w:hint="eastAsia" w:ascii="宋体" w:hAnsi="宋体" w:cs="宋体"/>
                <w:b/>
                <w:color w:val="000000"/>
                <w:highlight w:val="none"/>
              </w:rPr>
              <w:t>标识符号含义</w:t>
            </w:r>
          </w:p>
        </w:tc>
      </w:tr>
      <w:tr w14:paraId="3B41445E">
        <w:tblPrEx>
          <w:tblCellMar>
            <w:top w:w="0" w:type="dxa"/>
            <w:left w:w="108" w:type="dxa"/>
            <w:bottom w:w="0" w:type="dxa"/>
            <w:right w:w="108" w:type="dxa"/>
          </w:tblCellMar>
        </w:tblPrEx>
        <w:trPr>
          <w:trHeight w:val="445" w:hRule="atLeast"/>
          <w:jc w:val="center"/>
        </w:trPr>
        <w:tc>
          <w:tcPr>
            <w:tcW w:w="1794" w:type="dxa"/>
            <w:tcBorders>
              <w:top w:val="single" w:color="000000" w:sz="4" w:space="0"/>
              <w:left w:val="single" w:color="000000" w:sz="4" w:space="0"/>
              <w:bottom w:val="single" w:color="000000" w:sz="4" w:space="0"/>
              <w:right w:val="single" w:color="000000" w:sz="4" w:space="0"/>
            </w:tcBorders>
            <w:noWrap w:val="0"/>
            <w:vAlign w:val="center"/>
          </w:tcPr>
          <w:p w14:paraId="6C15748B">
            <w:pPr>
              <w:snapToGrid w:val="0"/>
              <w:spacing w:line="20" w:lineRule="atLeast"/>
              <w:jc w:val="center"/>
              <w:rPr>
                <w:highlight w:val="none"/>
              </w:rPr>
            </w:pPr>
            <w:r>
              <w:rPr>
                <w:rFonts w:hint="eastAsia" w:ascii="宋体" w:hAnsi="宋体" w:cs="宋体"/>
                <w:bCs/>
                <w:color w:val="000000"/>
                <w:highlight w:val="none"/>
              </w:rPr>
              <w:t>关键性指标项</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6C2C98AD">
            <w:pPr>
              <w:snapToGrid w:val="0"/>
              <w:spacing w:line="20" w:lineRule="atLeast"/>
              <w:jc w:val="center"/>
              <w:rPr>
                <w:highlight w:val="none"/>
              </w:rPr>
            </w:pPr>
            <w:r>
              <w:rPr>
                <w:rFonts w:hint="eastAsia" w:ascii="宋体" w:hAnsi="宋体" w:cs="宋体"/>
                <w:bCs/>
                <w:color w:val="000000"/>
                <w:highlight w:val="none"/>
              </w:rPr>
              <w:t>★</w:t>
            </w:r>
          </w:p>
        </w:tc>
        <w:tc>
          <w:tcPr>
            <w:tcW w:w="5561" w:type="dxa"/>
            <w:tcBorders>
              <w:top w:val="single" w:color="000000" w:sz="4" w:space="0"/>
              <w:left w:val="single" w:color="000000" w:sz="4" w:space="0"/>
              <w:bottom w:val="single" w:color="000000" w:sz="4" w:space="0"/>
              <w:right w:val="single" w:color="000000" w:sz="4" w:space="0"/>
            </w:tcBorders>
            <w:noWrap w:val="0"/>
            <w:vAlign w:val="center"/>
          </w:tcPr>
          <w:p w14:paraId="2A809255">
            <w:pPr>
              <w:snapToGrid w:val="0"/>
              <w:spacing w:line="20" w:lineRule="atLeast"/>
              <w:jc w:val="center"/>
              <w:rPr>
                <w:highlight w:val="none"/>
              </w:rPr>
            </w:pPr>
            <w:r>
              <w:rPr>
                <w:rFonts w:hint="eastAsia" w:ascii="宋体" w:hAnsi="宋体" w:cs="宋体"/>
                <w:bCs/>
                <w:color w:val="000000"/>
                <w:highlight w:val="none"/>
                <w:lang w:val="en-US" w:eastAsia="zh-CN"/>
              </w:rPr>
              <w:t>如有，为评分项，详见第四章 评审办法</w:t>
            </w:r>
          </w:p>
        </w:tc>
      </w:tr>
      <w:tr w14:paraId="3ABF92C6">
        <w:tblPrEx>
          <w:tblCellMar>
            <w:top w:w="0" w:type="dxa"/>
            <w:left w:w="108" w:type="dxa"/>
            <w:bottom w:w="0" w:type="dxa"/>
            <w:right w:w="108" w:type="dxa"/>
          </w:tblCellMar>
        </w:tblPrEx>
        <w:trPr>
          <w:trHeight w:val="445" w:hRule="atLeast"/>
          <w:jc w:val="center"/>
        </w:trPr>
        <w:tc>
          <w:tcPr>
            <w:tcW w:w="1794" w:type="dxa"/>
            <w:tcBorders>
              <w:top w:val="single" w:color="000000" w:sz="4" w:space="0"/>
              <w:left w:val="single" w:color="000000" w:sz="4" w:space="0"/>
              <w:bottom w:val="single" w:color="000000" w:sz="4" w:space="0"/>
              <w:right w:val="single" w:color="000000" w:sz="4" w:space="0"/>
            </w:tcBorders>
            <w:noWrap w:val="0"/>
            <w:vAlign w:val="center"/>
          </w:tcPr>
          <w:p w14:paraId="321536D4">
            <w:pPr>
              <w:widowControl/>
              <w:spacing w:line="240" w:lineRule="auto"/>
              <w:jc w:val="center"/>
              <w:rPr>
                <w:highlight w:val="none"/>
              </w:rPr>
            </w:pPr>
            <w:r>
              <w:rPr>
                <w:rFonts w:hint="eastAsia" w:ascii="宋体" w:hAnsi="宋体" w:cs="宋体"/>
                <w:bCs/>
                <w:color w:val="000000"/>
                <w:kern w:val="0"/>
                <w:highlight w:val="none"/>
                <w:lang w:bidi="ar"/>
              </w:rPr>
              <w:t>无标识项</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19DC638A">
            <w:pPr>
              <w:snapToGrid w:val="0"/>
              <w:spacing w:line="240" w:lineRule="auto"/>
              <w:jc w:val="center"/>
              <w:rPr>
                <w:rFonts w:hint="eastAsia" w:ascii="宋体" w:hAnsi="宋体" w:cs="宋体"/>
                <w:bCs/>
                <w:color w:val="000000"/>
                <w:highlight w:val="none"/>
              </w:rPr>
            </w:pPr>
          </w:p>
        </w:tc>
        <w:tc>
          <w:tcPr>
            <w:tcW w:w="5561" w:type="dxa"/>
            <w:tcBorders>
              <w:top w:val="single" w:color="000000" w:sz="4" w:space="0"/>
              <w:left w:val="single" w:color="000000" w:sz="4" w:space="0"/>
              <w:bottom w:val="single" w:color="000000" w:sz="4" w:space="0"/>
              <w:right w:val="single" w:color="000000" w:sz="4" w:space="0"/>
            </w:tcBorders>
            <w:noWrap w:val="0"/>
            <w:vAlign w:val="center"/>
          </w:tcPr>
          <w:p w14:paraId="27B683DC">
            <w:pPr>
              <w:widowControl/>
              <w:spacing w:line="240" w:lineRule="auto"/>
              <w:jc w:val="center"/>
              <w:rPr>
                <w:highlight w:val="none"/>
              </w:rPr>
            </w:pPr>
            <w:r>
              <w:rPr>
                <w:rFonts w:hint="eastAsia" w:ascii="宋体" w:hAnsi="宋体" w:cs="宋体"/>
                <w:bCs/>
                <w:color w:val="000000"/>
                <w:highlight w:val="none"/>
                <w:lang w:val="en-US" w:eastAsia="zh-CN"/>
              </w:rPr>
              <w:t>评分项，详见第四章 评审办法</w:t>
            </w:r>
          </w:p>
        </w:tc>
      </w:tr>
      <w:tr w14:paraId="41EC8EC9">
        <w:tblPrEx>
          <w:tblCellMar>
            <w:top w:w="0" w:type="dxa"/>
            <w:left w:w="108" w:type="dxa"/>
            <w:bottom w:w="0" w:type="dxa"/>
            <w:right w:w="108" w:type="dxa"/>
          </w:tblCellMar>
        </w:tblPrEx>
        <w:trPr>
          <w:trHeight w:val="249" w:hRule="atLeast"/>
          <w:jc w:val="center"/>
        </w:trPr>
        <w:tc>
          <w:tcPr>
            <w:tcW w:w="8720" w:type="dxa"/>
            <w:gridSpan w:val="3"/>
            <w:tcBorders>
              <w:top w:val="single" w:color="000000" w:sz="4" w:space="0"/>
              <w:left w:val="single" w:color="000000" w:sz="4" w:space="0"/>
              <w:bottom w:val="single" w:color="000000" w:sz="4" w:space="0"/>
              <w:right w:val="single" w:color="000000" w:sz="4" w:space="0"/>
            </w:tcBorders>
            <w:noWrap w:val="0"/>
            <w:vAlign w:val="center"/>
          </w:tcPr>
          <w:p w14:paraId="4E9EA77E">
            <w:pPr>
              <w:spacing w:line="300" w:lineRule="auto"/>
              <w:rPr>
                <w:highlight w:val="none"/>
              </w:rPr>
            </w:pPr>
            <w:r>
              <w:rPr>
                <w:rFonts w:hint="eastAsia" w:ascii="宋体" w:hAnsi="宋体" w:cs="宋体"/>
                <w:b/>
                <w:bCs/>
                <w:color w:val="000000"/>
                <w:highlight w:val="none"/>
              </w:rPr>
              <w:t>注：如某项标识中包含多条技术参数或要求，则该项标识所含内容均需满足或优于采购文件要求，否则不予认可。</w:t>
            </w:r>
          </w:p>
        </w:tc>
      </w:tr>
    </w:tbl>
    <w:p w14:paraId="5E3627B8">
      <w:pPr>
        <w:widowControl/>
        <w:snapToGrid w:val="0"/>
        <w:spacing w:line="240" w:lineRule="auto"/>
        <w:jc w:val="both"/>
        <w:rPr>
          <w:rFonts w:hint="eastAsia" w:ascii="宋体" w:hAnsi="宋体" w:cs="宋体"/>
          <w:b/>
          <w:bCs/>
          <w:color w:val="000000"/>
          <w:highlight w:val="none"/>
        </w:rPr>
      </w:pPr>
    </w:p>
    <w:p w14:paraId="664E912D">
      <w:pPr>
        <w:widowControl/>
        <w:numPr>
          <w:ilvl w:val="0"/>
          <w:numId w:val="0"/>
        </w:numPr>
        <w:snapToGrid w:val="0"/>
        <w:ind w:left="0" w:right="0" w:firstLine="482"/>
        <w:jc w:val="both"/>
        <w:outlineLvl w:val="2"/>
        <w:rPr>
          <w:highlight w:val="none"/>
        </w:rPr>
      </w:pPr>
      <w:r>
        <w:rPr>
          <w:rFonts w:hint="eastAsia" w:ascii="宋体" w:hAnsi="宋体" w:cs="宋体"/>
          <w:b/>
          <w:bCs/>
          <w:color w:val="000000"/>
          <w:highlight w:val="none"/>
        </w:rPr>
        <w:t>（二）</w:t>
      </w:r>
      <w:r>
        <w:rPr>
          <w:rFonts w:hint="eastAsia" w:ascii="宋体" w:hAnsi="宋体" w:cs="宋体"/>
          <w:b/>
          <w:bCs/>
          <w:color w:val="000000"/>
          <w:highlight w:val="none"/>
          <w:lang w:val="en-US" w:eastAsia="zh-CN"/>
        </w:rPr>
        <w:t>技术参数</w:t>
      </w:r>
    </w:p>
    <w:bookmarkEnd w:id="1"/>
    <w:p w14:paraId="7B948A24">
      <w:pPr>
        <w:keepNext w:val="0"/>
        <w:keepLines w:val="0"/>
        <w:pageBreakBefore w:val="0"/>
        <w:widowControl w:val="0"/>
        <w:kinsoku/>
        <w:overflowPunct/>
        <w:autoSpaceDE/>
        <w:bidi w:val="0"/>
        <w:snapToGrid/>
        <w:ind w:left="0" w:right="0" w:firstLine="482"/>
        <w:jc w:val="both"/>
        <w:textAlignment w:val="auto"/>
        <w:rPr>
          <w:highlight w:val="none"/>
        </w:rPr>
      </w:pPr>
      <w:r>
        <w:rPr>
          <w:rFonts w:hint="eastAsia" w:ascii="宋体" w:hAnsi="宋体" w:cs="宋体"/>
          <w:b/>
          <w:bCs/>
          <w:color w:val="000000"/>
          <w:highlight w:val="none"/>
          <w:lang w:val="en-US" w:eastAsia="zh-CN"/>
        </w:rPr>
        <w:t>1.结核分枝杆菌rpoB基因和突变检测试剂盒</w:t>
      </w:r>
    </w:p>
    <w:p w14:paraId="50C98BA2">
      <w:pPr>
        <w:keepNext w:val="0"/>
        <w:keepLines w:val="0"/>
        <w:pageBreakBefore w:val="0"/>
        <w:widowControl w:val="0"/>
        <w:kinsoku/>
        <w:overflowPunct/>
        <w:autoSpaceDE/>
        <w:bidi w:val="0"/>
        <w:snapToGrid/>
        <w:ind w:left="0" w:right="0" w:firstLine="480"/>
        <w:jc w:val="both"/>
        <w:textAlignment w:val="auto"/>
        <w:rPr>
          <w:highlight w:val="none"/>
        </w:rPr>
      </w:pPr>
      <w:r>
        <w:rPr>
          <w:rFonts w:hint="eastAsia" w:ascii="宋体" w:hAnsi="宋体" w:cs="宋体"/>
          <w:b w:val="0"/>
          <w:bCs w:val="0"/>
          <w:color w:val="000000"/>
          <w:highlight w:val="none"/>
          <w:lang w:val="en-US" w:eastAsia="zh-CN"/>
        </w:rPr>
        <w:t>1.1检测方法学：实时荧光定量PCR法；</w:t>
      </w:r>
    </w:p>
    <w:p w14:paraId="3EBAA710">
      <w:pPr>
        <w:keepNext w:val="0"/>
        <w:keepLines w:val="0"/>
        <w:pageBreakBefore w:val="0"/>
        <w:widowControl w:val="0"/>
        <w:kinsoku/>
        <w:overflowPunct/>
        <w:autoSpaceDE/>
        <w:bidi w:val="0"/>
        <w:snapToGrid/>
        <w:ind w:left="0" w:right="0" w:firstLine="480"/>
        <w:jc w:val="both"/>
        <w:textAlignment w:val="auto"/>
        <w:rPr>
          <w:highlight w:val="none"/>
        </w:rPr>
      </w:pPr>
      <w:r>
        <w:rPr>
          <w:rFonts w:hint="eastAsia" w:ascii="宋体" w:hAnsi="宋体" w:cs="宋体"/>
          <w:b w:val="0"/>
          <w:bCs w:val="0"/>
          <w:color w:val="000000"/>
          <w:highlight w:val="none"/>
          <w:lang w:val="en-US" w:eastAsia="zh-CN"/>
        </w:rPr>
        <w:t>1.2样本类型：痰液、痰沉淀；</w:t>
      </w:r>
    </w:p>
    <w:p w14:paraId="6CCE10B3">
      <w:pPr>
        <w:keepNext w:val="0"/>
        <w:keepLines w:val="0"/>
        <w:pageBreakBefore w:val="0"/>
        <w:widowControl w:val="0"/>
        <w:kinsoku/>
        <w:overflowPunct/>
        <w:autoSpaceDE/>
        <w:bidi w:val="0"/>
        <w:snapToGrid/>
        <w:ind w:left="0" w:right="0" w:firstLine="480"/>
        <w:jc w:val="both"/>
        <w:textAlignment w:val="auto"/>
        <w:rPr>
          <w:highlight w:val="none"/>
        </w:rPr>
      </w:pPr>
      <w:r>
        <w:rPr>
          <w:rFonts w:hint="eastAsia" w:ascii="宋体" w:hAnsi="宋体" w:cs="宋体"/>
          <w:b w:val="0"/>
          <w:bCs w:val="0"/>
          <w:color w:val="000000"/>
          <w:highlight w:val="none"/>
          <w:lang w:val="en-US" w:eastAsia="zh-CN"/>
        </w:rPr>
        <w:t>1.3质量控制：应具备样本质控体系、试剂盒质控体系，用来监测试剂的有效性及反应过程的有效性；</w:t>
      </w:r>
    </w:p>
    <w:p w14:paraId="377B3FD0">
      <w:pPr>
        <w:keepNext w:val="0"/>
        <w:keepLines w:val="0"/>
        <w:pageBreakBefore w:val="0"/>
        <w:widowControl w:val="0"/>
        <w:kinsoku/>
        <w:overflowPunct/>
        <w:autoSpaceDE/>
        <w:bidi w:val="0"/>
        <w:snapToGrid/>
        <w:ind w:left="0" w:right="0" w:firstLine="480"/>
        <w:jc w:val="both"/>
        <w:textAlignment w:val="auto"/>
        <w:rPr>
          <w:highlight w:val="none"/>
        </w:rPr>
      </w:pPr>
      <w:r>
        <w:rPr>
          <w:rFonts w:hint="eastAsia" w:ascii="宋体" w:hAnsi="宋体" w:cs="宋体"/>
          <w:b w:val="0"/>
          <w:bCs w:val="0"/>
          <w:color w:val="000000"/>
          <w:highlight w:val="none"/>
          <w:lang w:val="en-US" w:eastAsia="zh-CN"/>
        </w:rPr>
        <w:t>1.4生物安全：闭管检测，减少实验室污染、避免假阳性的出现；</w:t>
      </w:r>
    </w:p>
    <w:p w14:paraId="5923EAFA">
      <w:pPr>
        <w:keepNext w:val="0"/>
        <w:keepLines w:val="0"/>
        <w:pageBreakBefore w:val="0"/>
        <w:widowControl w:val="0"/>
        <w:kinsoku/>
        <w:overflowPunct/>
        <w:autoSpaceDE/>
        <w:bidi w:val="0"/>
        <w:snapToGrid/>
        <w:ind w:left="0" w:right="0" w:firstLine="482"/>
        <w:jc w:val="both"/>
        <w:textAlignment w:val="auto"/>
        <w:rPr>
          <w:highlight w:val="none"/>
        </w:rPr>
      </w:pPr>
      <w:r>
        <w:rPr>
          <w:rFonts w:hint="eastAsia" w:ascii="宋体" w:hAnsi="宋体" w:cs="宋体"/>
          <w:b/>
          <w:bCs/>
          <w:color w:val="000000"/>
          <w:highlight w:val="none"/>
          <w:lang w:val="en-US" w:eastAsia="zh-CN"/>
        </w:rPr>
        <w:t>2.人类免疫缺陷病毒(HIV-1)核酸检测试剂盒</w:t>
      </w:r>
    </w:p>
    <w:p w14:paraId="305FAE8B">
      <w:pPr>
        <w:keepNext w:val="0"/>
        <w:keepLines w:val="0"/>
        <w:pageBreakBefore w:val="0"/>
        <w:widowControl w:val="0"/>
        <w:kinsoku/>
        <w:overflowPunct/>
        <w:autoSpaceDE/>
        <w:bidi w:val="0"/>
        <w:snapToGrid/>
        <w:ind w:left="0" w:right="0" w:firstLine="480"/>
        <w:jc w:val="both"/>
        <w:textAlignment w:val="auto"/>
        <w:rPr>
          <w:highlight w:val="none"/>
        </w:rPr>
      </w:pPr>
      <w:r>
        <w:rPr>
          <w:rFonts w:hint="eastAsia" w:ascii="宋体" w:hAnsi="宋体" w:cs="宋体"/>
          <w:b w:val="0"/>
          <w:bCs w:val="0"/>
          <w:color w:val="000000"/>
          <w:highlight w:val="none"/>
          <w:lang w:val="en-US" w:eastAsia="zh-CN"/>
        </w:rPr>
        <w:t>2.1检测方法学：实时荧光定量PCR法；</w:t>
      </w:r>
    </w:p>
    <w:p w14:paraId="680D90E4">
      <w:pPr>
        <w:keepNext w:val="0"/>
        <w:keepLines w:val="0"/>
        <w:pageBreakBefore w:val="0"/>
        <w:widowControl w:val="0"/>
        <w:kinsoku/>
        <w:overflowPunct/>
        <w:autoSpaceDE/>
        <w:bidi w:val="0"/>
        <w:snapToGrid/>
        <w:ind w:left="0" w:right="0" w:firstLine="480"/>
        <w:jc w:val="both"/>
        <w:textAlignment w:val="auto"/>
        <w:rPr>
          <w:highlight w:val="none"/>
        </w:rPr>
      </w:pPr>
      <w:r>
        <w:rPr>
          <w:rFonts w:hint="eastAsia" w:ascii="宋体" w:hAnsi="宋体" w:cs="宋体"/>
          <w:b w:val="0"/>
          <w:bCs w:val="0"/>
          <w:color w:val="000000"/>
          <w:highlight w:val="none"/>
          <w:lang w:val="en-US" w:eastAsia="zh-CN"/>
        </w:rPr>
        <w:t>2.2最低检测下限：20拷贝/mL (血浆)；</w:t>
      </w:r>
    </w:p>
    <w:p w14:paraId="3003B774">
      <w:pPr>
        <w:keepNext w:val="0"/>
        <w:keepLines w:val="0"/>
        <w:pageBreakBefore w:val="0"/>
        <w:widowControl w:val="0"/>
        <w:kinsoku/>
        <w:overflowPunct/>
        <w:autoSpaceDE/>
        <w:bidi w:val="0"/>
        <w:snapToGrid/>
        <w:ind w:left="0" w:right="0" w:firstLine="480"/>
        <w:jc w:val="both"/>
        <w:textAlignment w:val="auto"/>
        <w:rPr>
          <w:highlight w:val="none"/>
        </w:rPr>
      </w:pPr>
      <w:r>
        <w:rPr>
          <w:rFonts w:hint="eastAsia" w:ascii="宋体" w:hAnsi="宋体" w:cs="宋体"/>
          <w:b w:val="0"/>
          <w:bCs w:val="0"/>
          <w:color w:val="000000"/>
          <w:highlight w:val="none"/>
          <w:lang w:val="en-US" w:eastAsia="zh-CN"/>
        </w:rPr>
        <w:t>2.3定量检测及范围：40拷贝/mL，40-107拷贝/mL；</w:t>
      </w:r>
    </w:p>
    <w:p w14:paraId="281825C5">
      <w:pPr>
        <w:keepNext w:val="0"/>
        <w:keepLines w:val="0"/>
        <w:pageBreakBefore w:val="0"/>
        <w:widowControl w:val="0"/>
        <w:kinsoku/>
        <w:overflowPunct/>
        <w:autoSpaceDE/>
        <w:bidi w:val="0"/>
        <w:snapToGrid/>
        <w:ind w:left="0" w:right="0" w:firstLine="482"/>
        <w:jc w:val="both"/>
        <w:textAlignment w:val="auto"/>
        <w:rPr>
          <w:highlight w:val="none"/>
        </w:rPr>
      </w:pPr>
      <w:r>
        <w:rPr>
          <w:rFonts w:hint="eastAsia" w:ascii="宋体" w:hAnsi="宋体" w:cs="宋体"/>
          <w:b/>
          <w:bCs/>
          <w:color w:val="000000"/>
          <w:highlight w:val="none"/>
          <w:lang w:val="en-US" w:eastAsia="zh-CN"/>
        </w:rPr>
        <w:t>3.甲型/乙型流感及呼吸道合胞病毒核酸联合检测试剂盒</w:t>
      </w:r>
    </w:p>
    <w:p w14:paraId="50BCEEC6">
      <w:pPr>
        <w:keepNext w:val="0"/>
        <w:keepLines w:val="0"/>
        <w:pageBreakBefore w:val="0"/>
        <w:widowControl w:val="0"/>
        <w:kinsoku/>
        <w:overflowPunct/>
        <w:autoSpaceDE/>
        <w:bidi w:val="0"/>
        <w:snapToGrid/>
        <w:ind w:left="0" w:right="0" w:firstLine="480"/>
        <w:jc w:val="both"/>
        <w:textAlignment w:val="auto"/>
        <w:rPr>
          <w:highlight w:val="none"/>
        </w:rPr>
      </w:pPr>
      <w:r>
        <w:rPr>
          <w:rFonts w:hint="eastAsia" w:ascii="宋体" w:hAnsi="宋体" w:cs="宋体"/>
          <w:b w:val="0"/>
          <w:bCs w:val="0"/>
          <w:color w:val="000000"/>
          <w:highlight w:val="none"/>
          <w:lang w:val="en-US" w:eastAsia="zh-CN"/>
        </w:rPr>
        <w:t>3.1检测方法学：实时荧光定量PCR法；</w:t>
      </w:r>
    </w:p>
    <w:p w14:paraId="56983F78">
      <w:pPr>
        <w:keepNext w:val="0"/>
        <w:keepLines w:val="0"/>
        <w:pageBreakBefore w:val="0"/>
        <w:widowControl w:val="0"/>
        <w:kinsoku/>
        <w:overflowPunct/>
        <w:autoSpaceDE/>
        <w:bidi w:val="0"/>
        <w:snapToGrid/>
        <w:ind w:left="0" w:right="0" w:firstLine="480"/>
        <w:jc w:val="both"/>
        <w:textAlignment w:val="auto"/>
        <w:rPr>
          <w:highlight w:val="none"/>
        </w:rPr>
      </w:pPr>
      <w:r>
        <w:rPr>
          <w:rFonts w:hint="eastAsia" w:ascii="宋体" w:hAnsi="宋体" w:cs="宋体"/>
          <w:b w:val="0"/>
          <w:bCs w:val="0"/>
          <w:color w:val="000000"/>
          <w:highlight w:val="none"/>
          <w:lang w:val="en-US" w:eastAsia="zh-CN"/>
        </w:rPr>
        <w:t>3.2检测标本：人鼻咽拭子；</w:t>
      </w:r>
    </w:p>
    <w:p w14:paraId="49B14A19">
      <w:pPr>
        <w:keepNext w:val="0"/>
        <w:keepLines w:val="0"/>
        <w:pageBreakBefore w:val="0"/>
        <w:widowControl w:val="0"/>
        <w:kinsoku/>
        <w:overflowPunct/>
        <w:autoSpaceDE/>
        <w:bidi w:val="0"/>
        <w:snapToGrid/>
        <w:ind w:left="0" w:right="0" w:firstLine="480"/>
        <w:jc w:val="both"/>
        <w:textAlignment w:val="auto"/>
        <w:rPr>
          <w:highlight w:val="none"/>
        </w:rPr>
      </w:pPr>
      <w:r>
        <w:rPr>
          <w:rFonts w:hint="eastAsia" w:ascii="宋体" w:hAnsi="宋体" w:cs="宋体"/>
          <w:b w:val="0"/>
          <w:bCs w:val="0"/>
          <w:color w:val="000000"/>
          <w:highlight w:val="none"/>
          <w:lang w:val="en-US" w:eastAsia="zh-CN"/>
        </w:rPr>
        <w:t>3.3检测内容：包括甲型H1N1流感病毒、甲型H3N2流感病毒、乙型流感病毒、呼吸道合胞病毒A、呼吸道合胞病毒B；</w:t>
      </w:r>
    </w:p>
    <w:p w14:paraId="346DC0C5">
      <w:pPr>
        <w:keepNext w:val="0"/>
        <w:keepLines w:val="0"/>
        <w:pageBreakBefore w:val="0"/>
        <w:widowControl w:val="0"/>
        <w:kinsoku/>
        <w:overflowPunct/>
        <w:autoSpaceDE/>
        <w:bidi w:val="0"/>
        <w:snapToGrid/>
        <w:ind w:left="0" w:right="0" w:firstLine="480"/>
        <w:jc w:val="both"/>
        <w:textAlignment w:val="auto"/>
        <w:rPr>
          <w:highlight w:val="none"/>
        </w:rPr>
      </w:pPr>
      <w:r>
        <w:rPr>
          <w:rFonts w:hint="eastAsia" w:ascii="宋体" w:hAnsi="宋体" w:cs="宋体"/>
          <w:b w:val="0"/>
          <w:bCs w:val="0"/>
          <w:color w:val="000000"/>
          <w:highlight w:val="none"/>
          <w:lang w:val="en-US" w:eastAsia="zh-CN"/>
        </w:rPr>
        <w:t>3.4生物安全：闭管检测，减少实验室污染、避免假阳性的出现；</w:t>
      </w:r>
    </w:p>
    <w:p w14:paraId="1756714B">
      <w:pPr>
        <w:keepNext w:val="0"/>
        <w:keepLines w:val="0"/>
        <w:pageBreakBefore w:val="0"/>
        <w:widowControl w:val="0"/>
        <w:kinsoku/>
        <w:overflowPunct/>
        <w:autoSpaceDE/>
        <w:bidi w:val="0"/>
        <w:snapToGrid/>
        <w:ind w:left="0" w:right="0" w:firstLine="482"/>
        <w:jc w:val="both"/>
        <w:textAlignment w:val="auto"/>
        <w:rPr>
          <w:highlight w:val="none"/>
        </w:rPr>
      </w:pPr>
      <w:r>
        <w:rPr>
          <w:rFonts w:hint="eastAsia" w:ascii="宋体" w:hAnsi="宋体" w:cs="宋体"/>
          <w:b/>
          <w:bCs/>
          <w:color w:val="000000"/>
          <w:highlight w:val="none"/>
          <w:lang w:val="en-US" w:eastAsia="zh-CN"/>
        </w:rPr>
        <w:t>4.碳青霉烯耐药基因检测试剂盒</w:t>
      </w:r>
    </w:p>
    <w:p w14:paraId="7BF84CFB">
      <w:pPr>
        <w:keepNext w:val="0"/>
        <w:keepLines w:val="0"/>
        <w:pageBreakBefore w:val="0"/>
        <w:widowControl w:val="0"/>
        <w:kinsoku/>
        <w:overflowPunct/>
        <w:autoSpaceDE/>
        <w:bidi w:val="0"/>
        <w:snapToGrid/>
        <w:ind w:left="0" w:right="0" w:firstLine="480"/>
        <w:jc w:val="both"/>
        <w:textAlignment w:val="auto"/>
        <w:rPr>
          <w:highlight w:val="none"/>
        </w:rPr>
      </w:pPr>
      <w:r>
        <w:rPr>
          <w:rFonts w:hint="eastAsia" w:ascii="宋体" w:hAnsi="宋体" w:cs="宋体"/>
          <w:b w:val="0"/>
          <w:bCs w:val="0"/>
          <w:color w:val="000000"/>
          <w:highlight w:val="none"/>
          <w:lang w:val="en-US" w:eastAsia="zh-CN"/>
        </w:rPr>
        <w:t>4.1检测方法学：实时荧光定量PCR法；</w:t>
      </w:r>
    </w:p>
    <w:p w14:paraId="77A76B71">
      <w:pPr>
        <w:keepNext w:val="0"/>
        <w:keepLines w:val="0"/>
        <w:pageBreakBefore w:val="0"/>
        <w:widowControl w:val="0"/>
        <w:kinsoku/>
        <w:overflowPunct/>
        <w:autoSpaceDE/>
        <w:bidi w:val="0"/>
        <w:snapToGrid/>
        <w:ind w:left="0" w:right="0" w:firstLine="480"/>
        <w:jc w:val="both"/>
        <w:textAlignment w:val="auto"/>
        <w:rPr>
          <w:highlight w:val="none"/>
        </w:rPr>
      </w:pPr>
      <w:r>
        <w:rPr>
          <w:rFonts w:hint="eastAsia" w:ascii="宋体" w:hAnsi="宋体" w:cs="宋体"/>
          <w:b w:val="0"/>
          <w:bCs w:val="0"/>
          <w:color w:val="000000"/>
          <w:highlight w:val="none"/>
          <w:lang w:val="en-US" w:eastAsia="zh-CN"/>
        </w:rPr>
        <w:t>4.2样本类型：直肠拭子、纯菌落；</w:t>
      </w:r>
    </w:p>
    <w:p w14:paraId="31A57C64">
      <w:pPr>
        <w:keepNext w:val="0"/>
        <w:keepLines w:val="0"/>
        <w:pageBreakBefore w:val="0"/>
        <w:widowControl w:val="0"/>
        <w:kinsoku/>
        <w:overflowPunct/>
        <w:autoSpaceDE/>
        <w:bidi w:val="0"/>
        <w:snapToGrid/>
        <w:ind w:left="0" w:right="0" w:firstLine="480"/>
        <w:jc w:val="both"/>
        <w:textAlignment w:val="auto"/>
        <w:rPr>
          <w:highlight w:val="none"/>
        </w:rPr>
      </w:pPr>
      <w:r>
        <w:rPr>
          <w:rFonts w:hint="eastAsia" w:ascii="宋体" w:hAnsi="宋体" w:cs="宋体"/>
          <w:b w:val="0"/>
          <w:bCs w:val="0"/>
          <w:color w:val="000000"/>
          <w:highlight w:val="none"/>
          <w:lang w:val="en-US" w:eastAsia="zh-CN"/>
        </w:rPr>
        <w:t xml:space="preserve">4.3检测基因型：KPC、NDM、VIM、OXA‐48 和IMP；  </w:t>
      </w:r>
    </w:p>
    <w:p w14:paraId="08E9E482">
      <w:pPr>
        <w:keepNext w:val="0"/>
        <w:keepLines w:val="0"/>
        <w:pageBreakBefore w:val="0"/>
        <w:widowControl w:val="0"/>
        <w:kinsoku/>
        <w:overflowPunct/>
        <w:autoSpaceDE/>
        <w:bidi w:val="0"/>
        <w:snapToGrid/>
        <w:ind w:left="0" w:right="0" w:firstLine="480"/>
        <w:jc w:val="both"/>
        <w:textAlignment w:val="auto"/>
        <w:rPr>
          <w:highlight w:val="none"/>
        </w:rPr>
      </w:pPr>
      <w:r>
        <w:rPr>
          <w:rFonts w:hint="eastAsia" w:ascii="宋体" w:hAnsi="宋体" w:cs="宋体"/>
          <w:b w:val="0"/>
          <w:bCs w:val="0"/>
          <w:color w:val="000000"/>
          <w:highlight w:val="none"/>
          <w:lang w:val="en-US" w:eastAsia="zh-CN"/>
        </w:rPr>
        <w:t>5.沙眼衣原体(CT)/淋球菌(NG)核酸检测试剂盒；</w:t>
      </w:r>
    </w:p>
    <w:p w14:paraId="32869739">
      <w:pPr>
        <w:keepNext w:val="0"/>
        <w:keepLines w:val="0"/>
        <w:pageBreakBefore w:val="0"/>
        <w:widowControl w:val="0"/>
        <w:kinsoku/>
        <w:overflowPunct/>
        <w:autoSpaceDE/>
        <w:bidi w:val="0"/>
        <w:snapToGrid/>
        <w:ind w:left="0" w:right="0" w:firstLine="480"/>
        <w:jc w:val="both"/>
        <w:textAlignment w:val="auto"/>
        <w:rPr>
          <w:highlight w:val="none"/>
        </w:rPr>
      </w:pPr>
      <w:r>
        <w:rPr>
          <w:rFonts w:hint="eastAsia" w:ascii="宋体" w:hAnsi="宋体" w:cs="宋体"/>
          <w:b w:val="0"/>
          <w:bCs w:val="0"/>
          <w:color w:val="000000"/>
          <w:highlight w:val="none"/>
          <w:lang w:val="en-US" w:eastAsia="zh-CN"/>
        </w:rPr>
        <w:t>5.1检测方法学：实时荧光定量PCR法；</w:t>
      </w:r>
    </w:p>
    <w:p w14:paraId="1E6325D3">
      <w:pPr>
        <w:keepNext w:val="0"/>
        <w:keepLines w:val="0"/>
        <w:pageBreakBefore w:val="0"/>
        <w:widowControl w:val="0"/>
        <w:kinsoku/>
        <w:overflowPunct/>
        <w:autoSpaceDE/>
        <w:bidi w:val="0"/>
        <w:snapToGrid/>
        <w:ind w:left="0" w:right="0" w:firstLine="480"/>
        <w:jc w:val="both"/>
        <w:textAlignment w:val="auto"/>
        <w:rPr>
          <w:highlight w:val="none"/>
        </w:rPr>
      </w:pPr>
      <w:r>
        <w:rPr>
          <w:rFonts w:hint="eastAsia" w:ascii="宋体" w:hAnsi="宋体" w:cs="宋体"/>
          <w:b w:val="0"/>
          <w:bCs w:val="0"/>
          <w:color w:val="000000"/>
          <w:highlight w:val="none"/>
          <w:lang w:val="en-US" w:eastAsia="zh-CN"/>
        </w:rPr>
        <w:t>5.2操作步骤要求：样本直接上机，无需前处理，直接报告可读结果</w:t>
      </w:r>
      <w:r>
        <w:rPr>
          <w:rFonts w:hint="eastAsia"/>
          <w:highlight w:val="none"/>
          <w:lang w:eastAsia="zh-CN"/>
        </w:rPr>
        <w:t>；</w:t>
      </w:r>
    </w:p>
    <w:p w14:paraId="003DE986">
      <w:pPr>
        <w:keepNext w:val="0"/>
        <w:keepLines w:val="0"/>
        <w:pageBreakBefore w:val="0"/>
        <w:widowControl w:val="0"/>
        <w:kinsoku/>
        <w:overflowPunct/>
        <w:autoSpaceDE/>
        <w:bidi w:val="0"/>
        <w:snapToGrid/>
        <w:ind w:left="0" w:right="0" w:firstLine="480"/>
        <w:jc w:val="both"/>
        <w:textAlignment w:val="auto"/>
        <w:rPr>
          <w:highlight w:val="none"/>
        </w:rPr>
      </w:pPr>
      <w:r>
        <w:rPr>
          <w:rFonts w:hint="eastAsia" w:ascii="宋体" w:hAnsi="宋体" w:cs="宋体"/>
          <w:b w:val="0"/>
          <w:bCs w:val="0"/>
          <w:color w:val="000000"/>
          <w:highlight w:val="none"/>
          <w:lang w:val="en-US" w:eastAsia="zh-CN"/>
        </w:rPr>
        <w:t>5.3样本类型：尿液、宫颈拭子样本；</w:t>
      </w:r>
    </w:p>
    <w:p w14:paraId="5FF54E8E">
      <w:pPr>
        <w:keepNext w:val="0"/>
        <w:keepLines w:val="0"/>
        <w:pageBreakBefore w:val="0"/>
        <w:widowControl w:val="0"/>
        <w:kinsoku/>
        <w:overflowPunct/>
        <w:autoSpaceDE/>
        <w:bidi w:val="0"/>
        <w:snapToGrid/>
        <w:ind w:left="0" w:right="0" w:firstLine="482"/>
        <w:jc w:val="both"/>
        <w:textAlignment w:val="auto"/>
        <w:rPr>
          <w:rFonts w:hint="eastAsia" w:ascii="宋体" w:hAnsi="宋体" w:cs="宋体"/>
          <w:b w:val="0"/>
          <w:bCs w:val="0"/>
          <w:color w:val="000000"/>
          <w:highlight w:val="none"/>
          <w:lang w:val="en-US" w:eastAsia="zh-CN"/>
        </w:rPr>
      </w:pPr>
      <w:r>
        <w:rPr>
          <w:rFonts w:hint="eastAsia" w:ascii="宋体" w:hAnsi="宋体" w:cs="宋体"/>
          <w:b/>
          <w:bCs/>
          <w:color w:val="000000"/>
          <w:highlight w:val="none"/>
          <w:lang w:val="en-US" w:eastAsia="zh-CN"/>
        </w:rPr>
        <w:t>6.艰难梭菌核酸检测试剂</w:t>
      </w:r>
    </w:p>
    <w:p w14:paraId="34326C67">
      <w:pPr>
        <w:keepNext w:val="0"/>
        <w:keepLines w:val="0"/>
        <w:pageBreakBefore w:val="0"/>
        <w:widowControl w:val="0"/>
        <w:kinsoku/>
        <w:overflowPunct/>
        <w:autoSpaceDE/>
        <w:bidi w:val="0"/>
        <w:snapToGrid/>
        <w:ind w:left="0" w:right="0" w:firstLine="480"/>
        <w:jc w:val="both"/>
        <w:textAlignment w:val="auto"/>
        <w:rPr>
          <w:highlight w:val="none"/>
        </w:rPr>
      </w:pPr>
      <w:r>
        <w:rPr>
          <w:rFonts w:hint="eastAsia" w:ascii="宋体" w:hAnsi="宋体" w:cs="宋体"/>
          <w:b w:val="0"/>
          <w:bCs w:val="0"/>
          <w:color w:val="000000"/>
          <w:highlight w:val="none"/>
          <w:lang w:val="en-US" w:eastAsia="zh-CN"/>
        </w:rPr>
        <w:t>6.1.检测方法学：实时荧光定量PCR法；</w:t>
      </w:r>
    </w:p>
    <w:p w14:paraId="283F17EB">
      <w:pPr>
        <w:keepNext w:val="0"/>
        <w:keepLines w:val="0"/>
        <w:pageBreakBefore w:val="0"/>
        <w:widowControl w:val="0"/>
        <w:kinsoku/>
        <w:overflowPunct/>
        <w:autoSpaceDE/>
        <w:bidi w:val="0"/>
        <w:snapToGrid/>
        <w:ind w:left="0" w:right="0" w:firstLine="480"/>
        <w:jc w:val="both"/>
        <w:textAlignment w:val="auto"/>
        <w:rPr>
          <w:highlight w:val="none"/>
        </w:rPr>
      </w:pPr>
      <w:r>
        <w:rPr>
          <w:rFonts w:hint="eastAsia" w:ascii="宋体" w:hAnsi="宋体" w:cs="宋体"/>
          <w:b w:val="0"/>
          <w:bCs w:val="0"/>
          <w:color w:val="000000"/>
          <w:highlight w:val="none"/>
          <w:lang w:val="en-US" w:eastAsia="zh-CN"/>
        </w:rPr>
        <w:t>6.2.检测限：1657 CFU/拭子；</w:t>
      </w:r>
    </w:p>
    <w:p w14:paraId="0F6E3B85">
      <w:pPr>
        <w:keepNext w:val="0"/>
        <w:keepLines w:val="0"/>
        <w:pageBreakBefore w:val="0"/>
        <w:widowControl w:val="0"/>
        <w:kinsoku/>
        <w:overflowPunct/>
        <w:autoSpaceDE/>
        <w:bidi w:val="0"/>
        <w:snapToGrid/>
        <w:ind w:left="0" w:right="0" w:firstLine="480"/>
        <w:jc w:val="both"/>
        <w:textAlignment w:val="auto"/>
        <w:rPr>
          <w:highlight w:val="none"/>
        </w:rPr>
      </w:pPr>
      <w:r>
        <w:rPr>
          <w:rFonts w:hint="eastAsia" w:ascii="宋体" w:hAnsi="宋体" w:cs="宋体"/>
          <w:b w:val="0"/>
          <w:bCs w:val="0"/>
          <w:color w:val="000000"/>
          <w:highlight w:val="none"/>
          <w:lang w:val="en-US" w:eastAsia="zh-CN"/>
        </w:rPr>
        <w:t>6.3.检测基因：毒素B（tcdB）、二元毒素（cdt）、tcdC；</w:t>
      </w:r>
    </w:p>
    <w:p w14:paraId="08718DAF">
      <w:pPr>
        <w:keepNext w:val="0"/>
        <w:keepLines w:val="0"/>
        <w:pageBreakBefore w:val="0"/>
        <w:widowControl w:val="0"/>
        <w:kinsoku/>
        <w:overflowPunct/>
        <w:autoSpaceDE/>
        <w:bidi w:val="0"/>
        <w:snapToGrid/>
        <w:ind w:left="0" w:right="0" w:firstLine="480"/>
        <w:jc w:val="both"/>
        <w:textAlignment w:val="auto"/>
        <w:rPr>
          <w:highlight w:val="none"/>
        </w:rPr>
      </w:pPr>
      <w:r>
        <w:rPr>
          <w:rFonts w:hint="eastAsia" w:ascii="宋体" w:hAnsi="宋体" w:cs="宋体"/>
          <w:b w:val="0"/>
          <w:bCs w:val="0"/>
          <w:color w:val="000000"/>
          <w:highlight w:val="none"/>
          <w:lang w:val="en-US" w:eastAsia="zh-CN"/>
        </w:rPr>
        <w:t>6.4标本类型：粪便；</w:t>
      </w:r>
    </w:p>
    <w:p w14:paraId="198079A6">
      <w:pPr>
        <w:keepNext w:val="0"/>
        <w:keepLines w:val="0"/>
        <w:pageBreakBefore w:val="0"/>
        <w:widowControl w:val="0"/>
        <w:kinsoku/>
        <w:overflowPunct/>
        <w:autoSpaceDE/>
        <w:bidi w:val="0"/>
        <w:snapToGrid/>
        <w:ind w:left="0" w:right="0" w:firstLine="482"/>
        <w:jc w:val="both"/>
        <w:textAlignment w:val="auto"/>
        <w:rPr>
          <w:highlight w:val="none"/>
        </w:rPr>
      </w:pPr>
      <w:r>
        <w:rPr>
          <w:rFonts w:hint="eastAsia" w:ascii="宋体" w:hAnsi="宋体" w:cs="宋体"/>
          <w:b/>
          <w:bCs/>
          <w:color w:val="000000"/>
          <w:highlight w:val="none"/>
          <w:lang w:val="en-US" w:eastAsia="zh-CN"/>
        </w:rPr>
        <w:t>7.金黄色葡萄球菌和耐甲氧西林金黄色葡萄球菌核酸(DNA)检测试剂盒</w:t>
      </w:r>
    </w:p>
    <w:p w14:paraId="51DF691D">
      <w:pPr>
        <w:keepNext w:val="0"/>
        <w:keepLines w:val="0"/>
        <w:pageBreakBefore w:val="0"/>
        <w:widowControl w:val="0"/>
        <w:kinsoku/>
        <w:overflowPunct/>
        <w:autoSpaceDE/>
        <w:bidi w:val="0"/>
        <w:snapToGrid/>
        <w:ind w:left="0" w:right="0" w:firstLine="480"/>
        <w:jc w:val="both"/>
        <w:textAlignment w:val="auto"/>
        <w:rPr>
          <w:highlight w:val="none"/>
        </w:rPr>
      </w:pPr>
      <w:r>
        <w:rPr>
          <w:rFonts w:hint="eastAsia" w:ascii="宋体" w:hAnsi="宋体" w:cs="宋体"/>
          <w:b w:val="0"/>
          <w:bCs w:val="0"/>
          <w:color w:val="000000"/>
          <w:highlight w:val="none"/>
          <w:lang w:val="en-US" w:eastAsia="zh-CN"/>
        </w:rPr>
        <w:t>7.1★检测方法学：实时荧光定量PCR法；</w:t>
      </w:r>
    </w:p>
    <w:p w14:paraId="15C7AB84">
      <w:pPr>
        <w:keepNext w:val="0"/>
        <w:keepLines w:val="0"/>
        <w:pageBreakBefore w:val="0"/>
        <w:widowControl w:val="0"/>
        <w:kinsoku/>
        <w:overflowPunct/>
        <w:autoSpaceDE/>
        <w:bidi w:val="0"/>
        <w:snapToGrid/>
        <w:ind w:left="0" w:right="0" w:firstLine="480"/>
        <w:jc w:val="both"/>
        <w:textAlignment w:val="auto"/>
        <w:rPr>
          <w:highlight w:val="none"/>
        </w:rPr>
      </w:pPr>
      <w:r>
        <w:rPr>
          <w:rFonts w:hint="eastAsia" w:ascii="宋体" w:hAnsi="宋体" w:cs="宋体"/>
          <w:b w:val="0"/>
          <w:bCs w:val="0"/>
          <w:color w:val="000000"/>
          <w:highlight w:val="none"/>
          <w:lang w:val="en-US" w:eastAsia="zh-CN"/>
        </w:rPr>
        <w:t>7.2检测限：93.7CFU/拭子(95%置信区间75.5CFU～137.8CFU)；</w:t>
      </w:r>
    </w:p>
    <w:p w14:paraId="4B258ABA">
      <w:pPr>
        <w:keepNext w:val="0"/>
        <w:keepLines w:val="0"/>
        <w:pageBreakBefore w:val="0"/>
        <w:widowControl w:val="0"/>
        <w:kinsoku/>
        <w:overflowPunct/>
        <w:autoSpaceDE/>
        <w:bidi w:val="0"/>
        <w:snapToGrid/>
        <w:ind w:left="0" w:right="0" w:firstLine="480"/>
        <w:jc w:val="both"/>
        <w:textAlignment w:val="auto"/>
        <w:rPr>
          <w:highlight w:val="none"/>
        </w:rPr>
      </w:pPr>
      <w:r>
        <w:rPr>
          <w:rFonts w:hint="eastAsia" w:ascii="宋体" w:hAnsi="宋体" w:cs="宋体"/>
          <w:b w:val="0"/>
          <w:bCs w:val="0"/>
          <w:color w:val="000000"/>
          <w:highlight w:val="none"/>
          <w:lang w:val="en-US" w:eastAsia="zh-CN"/>
        </w:rPr>
        <w:t>7.3标本类型：鼻咽拭子；</w:t>
      </w:r>
    </w:p>
    <w:p w14:paraId="5F4A14F4">
      <w:pPr>
        <w:keepNext w:val="0"/>
        <w:keepLines w:val="0"/>
        <w:pageBreakBefore w:val="0"/>
        <w:widowControl w:val="0"/>
        <w:kinsoku/>
        <w:overflowPunct/>
        <w:autoSpaceDE/>
        <w:bidi w:val="0"/>
        <w:snapToGrid/>
        <w:ind w:left="0" w:right="0" w:firstLine="482"/>
        <w:jc w:val="both"/>
        <w:textAlignment w:val="auto"/>
        <w:rPr>
          <w:highlight w:val="none"/>
        </w:rPr>
      </w:pPr>
      <w:r>
        <w:rPr>
          <w:rFonts w:hint="eastAsia" w:ascii="宋体" w:hAnsi="宋体" w:cs="宋体"/>
          <w:b/>
          <w:bCs/>
          <w:color w:val="000000"/>
          <w:highlight w:val="none"/>
          <w:lang w:val="en-US" w:eastAsia="zh-CN"/>
        </w:rPr>
        <w:t>8.丙型肝炎病毒（HCV）核酸检测试剂盒</w:t>
      </w:r>
    </w:p>
    <w:p w14:paraId="62E42E81">
      <w:pPr>
        <w:keepNext w:val="0"/>
        <w:keepLines w:val="0"/>
        <w:pageBreakBefore w:val="0"/>
        <w:widowControl w:val="0"/>
        <w:kinsoku/>
        <w:overflowPunct/>
        <w:autoSpaceDE/>
        <w:bidi w:val="0"/>
        <w:snapToGrid/>
        <w:ind w:left="0" w:right="0" w:firstLine="480"/>
        <w:jc w:val="both"/>
        <w:textAlignment w:val="auto"/>
        <w:rPr>
          <w:highlight w:val="none"/>
        </w:rPr>
      </w:pPr>
      <w:r>
        <w:rPr>
          <w:rFonts w:hint="eastAsia" w:ascii="宋体" w:hAnsi="宋体" w:cs="宋体"/>
          <w:b w:val="0"/>
          <w:bCs w:val="0"/>
          <w:color w:val="000000"/>
          <w:highlight w:val="none"/>
          <w:lang w:val="en-US" w:eastAsia="zh-CN"/>
        </w:rPr>
        <w:t>8.1 ★检测方法学：实时荧光定量PCR法；</w:t>
      </w:r>
    </w:p>
    <w:p w14:paraId="785F336F">
      <w:pPr>
        <w:keepNext w:val="0"/>
        <w:keepLines w:val="0"/>
        <w:pageBreakBefore w:val="0"/>
        <w:widowControl w:val="0"/>
        <w:kinsoku/>
        <w:overflowPunct/>
        <w:autoSpaceDE/>
        <w:bidi w:val="0"/>
        <w:snapToGrid/>
        <w:ind w:left="0" w:right="0" w:firstLine="480"/>
        <w:jc w:val="both"/>
        <w:textAlignment w:val="auto"/>
        <w:rPr>
          <w:highlight w:val="none"/>
        </w:rPr>
      </w:pPr>
      <w:r>
        <w:rPr>
          <w:rFonts w:hint="eastAsia" w:ascii="宋体" w:hAnsi="宋体" w:cs="宋体"/>
          <w:b w:val="0"/>
          <w:bCs w:val="0"/>
          <w:color w:val="000000"/>
          <w:highlight w:val="none"/>
          <w:lang w:val="en-US" w:eastAsia="zh-CN"/>
        </w:rPr>
        <w:t>8.2.检测标本：血浆(EDTA) 或血清；</w:t>
      </w:r>
    </w:p>
    <w:p w14:paraId="093FAEC8">
      <w:pPr>
        <w:keepNext w:val="0"/>
        <w:keepLines w:val="0"/>
        <w:pageBreakBefore w:val="0"/>
        <w:widowControl w:val="0"/>
        <w:kinsoku/>
        <w:overflowPunct/>
        <w:autoSpaceDE/>
        <w:bidi w:val="0"/>
        <w:snapToGrid/>
        <w:ind w:left="0" w:right="0" w:firstLine="480"/>
        <w:jc w:val="both"/>
        <w:textAlignment w:val="auto"/>
        <w:rPr>
          <w:highlight w:val="none"/>
        </w:rPr>
      </w:pPr>
      <w:r>
        <w:rPr>
          <w:rFonts w:hint="eastAsia" w:ascii="宋体" w:hAnsi="宋体" w:cs="宋体"/>
          <w:b w:val="0"/>
          <w:bCs w:val="0"/>
          <w:color w:val="000000"/>
          <w:highlight w:val="none"/>
          <w:lang w:val="en-US" w:eastAsia="zh-CN"/>
        </w:rPr>
        <w:t>8.3.最低检测下限：4.0IU/mL(血浆)，6.1IU/mL(血清)；</w:t>
      </w:r>
    </w:p>
    <w:p w14:paraId="6FE5D8A0">
      <w:pPr>
        <w:keepNext w:val="0"/>
        <w:keepLines w:val="0"/>
        <w:pageBreakBefore w:val="0"/>
        <w:widowControl w:val="0"/>
        <w:kinsoku/>
        <w:overflowPunct/>
        <w:autoSpaceDE/>
        <w:bidi w:val="0"/>
        <w:snapToGrid/>
        <w:ind w:left="0" w:right="0" w:firstLine="480"/>
        <w:jc w:val="both"/>
        <w:textAlignment w:val="auto"/>
        <w:rPr>
          <w:highlight w:val="none"/>
        </w:rPr>
      </w:pPr>
      <w:r>
        <w:rPr>
          <w:rFonts w:hint="eastAsia" w:ascii="宋体" w:hAnsi="宋体" w:cs="宋体"/>
          <w:b w:val="0"/>
          <w:bCs w:val="0"/>
          <w:color w:val="000000"/>
          <w:highlight w:val="none"/>
          <w:lang w:val="en-US" w:eastAsia="zh-CN"/>
        </w:rPr>
        <w:t>8.4.</w:t>
      </w:r>
      <w:r>
        <w:rPr>
          <w:rFonts w:ascii="宋体" w:hAnsi="宋体" w:eastAsia="宋体" w:cs="宋体"/>
          <w:color w:val="auto"/>
          <w:kern w:val="2"/>
          <w:sz w:val="24"/>
          <w:szCs w:val="24"/>
          <w:highlight w:val="none"/>
          <w:lang w:val="en-US" w:eastAsia="zh-CN" w:bidi="ar-SA"/>
        </w:rPr>
        <w:t>定量下限 10 IU/mL，线性范围 10～10⁸ IU/mL。</w:t>
      </w:r>
    </w:p>
    <w:p w14:paraId="16B8DB28">
      <w:pPr>
        <w:keepNext w:val="0"/>
        <w:keepLines w:val="0"/>
        <w:pageBreakBefore w:val="0"/>
        <w:widowControl w:val="0"/>
        <w:kinsoku/>
        <w:overflowPunct/>
        <w:autoSpaceDE/>
        <w:bidi w:val="0"/>
        <w:snapToGrid/>
        <w:ind w:left="0" w:right="0" w:firstLine="482"/>
        <w:jc w:val="both"/>
        <w:textAlignment w:val="auto"/>
        <w:rPr>
          <w:highlight w:val="none"/>
        </w:rPr>
      </w:pPr>
      <w:r>
        <w:rPr>
          <w:rFonts w:hint="eastAsia" w:ascii="宋体" w:hAnsi="宋体" w:cs="宋体"/>
          <w:b/>
          <w:bCs/>
          <w:color w:val="000000"/>
          <w:highlight w:val="none"/>
          <w:lang w:val="en-US" w:eastAsia="zh-CN"/>
        </w:rPr>
        <w:t>以上材料均需满足以下要求：</w:t>
      </w:r>
    </w:p>
    <w:p w14:paraId="24B2A21D">
      <w:pPr>
        <w:keepNext w:val="0"/>
        <w:keepLines w:val="0"/>
        <w:pageBreakBefore w:val="0"/>
        <w:widowControl w:val="0"/>
        <w:kinsoku/>
        <w:overflowPunct/>
        <w:autoSpaceDE/>
        <w:bidi w:val="0"/>
        <w:snapToGrid/>
        <w:ind w:left="0" w:right="0" w:firstLine="480"/>
        <w:jc w:val="both"/>
        <w:textAlignment w:val="auto"/>
        <w:rPr>
          <w:highlight w:val="none"/>
        </w:rPr>
      </w:pPr>
      <w:r>
        <w:rPr>
          <w:rFonts w:hint="eastAsia" w:ascii="宋体" w:hAnsi="宋体" w:cs="宋体"/>
          <w:b w:val="0"/>
          <w:bCs w:val="0"/>
          <w:color w:val="000000"/>
          <w:highlight w:val="none"/>
          <w:lang w:val="en-US" w:eastAsia="zh-CN"/>
        </w:rPr>
        <w:t>1.需配套医院现有赛沛GX-IV R2全自动医用PCR系统使用，如不匹配，设备请一并报价；</w:t>
      </w:r>
    </w:p>
    <w:p w14:paraId="5AC8C386">
      <w:pPr>
        <w:keepNext w:val="0"/>
        <w:keepLines w:val="0"/>
        <w:pageBreakBefore w:val="0"/>
        <w:widowControl w:val="0"/>
        <w:kinsoku/>
        <w:overflowPunct/>
        <w:autoSpaceDE/>
        <w:bidi w:val="0"/>
        <w:snapToGrid/>
        <w:ind w:left="0" w:right="0" w:firstLine="480"/>
        <w:jc w:val="both"/>
        <w:textAlignment w:val="auto"/>
        <w:rPr>
          <w:highlight w:val="none"/>
        </w:rPr>
      </w:pPr>
      <w:r>
        <w:rPr>
          <w:rFonts w:hint="eastAsia" w:ascii="宋体" w:hAnsi="宋体" w:cs="宋体"/>
          <w:b w:val="0"/>
          <w:bCs w:val="0"/>
          <w:color w:val="000000"/>
          <w:highlight w:val="none"/>
          <w:lang w:val="en-US" w:eastAsia="zh-CN"/>
        </w:rPr>
        <w:t>2.需有国药监局颁发的试剂三类医疗器械注册证；</w:t>
      </w:r>
    </w:p>
    <w:p w14:paraId="5BF6B5E8">
      <w:pPr>
        <w:keepNext w:val="0"/>
        <w:keepLines w:val="0"/>
        <w:pageBreakBefore w:val="0"/>
        <w:widowControl w:val="0"/>
        <w:kinsoku/>
        <w:overflowPunct/>
        <w:autoSpaceDE/>
        <w:bidi w:val="0"/>
        <w:snapToGrid/>
        <w:ind w:left="0" w:right="0" w:firstLine="480"/>
        <w:jc w:val="both"/>
        <w:textAlignment w:val="auto"/>
        <w:rPr>
          <w:highlight w:val="none"/>
        </w:rPr>
      </w:pPr>
      <w:r>
        <w:rPr>
          <w:rFonts w:hint="eastAsia" w:ascii="宋体" w:hAnsi="宋体" w:cs="宋体"/>
          <w:b w:val="0"/>
          <w:bCs w:val="0"/>
          <w:color w:val="000000"/>
          <w:highlight w:val="none"/>
          <w:lang w:val="en-US" w:eastAsia="zh-CN"/>
        </w:rPr>
        <w:t>3.请报齐各规格，供应期3年。</w:t>
      </w:r>
    </w:p>
    <w:p w14:paraId="7F9DF3DB"/>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57B5142"/>
    <w:rsid w:val="4EA315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pPr>
    <w:rPr>
      <w:rFonts w:ascii="Times New Roman" w:hAnsi="Times New Roman" w:eastAsia="宋体" w:cs="Times New Roman"/>
      <w:kern w:val="2"/>
      <w:sz w:val="24"/>
      <w:szCs w:val="24"/>
      <w:lang w:val="en-US" w:eastAsia="zh-CN" w:bidi="ar-SA"/>
    </w:rPr>
  </w:style>
  <w:style w:type="paragraph" w:styleId="2">
    <w:name w:val="heading 1"/>
    <w:basedOn w:val="1"/>
    <w:next w:val="1"/>
    <w:qFormat/>
    <w:uiPriority w:val="9"/>
    <w:pPr>
      <w:keepNext/>
      <w:tabs>
        <w:tab w:val="left" w:pos="420"/>
      </w:tabs>
      <w:spacing w:line="500" w:lineRule="exact"/>
      <w:ind w:left="420" w:hanging="420"/>
      <w:outlineLvl w:val="0"/>
    </w:pPr>
    <w:rPr>
      <w:b/>
      <w:sz w:val="36"/>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1464</Words>
  <Characters>1493</Characters>
  <Lines>0</Lines>
  <Paragraphs>0</Paragraphs>
  <TotalTime>0</TotalTime>
  <ScaleCrop>false</ScaleCrop>
  <LinksUpToDate>false</LinksUpToDate>
  <CharactersWithSpaces>1502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2026-09-07T08:05:00Z</dcterms:created>
  <dc:creator>Administrator</dc:creator>
  <cp:lastModifiedBy>Administrator</cp:lastModifiedBy>
  <dcterms:modified xsi:type="dcterms:W3CDTF">2026-09-28T08:58:48Z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eyJoZGlkIjoiNTZlOTZhYjExNjQ0NTdjZDExZjk3MjdmYmY3YTMwYzQiLCJ1c2VySWQiOiIzOTczODgwOTIifQ==</vt:lpwstr>
  </property>
  <property fmtid="{D5CDD505-2E9C-101B-9397-08002B2CF9AE}" pid="4" name="ICV">
    <vt:lpwstr>0CFC2FD773D049188C3C7C93F321063D_12</vt:lpwstr>
  </property>
</Properties>
</file>