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8AE83">
      <w:pPr>
        <w:pStyle w:val="2"/>
        <w:spacing w:line="360" w:lineRule="auto"/>
        <w:ind w:left="0" w:firstLine="0"/>
        <w:jc w:val="center"/>
        <w:rPr>
          <w:rFonts w:ascii="宋体" w:hAnsi="宋体"/>
          <w:szCs w:val="36"/>
          <w:highlight w:val="none"/>
        </w:rPr>
      </w:pPr>
      <w:bookmarkStart w:id="0" w:name="_GoBack"/>
      <w:r>
        <w:rPr>
          <w:rFonts w:hint="eastAsia" w:ascii="宋体" w:hAnsi="宋体"/>
          <w:szCs w:val="36"/>
          <w:highlight w:val="none"/>
        </w:rPr>
        <w:t>采购需求</w:t>
      </w:r>
      <w:bookmarkEnd w:id="0"/>
    </w:p>
    <w:p w14:paraId="194560B8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项目内容：</w:t>
      </w:r>
    </w:p>
    <w:p w14:paraId="546CDCF3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我院医疗区内室外园林养护（约700平方，具体数据以实际勘测为准）；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负责所属绿地的树木、花灌木，绿篱、色块和草坪的灌溉、修剪、施肥和病虫害杂草防治、补植补种、移栽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以及土壤养护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等工作。苗木名称、数目等具体情况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需现场勘察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。</w:t>
      </w:r>
    </w:p>
    <w:p w14:paraId="4E7EF41B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室内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绿植租摆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采购及租赁；</w:t>
      </w:r>
    </w:p>
    <w:p w14:paraId="3E9721BE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3.国庆花展摆放，包括方案设计、所需草花、展字、相关配件、绿植等采购、运输、摆放、调换花卉、绿植、管养及撤场等。</w:t>
      </w:r>
    </w:p>
    <w:p w14:paraId="780241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二、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地址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：中科大附一院安徽省立医院本部（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庐江路17号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</w:t>
      </w:r>
    </w:p>
    <w:p w14:paraId="1F90A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技术要求：</w:t>
      </w:r>
    </w:p>
    <w:p w14:paraId="03324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</w:p>
    <w:p w14:paraId="5A9CD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（一）室外园林养护：</w:t>
      </w:r>
    </w:p>
    <w:p w14:paraId="31DF8E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技术要求：</w:t>
      </w:r>
    </w:p>
    <w:p w14:paraId="2F1393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依照绿地植物生长规律，负责所属园林的树木、花灌木、绿篱等定期灌溉、修剪、施肥和病虫害杂草防治、补植补种等工作，达到约定养护标准。</w:t>
      </w:r>
    </w:p>
    <w:p w14:paraId="46BB5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 w:bidi="ar-SA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按照采购人的需求对绿植进行移栽，需补种的区域补种的花卉种类需经过采购人的同意，补种绿植需确保至少存活两年。（包含在园林养护费用中）</w:t>
      </w:r>
    </w:p>
    <w:p w14:paraId="4FEA579B">
      <w:pPr>
        <w:pStyle w:val="6"/>
        <w:ind w:firstLine="0"/>
        <w:rPr>
          <w:rFonts w:hint="default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3、按照现有绿化布局，对土壤开展松土、施肥等养护措施，确保土壤养分满足绿化良好生长。</w:t>
      </w:r>
    </w:p>
    <w:p w14:paraId="354272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4、质量要求：合格，符合国家及安徽省的相关标准及规定。</w:t>
      </w:r>
    </w:p>
    <w:p w14:paraId="18F786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其他要求：</w:t>
      </w:r>
    </w:p>
    <w:p w14:paraId="4341B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1、认真按合同标准养护管理，遵守采购人的各项规章制度，服从采购人的管理。</w:t>
      </w:r>
    </w:p>
    <w:p w14:paraId="06979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2、对验收不合格之处，成交人应及时进行适当的整改。</w:t>
      </w:r>
    </w:p>
    <w:p w14:paraId="1E4A66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3、节约用水用电，爱护采购人公共财物。</w:t>
      </w:r>
    </w:p>
    <w:p w14:paraId="51BCF1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4、免费维护养护所需工、器具、杀虫药物、防冻、防倒伏材料等。</w:t>
      </w:r>
    </w:p>
    <w:p w14:paraId="6DDEE3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5、成交人负责安全生产及劳动防护。</w:t>
      </w:r>
    </w:p>
    <w:p w14:paraId="134F2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6、参选人在参选前需现场勘察确认，自行考虑与项目有关的所有费用，并计入参选报价。</w:t>
      </w:r>
    </w:p>
    <w:p w14:paraId="410FF3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7、成交人在园林养护前必须到现场进行实地勘查。</w:t>
      </w:r>
    </w:p>
    <w:p w14:paraId="4D9EF7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</w:p>
    <w:p w14:paraId="15A025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室内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绿植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采购及租赁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：</w:t>
      </w:r>
    </w:p>
    <w:p w14:paraId="5A91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1、成交人负责对租赁花卉的摆放、养护和管理。</w:t>
      </w:r>
    </w:p>
    <w:p w14:paraId="0B8AC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2、根据花卉生长情况，适时调换，保持花卉良好的观赏效果；保持花盆花卉清洁、完整、美观。</w:t>
      </w:r>
    </w:p>
    <w:p w14:paraId="2763E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3、成交人应指派专人负责本项目现场花卉的养护、管理等，并及时更换不符合要求的花卉。</w:t>
      </w:r>
    </w:p>
    <w:p w14:paraId="6EB23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4、养护人员进行养护作业时，尽可能地减少对采购人工作的干扰。</w:t>
      </w:r>
    </w:p>
    <w:p w14:paraId="40F0C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5、花卉有增减时，成交人需提前向采购人监管部门备案，征得同意后方可进行增减，并按照要求提交花卉增减确认单纸质版。</w:t>
      </w:r>
    </w:p>
    <w:p w14:paraId="129AB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6、成交人提供的花卉品种、规格等详情参照附件要求执行。</w:t>
      </w:r>
    </w:p>
    <w:p w14:paraId="4EEC7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7、成交人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要能够按照采购人的要求按时将花卉送至项目所在地，并确保花卉状态良好，外观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清洁、完整、美观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</w:t>
      </w:r>
    </w:p>
    <w:p w14:paraId="46BF4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此部分报价要求：供应商依据采购人提供的基准价（基准价详见附件）报出折扣率(折扣率取值区间为0≤折扣率≤110%，折扣率保留两位数字，第三位四舍五入），供应商所报折扣率不得超过110%。供应商所报折扣率超过110%，则为视为无效参选。</w:t>
      </w:r>
    </w:p>
    <w:p w14:paraId="532AB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9B102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23F6A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（三）国庆花展：</w:t>
      </w:r>
    </w:p>
    <w:p w14:paraId="730311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1、养护期：一个月</w:t>
      </w:r>
    </w:p>
    <w:p w14:paraId="68E77A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2、技术要求：以庆祝我院国庆为主题，营造和谐、喜庆的节日气氛，采取设计、施工、养护一体化的形式，采用组合花卉的形式进行展示，突出喜庆祥和氛围，设计方案需经采购人主管部门认可后方可执行。</w:t>
      </w:r>
    </w:p>
    <w:p w14:paraId="09B46E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3、质量要求：要求所有花卉需在花期内且保证在摆放期间状况良好，没有丢失，符合相关要求。</w:t>
      </w:r>
    </w:p>
    <w:p w14:paraId="1F0C79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4、参选人在参选前需现场勘察确认，自行考虑与项目有关的所有费用，并计入参选报价。</w:t>
      </w:r>
    </w:p>
    <w:p w14:paraId="7DB3B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5、成交人在比选前必须到现场进行实地勘查,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参选时需提交设计图样及图样尺寸。（最终须经采购人确认并同意方可实施）</w:t>
      </w:r>
    </w:p>
    <w:p w14:paraId="599E4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6、本项目需现场勘测，联系人：梅老师，联系电话：0551-62283342。</w:t>
      </w:r>
    </w:p>
    <w:p w14:paraId="65D803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此部分报价要求：此部分为固定总价，成交后不予调整，国庆花展限价5万元/次。</w:t>
      </w:r>
    </w:p>
    <w:p w14:paraId="61BDA6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ABFF7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五、报价：本次比选，室外园林养护、国庆花展部分报总价；室内绿植采购及租赁为报费率，为全费用综合单价报价。室外园林养护（含补植）、室内绿植采购及租赁、国庆花展需分开报价。全费用综合单价包含完成本项目所需的人工费、摆放花卉所需的附加材料及配件、设计费、和设备维修保养费、施工机具使用费和企业管理费、利润、规费、税金（营改增后的计税）、施工等一切费用，不再另外追加费用。</w:t>
      </w:r>
    </w:p>
    <w:p w14:paraId="6903A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u w:val="none"/>
          <w:lang w:val="en-US" w:eastAsia="zh-CN" w:bidi="ar-SA"/>
        </w:rPr>
        <w:t>六、服务期：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详见比选公告</w:t>
      </w:r>
    </w:p>
    <w:p w14:paraId="3194EA5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</w:p>
    <w:p w14:paraId="4910485D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</w:p>
    <w:p w14:paraId="5F6D3B35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lang w:val="en-US" w:eastAsia="zh-CN" w:bidi="ar-SA"/>
        </w:rPr>
      </w:pPr>
    </w:p>
    <w:p w14:paraId="0F3B265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lang w:val="en-US" w:eastAsia="zh-CN" w:bidi="ar-SA"/>
        </w:rPr>
      </w:pPr>
    </w:p>
    <w:p w14:paraId="67408A97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lang w:val="en-US" w:eastAsia="zh-CN" w:bidi="ar-SA"/>
        </w:rPr>
        <w:t>附件1：</w:t>
      </w:r>
    </w:p>
    <w:p w14:paraId="61575311">
      <w:pPr>
        <w:pStyle w:val="3"/>
        <w:spacing w:after="0" w:line="360" w:lineRule="auto"/>
        <w:jc w:val="center"/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u w:val="none"/>
        </w:rPr>
        <w:t>安徽省立医院采购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  <w:t>、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val="en-US" w:eastAsia="zh-CN"/>
        </w:rPr>
        <w:t>租赁</w:t>
      </w:r>
      <w:r>
        <w:rPr>
          <w:rFonts w:hint="eastAsia" w:ascii="宋体" w:hAnsi="宋体" w:eastAsia="宋体" w:cs="宋体"/>
          <w:b/>
          <w:sz w:val="24"/>
          <w:szCs w:val="24"/>
          <w:u w:val="none"/>
        </w:rPr>
        <w:t>报价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val="en-US" w:eastAsia="zh-CN"/>
        </w:rPr>
        <w:t>基准价</w:t>
      </w:r>
      <w:r>
        <w:rPr>
          <w:rFonts w:hint="eastAsia" w:ascii="宋体" w:hAnsi="宋体" w:eastAsia="宋体" w:cs="宋体"/>
          <w:b/>
          <w:sz w:val="24"/>
          <w:szCs w:val="24"/>
          <w:u w:val="none"/>
        </w:rPr>
        <w:t>表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val="en-US" w:eastAsia="zh-CN"/>
        </w:rPr>
        <w:t>含室内租摆、国庆摆花</w:t>
      </w:r>
      <w:r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  <w:t>）</w:t>
      </w:r>
    </w:p>
    <w:p w14:paraId="4C9A3CA5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11B6272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sz w:val="24"/>
          <w:szCs w:val="24"/>
        </w:rPr>
        <w:t>室内绿植租摆项目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基准价</w:t>
      </w:r>
    </w:p>
    <w:p w14:paraId="06A19F1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租摆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80"/>
        <w:gridCol w:w="1571"/>
        <w:gridCol w:w="1924"/>
        <w:gridCol w:w="1748"/>
      </w:tblGrid>
      <w:tr w14:paraId="46E5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95" w:type="pct"/>
            <w:vMerge w:val="restart"/>
            <w:noWrap w:val="0"/>
            <w:vAlign w:val="center"/>
          </w:tcPr>
          <w:p w14:paraId="33A26497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绿植类别</w:t>
            </w:r>
          </w:p>
        </w:tc>
        <w:tc>
          <w:tcPr>
            <w:tcW w:w="2978" w:type="pct"/>
            <w:gridSpan w:val="3"/>
            <w:noWrap w:val="0"/>
            <w:vAlign w:val="center"/>
          </w:tcPr>
          <w:p w14:paraId="6760CBC4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规格（单位：cm）</w:t>
            </w:r>
          </w:p>
        </w:tc>
        <w:tc>
          <w:tcPr>
            <w:tcW w:w="1025" w:type="pct"/>
            <w:vMerge w:val="restart"/>
            <w:noWrap w:val="0"/>
            <w:vAlign w:val="center"/>
          </w:tcPr>
          <w:p w14:paraId="1ADED4EE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租摆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基准价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（元/盆/天）</w:t>
            </w:r>
          </w:p>
        </w:tc>
      </w:tr>
      <w:tr w14:paraId="0D6F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95" w:type="pct"/>
            <w:vMerge w:val="continue"/>
            <w:noWrap w:val="0"/>
            <w:vAlign w:val="center"/>
          </w:tcPr>
          <w:p w14:paraId="43CC6C27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27" w:type="pct"/>
            <w:noWrap w:val="0"/>
            <w:vAlign w:val="center"/>
          </w:tcPr>
          <w:p w14:paraId="7CF29A2F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高度</w:t>
            </w:r>
          </w:p>
        </w:tc>
        <w:tc>
          <w:tcPr>
            <w:tcW w:w="922" w:type="pct"/>
            <w:noWrap w:val="0"/>
            <w:vAlign w:val="center"/>
          </w:tcPr>
          <w:p w14:paraId="26B4491B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冠径</w:t>
            </w:r>
          </w:p>
        </w:tc>
        <w:tc>
          <w:tcPr>
            <w:tcW w:w="1128" w:type="pct"/>
            <w:noWrap w:val="0"/>
            <w:vAlign w:val="center"/>
          </w:tcPr>
          <w:p w14:paraId="7BDA8C45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球径</w:t>
            </w:r>
          </w:p>
        </w:tc>
        <w:tc>
          <w:tcPr>
            <w:tcW w:w="1025" w:type="pct"/>
            <w:vMerge w:val="continue"/>
            <w:noWrap w:val="0"/>
            <w:vAlign w:val="center"/>
          </w:tcPr>
          <w:p w14:paraId="4697A98E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1B8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95" w:type="pct"/>
            <w:noWrap w:val="0"/>
            <w:vAlign w:val="center"/>
          </w:tcPr>
          <w:p w14:paraId="4C3FDD46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特大</w:t>
            </w:r>
          </w:p>
        </w:tc>
        <w:tc>
          <w:tcPr>
            <w:tcW w:w="927" w:type="pct"/>
            <w:noWrap w:val="0"/>
            <w:vAlign w:val="center"/>
          </w:tcPr>
          <w:p w14:paraId="4FDE2A05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≧180</w:t>
            </w:r>
          </w:p>
        </w:tc>
        <w:tc>
          <w:tcPr>
            <w:tcW w:w="922" w:type="pct"/>
            <w:noWrap w:val="0"/>
            <w:vAlign w:val="center"/>
          </w:tcPr>
          <w:p w14:paraId="332B4F9A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1128" w:type="pct"/>
            <w:noWrap w:val="0"/>
            <w:vAlign w:val="center"/>
          </w:tcPr>
          <w:p w14:paraId="1B120914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≧30</w:t>
            </w:r>
          </w:p>
        </w:tc>
        <w:tc>
          <w:tcPr>
            <w:tcW w:w="1025" w:type="pct"/>
            <w:noWrap w:val="0"/>
            <w:vAlign w:val="center"/>
          </w:tcPr>
          <w:p w14:paraId="5D702DF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0.44</w:t>
            </w:r>
          </w:p>
        </w:tc>
      </w:tr>
      <w:tr w14:paraId="5DDA1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95" w:type="pct"/>
            <w:noWrap w:val="0"/>
            <w:vAlign w:val="center"/>
          </w:tcPr>
          <w:p w14:paraId="1BDF41D2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</w:t>
            </w:r>
          </w:p>
        </w:tc>
        <w:tc>
          <w:tcPr>
            <w:tcW w:w="927" w:type="pct"/>
            <w:noWrap w:val="0"/>
            <w:vAlign w:val="center"/>
          </w:tcPr>
          <w:p w14:paraId="56ACCDF3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120-180</w:t>
            </w:r>
          </w:p>
        </w:tc>
        <w:tc>
          <w:tcPr>
            <w:tcW w:w="922" w:type="pct"/>
            <w:noWrap w:val="0"/>
            <w:vAlign w:val="center"/>
          </w:tcPr>
          <w:p w14:paraId="50FED585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60-120</w:t>
            </w:r>
          </w:p>
        </w:tc>
        <w:tc>
          <w:tcPr>
            <w:tcW w:w="1128" w:type="pct"/>
            <w:noWrap w:val="0"/>
            <w:vAlign w:val="center"/>
          </w:tcPr>
          <w:p w14:paraId="60CBA604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20-30</w:t>
            </w:r>
          </w:p>
        </w:tc>
        <w:tc>
          <w:tcPr>
            <w:tcW w:w="1025" w:type="pct"/>
            <w:noWrap w:val="0"/>
            <w:vAlign w:val="center"/>
          </w:tcPr>
          <w:p w14:paraId="3E5010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0.32</w:t>
            </w:r>
          </w:p>
        </w:tc>
      </w:tr>
      <w:tr w14:paraId="2837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95" w:type="pct"/>
            <w:noWrap w:val="0"/>
            <w:vAlign w:val="center"/>
          </w:tcPr>
          <w:p w14:paraId="09AAFE9B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中</w:t>
            </w:r>
          </w:p>
        </w:tc>
        <w:tc>
          <w:tcPr>
            <w:tcW w:w="927" w:type="pct"/>
            <w:noWrap w:val="0"/>
            <w:vAlign w:val="center"/>
          </w:tcPr>
          <w:p w14:paraId="24E7E572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30-120</w:t>
            </w:r>
          </w:p>
        </w:tc>
        <w:tc>
          <w:tcPr>
            <w:tcW w:w="922" w:type="pct"/>
            <w:noWrap w:val="0"/>
            <w:vAlign w:val="center"/>
          </w:tcPr>
          <w:p w14:paraId="3CC81BA9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30-60</w:t>
            </w:r>
          </w:p>
        </w:tc>
        <w:tc>
          <w:tcPr>
            <w:tcW w:w="1128" w:type="pct"/>
            <w:noWrap w:val="0"/>
            <w:vAlign w:val="center"/>
          </w:tcPr>
          <w:p w14:paraId="3B9CC900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10-20</w:t>
            </w:r>
          </w:p>
        </w:tc>
        <w:tc>
          <w:tcPr>
            <w:tcW w:w="1025" w:type="pct"/>
            <w:noWrap w:val="0"/>
            <w:vAlign w:val="center"/>
          </w:tcPr>
          <w:p w14:paraId="5F58887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0.2</w:t>
            </w:r>
          </w:p>
        </w:tc>
      </w:tr>
      <w:tr w14:paraId="51FC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95" w:type="pct"/>
            <w:noWrap w:val="0"/>
            <w:vAlign w:val="center"/>
          </w:tcPr>
          <w:p w14:paraId="320C5FFD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小</w:t>
            </w:r>
          </w:p>
        </w:tc>
        <w:tc>
          <w:tcPr>
            <w:tcW w:w="927" w:type="pct"/>
            <w:noWrap w:val="0"/>
            <w:vAlign w:val="center"/>
          </w:tcPr>
          <w:p w14:paraId="376644E5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≦50</w:t>
            </w:r>
          </w:p>
        </w:tc>
        <w:tc>
          <w:tcPr>
            <w:tcW w:w="922" w:type="pct"/>
            <w:noWrap w:val="0"/>
            <w:vAlign w:val="center"/>
          </w:tcPr>
          <w:p w14:paraId="32A98A68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≦30</w:t>
            </w:r>
          </w:p>
        </w:tc>
        <w:tc>
          <w:tcPr>
            <w:tcW w:w="1128" w:type="pct"/>
            <w:noWrap w:val="0"/>
            <w:vAlign w:val="center"/>
          </w:tcPr>
          <w:p w14:paraId="7EC49A91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≦10</w:t>
            </w:r>
          </w:p>
        </w:tc>
        <w:tc>
          <w:tcPr>
            <w:tcW w:w="1025" w:type="pct"/>
            <w:noWrap w:val="0"/>
            <w:vAlign w:val="center"/>
          </w:tcPr>
          <w:p w14:paraId="773FBE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0.1</w:t>
            </w:r>
          </w:p>
        </w:tc>
      </w:tr>
      <w:tr w14:paraId="46B50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95" w:type="pct"/>
            <w:noWrap w:val="0"/>
            <w:vAlign w:val="center"/>
          </w:tcPr>
          <w:p w14:paraId="70FEB995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高档</w:t>
            </w:r>
          </w:p>
        </w:tc>
        <w:tc>
          <w:tcPr>
            <w:tcW w:w="927" w:type="pct"/>
            <w:noWrap w:val="0"/>
            <w:vAlign w:val="center"/>
          </w:tcPr>
          <w:p w14:paraId="210F0B06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≧50</w:t>
            </w:r>
          </w:p>
        </w:tc>
        <w:tc>
          <w:tcPr>
            <w:tcW w:w="922" w:type="pct"/>
            <w:noWrap w:val="0"/>
            <w:vAlign w:val="center"/>
          </w:tcPr>
          <w:p w14:paraId="5EEEB511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≧30</w:t>
            </w:r>
          </w:p>
        </w:tc>
        <w:tc>
          <w:tcPr>
            <w:tcW w:w="1128" w:type="pct"/>
            <w:noWrap w:val="0"/>
            <w:vAlign w:val="center"/>
          </w:tcPr>
          <w:p w14:paraId="60141B40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25" w:type="pct"/>
            <w:noWrap w:val="0"/>
            <w:vAlign w:val="center"/>
          </w:tcPr>
          <w:p w14:paraId="47D8F94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0.44</w:t>
            </w:r>
          </w:p>
        </w:tc>
      </w:tr>
    </w:tbl>
    <w:p w14:paraId="4901CB25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6BDB316B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采购</w:t>
      </w:r>
    </w:p>
    <w:tbl>
      <w:tblPr>
        <w:tblStyle w:val="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056"/>
        <w:gridCol w:w="936"/>
        <w:gridCol w:w="900"/>
        <w:gridCol w:w="1129"/>
        <w:gridCol w:w="2496"/>
        <w:gridCol w:w="827"/>
      </w:tblGrid>
      <w:tr w14:paraId="0E02B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61C81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绿植类别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3116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高度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A4FBB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冠径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89B97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球经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99B5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1B8F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采购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基准价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元/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盆）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37107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1F058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09F98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特大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2726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≧180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2EABB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7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A433B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≧30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BFB4C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铁树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6F1A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115.34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681BB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B7D2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848FA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26281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2C1D8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215D2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8CB3F5E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幸福树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1F4F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200.02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915F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8FD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252D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517AB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43F3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C7A3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18A80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发财树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7F4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126.29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0FA0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64AB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E59E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6B358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EE361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796BC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B43ACD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棕榈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2972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200.02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C38B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C09F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FAA4F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1011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4E7C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72F49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9BCB37A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鸭脚木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F1D5C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170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C7A13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F3E0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4C48B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C8A70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684BC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B6AB2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49930D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天堂鸟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E050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195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7224D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205B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62CD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EC4B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35552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41C0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E9B450F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1.8大绿萝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A442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170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C522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5E81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A2AE0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CD8A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C777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AF755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FA7F7E8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散尾葵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50085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126.29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14B56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7700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C8DE5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大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3B6B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120-180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FEAE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60-120</w:t>
            </w:r>
          </w:p>
        </w:tc>
        <w:tc>
          <w:tcPr>
            <w:tcW w:w="7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E314E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20-30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75E3ED7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绿萝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17A7E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57.65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6D02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D2E0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0B02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AE7F4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D990D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E8C1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2BC05C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发财树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D7D1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62.78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0C7E4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75E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66E4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C296A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E8058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D38F4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0D8EE8A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散尾葵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B474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73.73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0F374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BC4D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4F9C8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341BD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57867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8427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0EB2BDA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心叶葵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F3DD4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4F235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CE4C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C8DB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315C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A460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30FD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8C4399C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鸭脚木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0D4B1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57.67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44975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418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917D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41B8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FD46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3AB77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DDBA891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国王椰子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431A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115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8A5FF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FEFB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96EB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35C00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F7F7A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46468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1288B3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夏威夷椰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BA04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83.95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DF02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F5C3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16D5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743B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01053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26B9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2E0683E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巴西木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AE8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83.95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4E0E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6A2C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CCF7A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CE8E3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0A2E6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BA307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346F9AE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绿宝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6648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170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C2F4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B7B0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92A49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18517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9C867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A59B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6F2337B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天堂鸟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5983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150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F583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1AC2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AE556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6775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46AF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51E6A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3566A5E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非洲茉莉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952B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93AAB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C546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66F93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........</w:t>
            </w: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A52F1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0AA1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915EF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6F85319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龙须树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AAE6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7D40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9DB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B7A06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D577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57C1C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BC67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825B9A7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也门铁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78787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AD126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618B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9528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91E7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75EB2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6FD0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938A6DB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大叶伞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9FCE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73.73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7E5C2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4CC2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8D59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中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4109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30-120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B02D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30-60</w:t>
            </w:r>
          </w:p>
        </w:tc>
        <w:tc>
          <w:tcPr>
            <w:tcW w:w="7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A6FCA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"/>
              </w:rPr>
              <w:t>10-20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DCE5D97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万年青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F7111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36.5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9A90B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7C7E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79A49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79FF2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043FA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7F16D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4AEB5B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龙须树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ED68F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36.5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3C99F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9BF3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482DA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E336D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4671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519BB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B1A68D0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棕竹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F552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43.34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C0C64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3475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F30F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B4AD3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AB865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C443A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C706FBE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巴西铁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B9A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39.42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5360F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E705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F1E5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76E43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10AB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65A29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F55689D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螺纹铁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68632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31.39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87E5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4E8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DC097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3BB24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26AB1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EB80C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198190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金心铁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3F08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1F5A7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30D2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9B77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109E3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A256F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08B82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69963A8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也门铁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8989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31.39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94EAE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76BA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05A1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5E005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389E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B75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4400192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金砖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1E24D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36.5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5106F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586A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FF5D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CDE5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1458B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48C0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D403323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袖珍椰子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9C68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36.5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8268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553A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756BB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84A15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B19D7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847A3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9CC9B4D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绿巨人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189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36.5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5DD13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EBF8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06E9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小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9FDCF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≦50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A9898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≦30</w:t>
            </w:r>
          </w:p>
        </w:tc>
        <w:tc>
          <w:tcPr>
            <w:tcW w:w="7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53703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≦10</w:t>
            </w: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6CFDC3A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吊兰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486E8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5.11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B50C7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F87A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38678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24225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B19F9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263C9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8FDFDDB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白掌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AFEE43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8.03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9C05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1327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A4AF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CAFB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53952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C548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14554B4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万年青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BF643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8.03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815F3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0ED6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1A8C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CC3ED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7E052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ED747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BB9325D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袖珍椰子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F4128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8.03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482AD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ED31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9CD2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1C7FE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D36E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575F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366B59B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绿萝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4F18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41CC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A5F3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745C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AB133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D3515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06BD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03EDED8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鸭脚木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B06FC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8.03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3DFAE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0D68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BB56D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高档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A7571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≧50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098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≧30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089B48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0A08896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红掌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200F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31.39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14FB8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8AA0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591A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FE0A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46F1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335367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913C521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凤梨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5C59B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31.39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5B594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9A94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A938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2F2D9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EB9D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8B5830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A0D8A5F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君子兰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C1C1FC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42.34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FD5D3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5C9D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0429E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D71D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D6851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0B45DE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5EDB345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兰草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25EF1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52.56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C5289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E6E6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318CE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C3ED5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832C5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6D9C86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AB8F9E6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金钱树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BC11E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52.56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691C8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A643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C351D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9B93B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E9A42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227FF5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F34D220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杜鹃花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F1201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29.2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8CB6B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41FC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ABDA7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26973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C0A2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75966C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857A7C1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三角梅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58073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B37CF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215E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0475A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ACC4B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B07AD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3E6C7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E4F780D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果树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0DECF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F4FE9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C8DD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C63D8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1B436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BD938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258CBF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623D1F2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茶花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0347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4986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E9BD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101E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6884A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75F6E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C862AB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7C6C1C1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松树盆景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682BE2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5D845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4D6D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2099C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7854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00CD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51CFF8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95837BF">
            <w:pPr>
              <w:widowControl/>
              <w:spacing w:line="360" w:lineRule="auto"/>
              <w:jc w:val="center"/>
              <w:textAlignment w:val="top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4"/>
                <w:szCs w:val="24"/>
                <w:lang w:bidi="ar"/>
              </w:rPr>
              <w:t>百合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83A07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31.39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84883"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4403AAB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7C8F622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重大节假日花展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所使用的</w:t>
      </w:r>
      <w:r>
        <w:rPr>
          <w:rFonts w:hint="eastAsia" w:ascii="宋体" w:hAnsi="宋体" w:eastAsia="宋体" w:cs="宋体"/>
          <w:sz w:val="24"/>
          <w:szCs w:val="24"/>
        </w:rPr>
        <w:t>的绿植单价不得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超过本次成交的单价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90D1873">
      <w:pPr>
        <w:pStyle w:val="3"/>
        <w:spacing w:after="0" w:line="360" w:lineRule="auto"/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</w:pPr>
    </w:p>
    <w:p w14:paraId="11EA104F">
      <w:pPr>
        <w:pStyle w:val="3"/>
        <w:spacing w:after="0" w:line="360" w:lineRule="auto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u w:val="none"/>
          <w:lang w:eastAsia="zh-CN"/>
        </w:rPr>
        <w:t>说明：</w:t>
      </w:r>
    </w:p>
    <w:p w14:paraId="39765CA3">
      <w:pPr>
        <w:pStyle w:val="3"/>
        <w:numPr>
          <w:ilvl w:val="0"/>
          <w:numId w:val="0"/>
        </w:numPr>
        <w:spacing w:after="0" w:line="360" w:lineRule="auto"/>
        <w:ind w:leftChars="0"/>
        <w:rPr>
          <w:rFonts w:hint="eastAsia" w:ascii="宋体" w:hAnsi="宋体" w:eastAsia="宋体" w:cs="宋体"/>
          <w:sz w:val="24"/>
          <w:szCs w:val="24"/>
          <w:u w:val="none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1.</w:t>
      </w:r>
      <w:r>
        <w:rPr>
          <w:rFonts w:hint="eastAsia" w:ascii="宋体" w:hAnsi="宋体" w:eastAsia="宋体" w:cs="宋体"/>
          <w:sz w:val="24"/>
          <w:szCs w:val="24"/>
          <w:u w:val="none"/>
        </w:rPr>
        <w:t>报价含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摆放花卉所需的附加材料及配件、设计费、</w:t>
      </w:r>
      <w:r>
        <w:rPr>
          <w:rFonts w:hint="eastAsia" w:ascii="宋体" w:hAnsi="宋体" w:eastAsia="宋体" w:cs="宋体"/>
          <w:sz w:val="24"/>
          <w:szCs w:val="24"/>
          <w:u w:val="none"/>
        </w:rPr>
        <w:t>税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费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、养护费</w:t>
      </w:r>
      <w:r>
        <w:rPr>
          <w:rFonts w:hint="eastAsia" w:ascii="宋体" w:hAnsi="宋体" w:eastAsia="宋体" w:cs="宋体"/>
          <w:sz w:val="24"/>
          <w:szCs w:val="24"/>
          <w:u w:val="none"/>
        </w:rPr>
        <w:t>及运费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等一切费用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不再另外追加费用。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并提供正规发票；</w:t>
      </w:r>
    </w:p>
    <w:p w14:paraId="289917FB">
      <w:pPr>
        <w:pStyle w:val="3"/>
        <w:numPr>
          <w:ilvl w:val="0"/>
          <w:numId w:val="0"/>
        </w:numPr>
        <w:spacing w:after="0" w:line="360" w:lineRule="auto"/>
        <w:ind w:leftChars="0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2.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花卉数量以实际摆放数量为准；</w:t>
      </w:r>
    </w:p>
    <w:p w14:paraId="3B2DC93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5814BCC0">
      <w:pPr>
        <w:pStyle w:val="3"/>
        <w:numPr>
          <w:ilvl w:val="0"/>
          <w:numId w:val="0"/>
        </w:numPr>
        <w:spacing w:after="0" w:line="360" w:lineRule="auto"/>
        <w:ind w:leftChars="0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/>
        </w:rPr>
      </w:pPr>
    </w:p>
    <w:p w14:paraId="4A7F3CBF">
      <w:pPr>
        <w:pStyle w:val="3"/>
        <w:numPr>
          <w:ilvl w:val="0"/>
          <w:numId w:val="0"/>
        </w:numPr>
        <w:spacing w:after="0" w:line="360" w:lineRule="auto"/>
        <w:ind w:leftChars="0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/>
        </w:rPr>
      </w:pPr>
    </w:p>
    <w:p w14:paraId="4D7820DA">
      <w:pPr>
        <w:pStyle w:val="3"/>
        <w:numPr>
          <w:ilvl w:val="0"/>
          <w:numId w:val="0"/>
        </w:numPr>
        <w:spacing w:after="0" w:line="360" w:lineRule="auto"/>
        <w:ind w:leftChars="0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/>
        </w:rPr>
        <w:t xml:space="preserve">      </w:t>
      </w:r>
    </w:p>
    <w:p w14:paraId="3129C28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附件2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绿化养护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及考核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标准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2243"/>
        <w:gridCol w:w="2265"/>
        <w:gridCol w:w="1966"/>
      </w:tblGrid>
      <w:tr w14:paraId="59DA9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200" w:type="pct"/>
            <w:noWrap w:val="0"/>
            <w:vAlign w:val="center"/>
          </w:tcPr>
          <w:p w14:paraId="43180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1316" w:type="pct"/>
            <w:noWrap w:val="0"/>
            <w:vAlign w:val="center"/>
          </w:tcPr>
          <w:p w14:paraId="771FC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养护要求</w:t>
            </w:r>
          </w:p>
        </w:tc>
        <w:tc>
          <w:tcPr>
            <w:tcW w:w="1329" w:type="pct"/>
            <w:noWrap w:val="0"/>
            <w:vAlign w:val="center"/>
          </w:tcPr>
          <w:p w14:paraId="1C69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验收与检查标准</w:t>
            </w:r>
          </w:p>
        </w:tc>
        <w:tc>
          <w:tcPr>
            <w:tcW w:w="1153" w:type="pct"/>
            <w:noWrap w:val="0"/>
            <w:vAlign w:val="center"/>
          </w:tcPr>
          <w:p w14:paraId="112FB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考核</w:t>
            </w:r>
          </w:p>
        </w:tc>
      </w:tr>
      <w:tr w14:paraId="14A85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200" w:type="pct"/>
            <w:noWrap w:val="0"/>
            <w:vAlign w:val="center"/>
          </w:tcPr>
          <w:p w14:paraId="62290A1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浇水（草坪、灌木为主）</w:t>
            </w:r>
          </w:p>
        </w:tc>
        <w:tc>
          <w:tcPr>
            <w:tcW w:w="1316" w:type="pct"/>
            <w:noWrap w:val="0"/>
            <w:vAlign w:val="center"/>
          </w:tcPr>
          <w:p w14:paraId="5CCE784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浇灌次数视具体天气情况而定。保持植物良好长势，不出现大面积枯萎等缺水现象。</w:t>
            </w:r>
          </w:p>
        </w:tc>
        <w:tc>
          <w:tcPr>
            <w:tcW w:w="1329" w:type="pct"/>
            <w:noWrap w:val="0"/>
            <w:vAlign w:val="center"/>
          </w:tcPr>
          <w:p w14:paraId="334E094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因浇灌不当出现枯萎，应及时养护至长势良好；如出现死株，需及时补植。</w:t>
            </w:r>
          </w:p>
        </w:tc>
        <w:tc>
          <w:tcPr>
            <w:tcW w:w="1153" w:type="pct"/>
            <w:noWrap w:val="0"/>
            <w:vAlign w:val="center"/>
          </w:tcPr>
          <w:p w14:paraId="4B67A95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枯萎扣款50元/次；</w:t>
            </w:r>
          </w:p>
          <w:p w14:paraId="49A5B50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死株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扣款100元/次</w:t>
            </w:r>
          </w:p>
        </w:tc>
      </w:tr>
      <w:tr w14:paraId="4478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200" w:type="pct"/>
            <w:noWrap w:val="0"/>
            <w:vAlign w:val="center"/>
          </w:tcPr>
          <w:p w14:paraId="735F30C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施肥</w:t>
            </w:r>
          </w:p>
        </w:tc>
        <w:tc>
          <w:tcPr>
            <w:tcW w:w="1316" w:type="pct"/>
            <w:noWrap w:val="0"/>
            <w:vAlign w:val="center"/>
          </w:tcPr>
          <w:p w14:paraId="50719EF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平均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2-3次/年，做到施肥均匀，充足，适度，保证绿化植物强壮，枝叶茂盛。</w:t>
            </w:r>
          </w:p>
        </w:tc>
        <w:tc>
          <w:tcPr>
            <w:tcW w:w="1329" w:type="pct"/>
            <w:noWrap w:val="0"/>
            <w:vAlign w:val="center"/>
          </w:tcPr>
          <w:p w14:paraId="71667BE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因施肥不当或施肥不足引起草地、灌木、乔木等枯萎、死株，应及时护理修复或补植。</w:t>
            </w:r>
          </w:p>
        </w:tc>
        <w:tc>
          <w:tcPr>
            <w:tcW w:w="1153" w:type="pct"/>
            <w:noWrap w:val="0"/>
            <w:vAlign w:val="center"/>
          </w:tcPr>
          <w:p w14:paraId="11AE27E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未及时施肥扣款200元/次</w:t>
            </w:r>
          </w:p>
        </w:tc>
      </w:tr>
      <w:tr w14:paraId="5609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200" w:type="pct"/>
            <w:noWrap w:val="0"/>
            <w:vAlign w:val="center"/>
          </w:tcPr>
          <w:p w14:paraId="230AB01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修剪整形</w:t>
            </w:r>
          </w:p>
        </w:tc>
        <w:tc>
          <w:tcPr>
            <w:tcW w:w="1316" w:type="pct"/>
            <w:noWrap w:val="0"/>
            <w:vAlign w:val="center"/>
          </w:tcPr>
          <w:p w14:paraId="52E811D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草地：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6-8次/年</w:t>
            </w:r>
          </w:p>
          <w:p w14:paraId="0D065B9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灌木：4-6次/年（根据长势状况而定）</w:t>
            </w:r>
          </w:p>
          <w:p w14:paraId="0D2F3B9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乔木：冬季修剪一遍。</w:t>
            </w:r>
          </w:p>
        </w:tc>
        <w:tc>
          <w:tcPr>
            <w:tcW w:w="1329" w:type="pct"/>
            <w:noWrap w:val="0"/>
            <w:vAlign w:val="center"/>
          </w:tcPr>
          <w:p w14:paraId="05A2A25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草地：要求草的高度一致，整齐美观无疯长现象。</w:t>
            </w:r>
          </w:p>
          <w:p w14:paraId="27EDB34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乔灌木：植物主枝分布均匀，通风透气，造型美观。</w:t>
            </w:r>
          </w:p>
          <w:p w14:paraId="15FBFE6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绿篱：整齐一致。</w:t>
            </w:r>
          </w:p>
        </w:tc>
        <w:tc>
          <w:tcPr>
            <w:tcW w:w="1153" w:type="pct"/>
            <w:noWrap w:val="0"/>
            <w:vAlign w:val="center"/>
          </w:tcPr>
          <w:p w14:paraId="0A194D2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修剪不及时扣款50元/次</w:t>
            </w:r>
          </w:p>
        </w:tc>
      </w:tr>
      <w:tr w14:paraId="661D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1200" w:type="pct"/>
            <w:noWrap w:val="0"/>
            <w:vAlign w:val="center"/>
          </w:tcPr>
          <w:p w14:paraId="0051983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病虫害防治</w:t>
            </w:r>
          </w:p>
        </w:tc>
        <w:tc>
          <w:tcPr>
            <w:tcW w:w="1316" w:type="pct"/>
            <w:noWrap w:val="0"/>
            <w:vAlign w:val="center"/>
          </w:tcPr>
          <w:p w14:paraId="663F431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草地、灌木、乔木及时防治虫害。</w:t>
            </w:r>
          </w:p>
        </w:tc>
        <w:tc>
          <w:tcPr>
            <w:tcW w:w="1329" w:type="pct"/>
            <w:noWrap w:val="0"/>
            <w:vAlign w:val="center"/>
          </w:tcPr>
          <w:p w14:paraId="3934615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草地、灌木、乔木无虫害、病株。如因虫害至死株，需及时补植，补植株与原株品种、大小、形态一致。</w:t>
            </w:r>
          </w:p>
        </w:tc>
        <w:tc>
          <w:tcPr>
            <w:tcW w:w="1153" w:type="pct"/>
            <w:noWrap w:val="0"/>
            <w:vAlign w:val="center"/>
          </w:tcPr>
          <w:p w14:paraId="545CC8A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死株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扣款100元/次</w:t>
            </w:r>
          </w:p>
        </w:tc>
      </w:tr>
      <w:tr w14:paraId="2C00F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200" w:type="pct"/>
            <w:noWrap w:val="0"/>
            <w:vAlign w:val="center"/>
          </w:tcPr>
          <w:p w14:paraId="49C356A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除杂草松土</w:t>
            </w:r>
          </w:p>
        </w:tc>
        <w:tc>
          <w:tcPr>
            <w:tcW w:w="1316" w:type="pct"/>
            <w:noWrap w:val="0"/>
            <w:vAlign w:val="center"/>
          </w:tcPr>
          <w:p w14:paraId="2D52DDB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草坪等每月除草一遍，雨后杂草严重者每周一遍。</w:t>
            </w:r>
          </w:p>
        </w:tc>
        <w:tc>
          <w:tcPr>
            <w:tcW w:w="1329" w:type="pct"/>
            <w:noWrap w:val="0"/>
            <w:vAlign w:val="center"/>
          </w:tcPr>
          <w:p w14:paraId="420194A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草坪上不允许有开花杂草，花木丛中不允许有高于花木的杂草树盘内无严重杂草。</w:t>
            </w:r>
          </w:p>
        </w:tc>
        <w:tc>
          <w:tcPr>
            <w:tcW w:w="1153" w:type="pct"/>
            <w:noWrap w:val="0"/>
            <w:vAlign w:val="center"/>
          </w:tcPr>
          <w:p w14:paraId="4984F0D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发现杂草扣款20元/次</w:t>
            </w:r>
          </w:p>
        </w:tc>
      </w:tr>
      <w:tr w14:paraId="05CF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200" w:type="pct"/>
            <w:noWrap w:val="0"/>
            <w:vAlign w:val="center"/>
          </w:tcPr>
          <w:p w14:paraId="4DB0810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eastAsia="zh-CN"/>
              </w:rPr>
              <w:t>补植</w:t>
            </w:r>
          </w:p>
        </w:tc>
        <w:tc>
          <w:tcPr>
            <w:tcW w:w="1316" w:type="pct"/>
            <w:noWrap w:val="0"/>
            <w:vAlign w:val="center"/>
          </w:tcPr>
          <w:p w14:paraId="662FB8C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eastAsia="zh-CN"/>
              </w:rPr>
              <w:t>对因生长不良造成的残缺花草、树木及时补植修复。</w:t>
            </w:r>
          </w:p>
        </w:tc>
        <w:tc>
          <w:tcPr>
            <w:tcW w:w="1329" w:type="pct"/>
            <w:noWrap w:val="0"/>
            <w:vAlign w:val="center"/>
          </w:tcPr>
          <w:p w14:paraId="1916FA1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草地无黄土裸露，灌木丛无明显沟缝。</w:t>
            </w:r>
          </w:p>
        </w:tc>
        <w:tc>
          <w:tcPr>
            <w:tcW w:w="1153" w:type="pct"/>
            <w:noWrap w:val="0"/>
            <w:vAlign w:val="center"/>
          </w:tcPr>
          <w:p w14:paraId="06DDA97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未及时补植或补植后未存活扣款100元/次</w:t>
            </w:r>
          </w:p>
        </w:tc>
      </w:tr>
      <w:tr w14:paraId="634D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200" w:type="pct"/>
            <w:noWrap w:val="0"/>
            <w:vAlign w:val="center"/>
          </w:tcPr>
          <w:p w14:paraId="3FD1C10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清理绿化垃圾</w:t>
            </w:r>
          </w:p>
        </w:tc>
        <w:tc>
          <w:tcPr>
            <w:tcW w:w="1316" w:type="pct"/>
            <w:noWrap w:val="0"/>
            <w:vAlign w:val="center"/>
          </w:tcPr>
          <w:p w14:paraId="75A0E48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修剪树枝、清除杂草时，有专人跟踪保洁。</w:t>
            </w:r>
          </w:p>
        </w:tc>
        <w:tc>
          <w:tcPr>
            <w:tcW w:w="1329" w:type="pct"/>
            <w:noWrap w:val="0"/>
            <w:vAlign w:val="center"/>
          </w:tcPr>
          <w:p w14:paraId="5605450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修剪下来的树枝和杂草，及时清运，保持环境清洁，不准就地焚烧。</w:t>
            </w:r>
          </w:p>
        </w:tc>
        <w:tc>
          <w:tcPr>
            <w:tcW w:w="1153" w:type="pct"/>
            <w:noWrap w:val="0"/>
            <w:vAlign w:val="center"/>
          </w:tcPr>
          <w:p w14:paraId="72B9875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未清理垃圾扣款100元/次</w:t>
            </w:r>
          </w:p>
        </w:tc>
      </w:tr>
      <w:tr w14:paraId="0A63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200" w:type="pct"/>
            <w:noWrap w:val="0"/>
            <w:vAlign w:val="center"/>
          </w:tcPr>
          <w:p w14:paraId="597AECB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防风防汛</w:t>
            </w:r>
          </w:p>
        </w:tc>
        <w:tc>
          <w:tcPr>
            <w:tcW w:w="1316" w:type="pct"/>
            <w:noWrap w:val="0"/>
            <w:vAlign w:val="center"/>
          </w:tcPr>
          <w:p w14:paraId="0CDCA58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灾前积极预防，对树木加固，灾后及时清除倒树断枝、疏通道路，清理扶植。</w:t>
            </w:r>
          </w:p>
        </w:tc>
        <w:tc>
          <w:tcPr>
            <w:tcW w:w="1329" w:type="pct"/>
            <w:noWrap w:val="0"/>
            <w:vAlign w:val="center"/>
          </w:tcPr>
          <w:p w14:paraId="69F306B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不可抗拒原因尽快恢复原状、以免影响交通人流。</w:t>
            </w:r>
          </w:p>
        </w:tc>
        <w:tc>
          <w:tcPr>
            <w:tcW w:w="1153" w:type="pct"/>
            <w:noWrap w:val="0"/>
            <w:vAlign w:val="center"/>
          </w:tcPr>
          <w:p w14:paraId="1FF4920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未做好预防措施，导致绿植受损，扣款200元/次</w:t>
            </w:r>
          </w:p>
        </w:tc>
      </w:tr>
      <w:tr w14:paraId="68ED1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200" w:type="pct"/>
            <w:noWrap w:val="0"/>
            <w:vAlign w:val="center"/>
          </w:tcPr>
          <w:p w14:paraId="343F312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保护措施</w:t>
            </w:r>
          </w:p>
        </w:tc>
        <w:tc>
          <w:tcPr>
            <w:tcW w:w="1316" w:type="pct"/>
            <w:noWrap w:val="0"/>
            <w:vAlign w:val="center"/>
          </w:tcPr>
          <w:p w14:paraId="2EADE21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保护现有绿化完整，防止人为破坏。</w:t>
            </w:r>
          </w:p>
        </w:tc>
        <w:tc>
          <w:tcPr>
            <w:tcW w:w="1329" w:type="pct"/>
            <w:noWrap w:val="0"/>
            <w:vAlign w:val="center"/>
          </w:tcPr>
          <w:p w14:paraId="667C7C7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出现人为破坏时要及时恢复。</w:t>
            </w:r>
          </w:p>
        </w:tc>
        <w:tc>
          <w:tcPr>
            <w:tcW w:w="1153" w:type="pct"/>
            <w:noWrap w:val="0"/>
            <w:vAlign w:val="center"/>
          </w:tcPr>
          <w:p w14:paraId="4E08E66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未及时恢复扣款200元/次</w:t>
            </w:r>
          </w:p>
        </w:tc>
      </w:tr>
    </w:tbl>
    <w:p w14:paraId="3F340C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74C45"/>
    <w:multiLevelType w:val="singleLevel"/>
    <w:tmpl w:val="F7474C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7430DC"/>
    <w:multiLevelType w:val="singleLevel"/>
    <w:tmpl w:val="487430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84AAC"/>
    <w:rsid w:val="393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tabs>
        <w:tab w:val="left" w:pos="420"/>
      </w:tabs>
      <w:spacing w:line="500" w:lineRule="exact"/>
      <w:ind w:left="420" w:hanging="420"/>
      <w:outlineLvl w:val="0"/>
    </w:pPr>
    <w:rPr>
      <w:b/>
      <w:sz w:val="36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styleId="5">
    <w:name w:val="toc 6"/>
    <w:basedOn w:val="1"/>
    <w:next w:val="1"/>
    <w:unhideWhenUsed/>
    <w:qFormat/>
    <w:uiPriority w:val="39"/>
    <w:pPr>
      <w:spacing w:line="240" w:lineRule="auto"/>
      <w:ind w:left="2100" w:leftChars="1000"/>
      <w:jc w:val="both"/>
    </w:pPr>
    <w:rPr>
      <w:rFonts w:ascii="等线" w:hAnsi="等线" w:eastAsia="等线" w:cs="Times New Roman"/>
      <w:sz w:val="21"/>
      <w:szCs w:val="22"/>
    </w:rPr>
  </w:style>
  <w:style w:type="paragraph" w:styleId="6">
    <w:name w:val="Body Text First Indent"/>
    <w:basedOn w:val="3"/>
    <w:next w:val="5"/>
    <w:qFormat/>
    <w:uiPriority w:val="99"/>
    <w:pPr>
      <w:spacing w:line="312" w:lineRule="auto"/>
      <w:ind w:firstLine="420"/>
      <w:jc w:val="both"/>
    </w:pPr>
    <w:rPr>
      <w:sz w:val="21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2026-10-10T11:20:00Z</dcterms:created>
  <dc:creator>省招-wxy</dc:creator>
  <cp:lastModifiedBy>省招-wxy</cp:lastModifiedBy>
  <dcterms:modified xsi:type="dcterms:W3CDTF">2026-10-10T11:21:55Z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60E00A73D0D24AFB89CEA8A641118584_11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